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ab-20260108.htm"/>
      <w:bookmarkStart w:id="1" w:name="kslab20260108"/>
      <w:bookmarkEnd w:id="0"/>
      <w:bookmarkEnd w:id="1"/>
      <w:r>
        <w:rPr/>
        <w:t> </w:t>
      </w:r>
    </w:p>
    <w:p>
      <w:pPr>
        <w:pStyle w:val="TextBody"/>
        <w:bidi w:val="0"/>
        <w:jc w:val="center"/>
        <w:rPr>
          <w:rFonts w:ascii="Times New Roman" w:hAnsi="Times New Roman"/>
          <w:b/>
          <w:color w:val="000000"/>
          <w:sz w:val="28"/>
        </w:rPr>
      </w:pPr>
      <w:bookmarkStart w:id="2" w:name="section1"/>
      <w:bookmarkEnd w:id="2"/>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8"/>
        </w:rPr>
      </w:pPr>
      <w:r>
        <w:rPr>
          <w:rFonts w:ascii="Times New Roman" w:hAnsi="Times New Roman"/>
          <w:b/>
          <w:color w:val="000000"/>
          <w:sz w:val="28"/>
        </w:rPr>
        <w:t>FORM 8-K</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January 8, 2026</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32"/>
        </w:rPr>
      </w:pPr>
      <w:r>
        <w:rPr>
          <w:rFonts w:ascii="Times New Roman" w:hAnsi="Times New Roman"/>
          <w:b/>
          <w:color w:val="000000"/>
          <w:sz w:val="32"/>
        </w:rPr>
        <w:t>Standard BioTools Inc.</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8268" w:type="dxa"/>
        <w:jc w:val="left"/>
        <w:tblInd w:w="0" w:type="dxa"/>
        <w:tblLayout w:type="fixed"/>
        <w:tblCellMar>
          <w:top w:w="28" w:type="dxa"/>
          <w:left w:w="28" w:type="dxa"/>
          <w:bottom w:w="28" w:type="dxa"/>
          <w:right w:w="28" w:type="dxa"/>
        </w:tblCellMar>
      </w:tblPr>
      <w:tblGrid>
        <w:gridCol w:w="2581"/>
        <w:gridCol w:w="2296"/>
        <w:gridCol w:w="3391"/>
      </w:tblGrid>
      <w:tr>
        <w:trPr/>
        <w:tc>
          <w:tcPr>
            <w:tcW w:w="258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Delaware</w:t>
            </w:r>
          </w:p>
          <w:p>
            <w:pPr>
              <w:pStyle w:val="TableContents"/>
              <w:bidi w:val="0"/>
              <w:jc w:val="center"/>
              <w:rPr>
                <w:rFonts w:ascii="Times New Roman" w:hAnsi="Times New Roman"/>
                <w:color w:val="000000"/>
                <w:sz w:val="20"/>
              </w:rPr>
            </w:pPr>
            <w:r>
              <w:rPr>
                <w:rFonts w:ascii="Times New Roman" w:hAnsi="Times New Roman"/>
                <w:color w:val="000000"/>
                <w:sz w:val="20"/>
              </w:rPr>
              <w:t xml:space="preserve">(State or other jurisdiction of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22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001-34180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33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77-0513190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Number)</w:t>
            </w:r>
          </w:p>
        </w:tc>
      </w:tr>
      <w:tr>
        <w:trPr/>
        <w:tc>
          <w:tcPr>
            <w:tcW w:w="8268"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50 Milk Street, 10th Floor</w:t>
            </w:r>
          </w:p>
          <w:p>
            <w:pPr>
              <w:pStyle w:val="TableContents"/>
              <w:bidi w:val="0"/>
              <w:spacing w:before="0" w:after="283"/>
              <w:jc w:val="center"/>
              <w:rPr>
                <w:rFonts w:ascii="Times New Roman" w:hAnsi="Times New Roman"/>
                <w:sz w:val="20"/>
              </w:rPr>
            </w:pPr>
            <w:r>
              <w:rPr>
                <w:rFonts w:ascii="Times New Roman" w:hAnsi="Times New Roman"/>
                <w:b/>
                <w:color w:val="000000"/>
                <w:sz w:val="20"/>
              </w:rPr>
              <w:t>Boston, Massachusetts</w:t>
            </w:r>
            <w:r>
              <w:rPr>
                <w:rFonts w:ascii="Times New Roman" w:hAnsi="Times New Roman"/>
                <w:color w:val="000000"/>
                <w:sz w:val="20"/>
              </w:rPr>
              <w:t xml:space="preserve"> </w:t>
            </w:r>
            <w:r>
              <w:rPr>
                <w:rFonts w:ascii="Times New Roman" w:hAnsi="Times New Roman"/>
                <w:b/>
                <w:color w:val="000000"/>
                <w:sz w:val="20"/>
              </w:rPr>
              <w:t>02109</w:t>
            </w:r>
          </w:p>
        </w:tc>
      </w:tr>
      <w:tr>
        <w:trPr/>
        <w:tc>
          <w:tcPr>
            <w:tcW w:w="826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 and zip code)</w:t>
            </w:r>
          </w:p>
        </w:tc>
      </w:tr>
      <w:tr>
        <w:trPr/>
        <w:tc>
          <w:tcPr>
            <w:tcW w:w="826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 266-6000</w:t>
            </w:r>
          </w:p>
        </w:tc>
      </w:tr>
      <w:tr>
        <w:trPr/>
        <w:tc>
          <w:tcPr>
            <w:tcW w:w="826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(Registrant's telephone number, including area code)</w:t>
            </w:r>
          </w:p>
        </w:tc>
      </w:tr>
      <w:tr>
        <w:trPr/>
        <w:tc>
          <w:tcPr>
            <w:tcW w:w="8268"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 Tower Place, Suite 2000</w:t>
            </w:r>
          </w:p>
          <w:p>
            <w:pPr>
              <w:pStyle w:val="TableContents"/>
              <w:bidi w:val="0"/>
              <w:spacing w:before="0" w:after="283"/>
              <w:jc w:val="center"/>
              <w:rPr>
                <w:rFonts w:ascii="Times New Roman" w:hAnsi="Times New Roman"/>
                <w:sz w:val="20"/>
              </w:rPr>
            </w:pPr>
            <w:r>
              <w:rPr>
                <w:rFonts w:ascii="Times New Roman" w:hAnsi="Times New Roman"/>
                <w:b/>
                <w:color w:val="000000"/>
                <w:sz w:val="20"/>
              </w:rPr>
              <w:t>South San Francisco, California</w:t>
            </w:r>
            <w:r>
              <w:rPr>
                <w:rFonts w:ascii="Times New Roman" w:hAnsi="Times New Roman"/>
                <w:color w:val="000000"/>
                <w:sz w:val="20"/>
              </w:rPr>
              <w:t xml:space="preserve"> </w:t>
            </w:r>
            <w:r>
              <w:rPr>
                <w:rFonts w:ascii="Times New Roman" w:hAnsi="Times New Roman"/>
                <w:b/>
                <w:color w:val="000000"/>
                <w:sz w:val="20"/>
              </w:rPr>
              <w:t>94080</w:t>
            </w:r>
          </w:p>
        </w:tc>
      </w:tr>
      <w:tr>
        <w:trPr/>
        <w:tc>
          <w:tcPr>
            <w:tcW w:w="826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(Former Name or Former Address, if Changed Since Last Report)</w:t>
            </w:r>
          </w:p>
        </w:tc>
      </w:tr>
    </w:tbl>
    <w:p>
      <w:pPr>
        <w:pStyle w:val="TextBody"/>
        <w:pBdr>
          <w:bottom w:val="single" w:sz="6" w:space="1" w:color="000000"/>
        </w:pBdr>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30" w:type="dxa"/>
        <w:jc w:val="left"/>
        <w:tblInd w:w="0" w:type="dxa"/>
        <w:tblLayout w:type="fixed"/>
        <w:tblCellMar>
          <w:top w:w="28" w:type="dxa"/>
          <w:left w:w="28" w:type="dxa"/>
          <w:bottom w:w="28" w:type="dxa"/>
          <w:right w:w="28" w:type="dxa"/>
        </w:tblCellMar>
      </w:tblPr>
      <w:tblGrid>
        <w:gridCol w:w="349"/>
        <w:gridCol w:w="9181"/>
      </w:tblGrid>
      <w:tr>
        <w:trPr/>
        <w:tc>
          <w:tcPr>
            <w:tcW w:w="349"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49" w:type="dxa"/>
            <w:tcBorders/>
            <w:tcMar>
              <w:top w:w="0" w:type="dxa"/>
              <w:left w:w="0" w:type="dxa"/>
              <w:bottom w:w="0" w:type="dxa"/>
              <w:right w:w="0" w:type="dxa"/>
            </w:tcMar>
            <w:vAlign w:val="center"/>
          </w:tcPr>
          <w:p>
            <w:pPr>
              <w:pStyle w:val="TableContents"/>
              <w:bidi w:val="0"/>
              <w:spacing w:before="0" w:after="283"/>
              <w:ind w:left="0" w:right="0" w:firstLine="18"/>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tbl>
      <w:tblPr>
        <w:tblW w:w="9190" w:type="dxa"/>
        <w:jc w:val="left"/>
        <w:tblInd w:w="0" w:type="dxa"/>
        <w:tblLayout w:type="fixed"/>
        <w:tblCellMar>
          <w:top w:w="28" w:type="dxa"/>
          <w:left w:w="28" w:type="dxa"/>
          <w:bottom w:w="28" w:type="dxa"/>
          <w:right w:w="28" w:type="dxa"/>
        </w:tblCellMar>
      </w:tblPr>
      <w:tblGrid>
        <w:gridCol w:w="3571"/>
        <w:gridCol w:w="146"/>
        <w:gridCol w:w="1501"/>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9190"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12b-2 of the Exchange 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8, 2026, Standard BioTools Inc. (the "Company") issued a press release, which included information with respect to certain preliminary financial results of the Company for the three months and fiscal year ended December 31, 2025. The press release is attached hereto as Exhibit 99.1 and incorporated herein by reference. The Company's preliminary financial results are unaudited and based on current expectations and may be adjusted as a result of, among other things, completion of annual audit procedures. This financial information does not represent a comprehensive statement of the Company's financial results for the three months or fiscal year ended December 31, 2025 and remains subject to the completion of financial closing procedures and internal reviews.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49" w:type="dxa"/>
        <w:jc w:val="left"/>
        <w:tblInd w:w="0" w:type="dxa"/>
        <w:tblLayout w:type="fixed"/>
        <w:tblCellMar>
          <w:top w:w="28" w:type="dxa"/>
          <w:left w:w="28" w:type="dxa"/>
          <w:bottom w:w="28" w:type="dxa"/>
          <w:right w:w="28" w:type="dxa"/>
        </w:tblCellMar>
      </w:tblPr>
      <w:tblGrid>
        <w:gridCol w:w="1066"/>
        <w:gridCol w:w="164"/>
        <w:gridCol w:w="6619"/>
      </w:tblGrid>
      <w:tr>
        <w:trPr/>
        <w:tc>
          <w:tcPr>
            <w:tcW w:w="106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619"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19"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99.1</w:t>
            </w:r>
          </w:p>
        </w:tc>
        <w:tc>
          <w:tcPr>
            <w:tcW w:w="164" w:type="dxa"/>
            <w:tcBorders/>
            <w:tcMar>
              <w:top w:w="0" w:type="dxa"/>
              <w:left w:w="0" w:type="dxa"/>
              <w:bottom w:w="0" w:type="dxa"/>
              <w:right w:w="0" w:type="dxa"/>
            </w:tcMar>
            <w:vAlign w:val="center"/>
          </w:tcPr>
          <w:p>
            <w:pPr>
              <w:pStyle w:val="TableContents"/>
              <w:bidi w:val="0"/>
              <w:spacing w:before="0" w:after="283"/>
              <w:jc w:val="left"/>
              <w:rPr/>
            </w:pPr>
            <w:r>
              <w:rPr/>
              <w:t> </w:t>
            </w:r>
          </w:p>
        </w:tc>
        <w:tc>
          <w:tcPr>
            <w:tcW w:w="6619" w:type="dxa"/>
            <w:tcBorders/>
            <w:tcMar>
              <w:top w:w="0" w:type="dxa"/>
              <w:left w:w="0" w:type="dxa"/>
              <w:bottom w:w="0" w:type="dxa"/>
              <w:right w:w="0" w:type="dxa"/>
            </w:tcMar>
            <w:vAlign w:val="center"/>
          </w:tcPr>
          <w:p>
            <w:pPr>
              <w:pStyle w:val="TableContents"/>
              <w:bidi w:val="0"/>
              <w:spacing w:before="0" w:after="283"/>
              <w:ind w:left="0" w:right="0" w:firstLine="18"/>
              <w:jc w:val="left"/>
              <w:rPr/>
            </w:pPr>
            <w:hyperlink w:anchor="lab-ex99_1.htm">
              <w:r>
                <w:rPr>
                  <w:rStyle w:val="InternetLink"/>
                  <w:rFonts w:ascii="Times New Roman" w:hAnsi="Times New Roman"/>
                  <w:color w:val="0000FF"/>
                  <w:sz w:val="20"/>
                  <w:u w:val="single"/>
                </w:rPr>
                <w:t>Press release issued by Standard BioTools Inc., dated January 8, 2026</w:t>
              </w:r>
            </w:hyperlink>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104</w:t>
            </w:r>
          </w:p>
        </w:tc>
        <w:tc>
          <w:tcPr>
            <w:tcW w:w="164"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c>
          <w:tcPr>
            <w:tcW w:w="6619"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Current Report on Form 8-K, including Exhibit 99.1 attached hereto, is being furnished and shall not be deemed "filed" for purposes of Section 18 of the Securities Exchange Act of 1934, as amended (the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jc w:val="left"/>
        <w:rPr/>
      </w:pPr>
      <w:r>
        <w:rPr/>
        <w:t> </w:t>
      </w:r>
    </w:p>
    <w:tbl>
      <w:tblPr>
        <w:tblW w:w="3029" w:type="dxa"/>
        <w:jc w:val="left"/>
        <w:tblInd w:w="0" w:type="dxa"/>
        <w:tblLayout w:type="fixed"/>
        <w:tblCellMar>
          <w:top w:w="28" w:type="dxa"/>
          <w:left w:w="28" w:type="dxa"/>
          <w:bottom w:w="28" w:type="dxa"/>
          <w:right w:w="28" w:type="dxa"/>
        </w:tblCellMar>
      </w:tblPr>
      <w:tblGrid>
        <w:gridCol w:w="181"/>
        <w:gridCol w:w="651"/>
        <w:gridCol w:w="166"/>
        <w:gridCol w:w="2031"/>
      </w:tblGrid>
      <w:tr>
        <w:trPr/>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January 8, 2026</w:t>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848"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000000"/>
                <w:sz w:val="20"/>
              </w:rPr>
            </w:pPr>
            <w:r>
              <w:rPr>
                <w:rFonts w:ascii="Times New Roman" w:hAnsi="Times New Roman"/>
                <w:b/>
                <w:color w:val="000000"/>
                <w:sz w:val="20"/>
              </w:rPr>
              <w:t>STANDARD BIOTOOLS INC.</w:t>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By:</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/s/ Alex Kim</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Name: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Alex Kim</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Title: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Chief Financial Officer</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 w:name="lab-ex99_1.htm"/>
      <w:bookmarkStart w:id="4" w:name="kslabex99_1"/>
      <w:bookmarkEnd w:id="3"/>
      <w:bookmarkEnd w:id="4"/>
      <w:r>
        <w:rPr>
          <w:rFonts w:ascii="Times New Roman" w:hAnsi="Times New Roman"/>
          <w:b/>
          <w:color w:val="000000"/>
          <w:sz w:val="22"/>
        </w:rPr>
        <w:t>Exhibit 99.1</w:t>
      </w:r>
      <w:r>
        <w:br w:type="page"/>
      </w:r>
    </w:p>
    <w:p>
      <w:pPr>
        <w:pStyle w:val="TextBody"/>
        <w:bidi w:val="0"/>
        <w:jc w:val="left"/>
        <w:rPr/>
      </w:pPr>
      <w:r>
        <w:rPr/>
        <w:drawing>
          <wp:inline distT="0" distB="0" distL="0" distR="0">
            <wp:extent cx="98107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81075" cy="695325"/>
                    </a:xfrm>
                    <a:prstGeom prst="rect">
                      <a:avLst/>
                    </a:prstGeom>
                  </pic:spPr>
                </pic:pic>
              </a:graphicData>
            </a:graphic>
          </wp:inline>
        </w:drawing>
      </w:r>
      <w:r>
        <w:rPr>
          <w:rFonts w:ascii="Times New Roman" w:hAnsi="Times New Roman"/>
          <w:color w:val="000000"/>
          <w:sz w:val="20"/>
        </w:rPr>
        <w:br/>
        <w:t> </w:t>
      </w:r>
    </w:p>
    <w:p>
      <w:pPr>
        <w:pStyle w:val="TextBody"/>
        <w:bidi w:val="0"/>
        <w:spacing w:before="240" w:after="480"/>
        <w:jc w:val="center"/>
        <w:rPr>
          <w:rFonts w:ascii="Times New Roman" w:hAnsi="Times New Roman"/>
          <w:b/>
          <w:color w:val="000000"/>
          <w:sz w:val="28"/>
        </w:rPr>
      </w:pPr>
      <w:r>
        <w:rPr>
          <w:rFonts w:ascii="Times New Roman" w:hAnsi="Times New Roman"/>
          <w:b/>
          <w:color w:val="000000"/>
          <w:sz w:val="28"/>
        </w:rPr>
        <w:t>Standard BioTools Announces Preliminary Fourth Quarter and Full Year 2025 Revenue</w:t>
      </w:r>
    </w:p>
    <w:p>
      <w:pPr>
        <w:pStyle w:val="TextBody"/>
        <w:bidi w:val="0"/>
        <w:spacing w:before="0" w:after="240"/>
        <w:jc w:val="center"/>
        <w:rPr>
          <w:rFonts w:ascii="Times New Roman" w:hAnsi="Times New Roman"/>
          <w:i/>
          <w:color w:val="000000"/>
          <w:sz w:val="22"/>
        </w:rPr>
      </w:pPr>
      <w:r>
        <w:rPr>
          <w:rFonts w:ascii="Times New Roman" w:hAnsi="Times New Roman"/>
          <w:i/>
          <w:color w:val="000000"/>
          <w:sz w:val="22"/>
        </w:rPr>
        <w:t>Preliminary, unaudited combined company revenue for the full year 2025 of approximately $185 million; Revenue from continuing operations of approximately $85 million</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BOSTON, Mass., January 8, 2026 -- Standard BioTools Inc. (NASDAQ: LAB) (“Standard BioTools” or the “Company”) today announced preliminary and unaudited revenue results for the fourth quarter and full year 2025. Standard BioTools expects fourth quarter 2025 combined company revenue of approximately $56 million and revenue from continuing operations of approximately $24 million. For the full year 2025, the Company expects combined company revenue of approximately $185 million and revenue from continued operations of approximately $85 million.</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"Our 2025 performance reflected steady execution, ending the year above our guidance range and exceeding expectations for both combined and continuing operations,” said Michael Egholm, PhD, Chief Executive Officer of Standard BioTools. “Amid a shifting macro backdrop, the team remained focused – managing what we could control to drive the business forward.”</w:t>
      </w:r>
    </w:p>
    <w:p>
      <w:pPr>
        <w:pStyle w:val="TextBody"/>
        <w:bidi w:val="0"/>
        <w:spacing w:before="0" w:after="200"/>
        <w:jc w:val="left"/>
        <w:rPr>
          <w:rFonts w:ascii="Times New Roman" w:hAnsi="Times New Roman"/>
          <w:sz w:val="20"/>
        </w:rPr>
      </w:pPr>
      <w:r>
        <w:rPr>
          <w:rFonts w:ascii="Times New Roman" w:hAnsi="Times New Roman"/>
          <w:color w:val="000000"/>
          <w:sz w:val="22"/>
        </w:rPr>
        <w:t>Dr. Egholm added, “We continued our path toward profitability, taking targeted actions to streamline the organization and sharpen our operating model. Grounded in continuous improvement, we optimized workflows, improved our cost structure and drove rigor across the Company. These efforts strengthened our foundation and leave us exiting the year a leaner organization and a more resilient business.”</w:t>
      </w:r>
      <w:r>
        <w:rPr>
          <w:rFonts w:ascii="Times New Roman" w:hAnsi="Times New Roman"/>
          <w:color w:val="000000"/>
          <w:sz w:val="20"/>
        </w:rPr>
        <w:t xml:space="preserve"> </w:t>
      </w:r>
    </w:p>
    <w:p>
      <w:pPr>
        <w:pStyle w:val="TextBody"/>
        <w:bidi w:val="0"/>
        <w:spacing w:before="0" w:after="200"/>
        <w:jc w:val="left"/>
        <w:rPr/>
      </w:pPr>
      <w:r>
        <w:rPr>
          <w:color w:val="000000"/>
        </w:rPr>
        <w:t>“</w:t>
      </w:r>
      <w:r>
        <w:rPr>
          <w:rFonts w:ascii="Times New Roman" w:hAnsi="Times New Roman"/>
          <w:color w:val="000000"/>
          <w:sz w:val="22"/>
        </w:rPr>
        <w:t>As we look to 2026, the sale of SomaLogic to Illumina remains on track to close in the first half of the year. At close, we expect to have approximately $550 million in cash and a base business on its way to positive adjusted EBITDA — a combination that creates real strategic flexibility. With an experienced team, a simplified footprint and substantial cash, we are well positioned to pursue disciplined M&amp;A as we work to build a diversified leader in life sciences."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Standard BioTools plans to report its fourth quarter and full year 2025 financial results later this quarter, at which time the Company will discuss its full 2025 financial results in more detail and provide its outlook for 2026.</w:t>
      </w:r>
    </w:p>
    <w:p>
      <w:pPr>
        <w:pStyle w:val="TextBody"/>
        <w:bidi w:val="0"/>
        <w:jc w:val="left"/>
        <w:rPr>
          <w:rFonts w:ascii="Times New Roman" w:hAnsi="Times New Roman"/>
          <w:color w:val="000000"/>
          <w:sz w:val="22"/>
        </w:rPr>
      </w:pPr>
      <w:r>
        <w:rPr>
          <w:rFonts w:ascii="Times New Roman" w:hAnsi="Times New Roman"/>
          <w:color w:val="000000"/>
          <w:sz w:val="22"/>
        </w:rPr>
        <w:t>The Company’s unaudited, preliminary 2025 revenue results are based on current expectations and may be adjusted as a result of, among other things, completion of annual audit procedures. This financial information does not represent a comprehensive statement of the Company’s financial results for the fourth quarter or full year 2025 and remains subject to the completion of financial closing procedures and internal reviews.</w:t>
      </w:r>
    </w:p>
    <w:p>
      <w:pPr>
        <w:pStyle w:val="TextBody"/>
        <w:bidi w:val="0"/>
        <w:jc w:val="both"/>
        <w:rPr>
          <w:rFonts w:ascii="Times New Roman" w:hAnsi="Times New Roman"/>
          <w:sz w:val="20"/>
        </w:rPr>
      </w:pPr>
      <w:r>
        <w:rPr>
          <w:rFonts w:ascii="Times New Roman" w:hAnsi="Times New Roman"/>
          <w:b/>
          <w:color w:val="000000"/>
          <w:sz w:val="22"/>
        </w:rPr>
        <w:t>About Standard BioTools Inc.</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Standard BioTools Inc. (Nasdaq: LAB), has an established portfolio of essential, standardized next-generation technologies that help biomedical researchers develop better medicines faster. As a leading solutions provider, the company provides reliable and repeatable insights in health and disease using its proprietary SomaScan,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standardbio.com or connect with us on X, Facebook®, LinkedIn, and YouTube.</w:t>
      </w:r>
    </w:p>
    <w:p>
      <w:pPr>
        <w:pStyle w:val="TextBody"/>
        <w:bidi w:val="0"/>
        <w:jc w:val="left"/>
        <w:rPr>
          <w:rFonts w:ascii="Times New Roman" w:hAnsi="Times New Roman"/>
          <w:color w:val="000000"/>
          <w:sz w:val="22"/>
        </w:rPr>
      </w:pPr>
      <w:r>
        <w:rPr>
          <w:rFonts w:ascii="Times New Roman" w:hAnsi="Times New Roman"/>
          <w:color w:val="000000"/>
          <w:sz w:val="22"/>
        </w:rPr>
        <w:t>For Research Use Only. Not for use in diagnostic procedures.</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Limited Use Label License and other terms may apply: standardbio.com/legal/salesterms.</w:t>
      </w:r>
    </w:p>
    <w:p>
      <w:pPr>
        <w:pStyle w:val="TextBody"/>
        <w:bidi w:val="0"/>
        <w:jc w:val="left"/>
        <w:rPr>
          <w:rFonts w:ascii="Times New Roman" w:hAnsi="Times New Roman"/>
          <w:color w:val="000000"/>
          <w:sz w:val="22"/>
        </w:rPr>
      </w:pPr>
      <w:r>
        <w:rPr>
          <w:rFonts w:ascii="Times New Roman" w:hAnsi="Times New Roman"/>
          <w:color w:val="000000"/>
          <w:sz w:val="22"/>
        </w:rPr>
        <w:t xml:space="preserve">Patent and License Information: standardbio.com/legal/notices. </w:t>
        <w:br/>
        <w:t>Trademarks: standardbio.com/legal/trademarks. Any other trademarks are the sole property of their respective owners. ©2026 Standard BioTools Inc. (f.k.a. Fluidigm Corporation). All rights reserved.</w:t>
      </w:r>
    </w:p>
    <w:p>
      <w:pPr>
        <w:pStyle w:val="TextBody"/>
        <w:bidi w:val="0"/>
        <w:jc w:val="left"/>
        <w:rPr>
          <w:rFonts w:ascii="Times New Roman" w:hAnsi="Times New Roman"/>
          <w:sz w:val="20"/>
        </w:rPr>
      </w:pPr>
      <w:r>
        <w:rPr>
          <w:rFonts w:ascii="Times New Roman" w:hAnsi="Times New Roman"/>
          <w:b/>
          <w:color w:val="000000"/>
          <w:sz w:val="22"/>
        </w:rPr>
        <w:t>Forward-Looking Statements</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This press release contains forward-looking statements within the meaning of the Private Securities Litigation Reform Act of 1995, including, among others, statements regarding future financial and business performance, including with respect to expected revenue and expected cash at the closing of the transaction with Illumina; the expected timing for closing of the transaction with Illumina; operational and strategic plans; deployment of capital; market and growth opportunity and potential; and the potential to realize the expected benefits and synergies of prior and potential future acquisitions, including the potential for such transactions to drive long-term profitable growth. Forward-looking statements are subject to numerous risks and uncertainties that could cause actual results to differ materially from currently anticipated results, including, but not limited to, the completion of the Company’s closing procedures for its financial statements for the year ended December 31, 2025; risks that the anticipated benefits and synergies of announced divestures and prior and potential future acquisitions and the integration of any such businesses, including the potential for such transactions to drive long-term profitable growth, may not be fully realized or may take longer to realize than expected; risks that the Company may not realize expected cost savings from such transactions; possible integration, restructuring and transition-related disruption resulting from such transactions, including through the loss of customers, suppliers, and employees and adverse impacts on the Company’s development activities and results of operation; the timing of the closing of the transaction with Illumina and the operating expenses over the intervening period; integration and restructuring activities, including customer and employee relations, management distraction, and reduced operating performance; risks that internal and external costs required for ongoing and planned activities may be higher than expected, which may cause the Company to use cash more quickly than it expects or change or curtail some of the Company’s plans, or both; risks that the Company’s expectations as to expenses, cash usage, and cash needs may prove not to be correct for other reasons such as changes in plans or actual events being different than our assumptions; changes in the Company’s business or external market conditions; anticipated NIH funding pressures; the expected effect from U.S. export controls and the expected impact from tariffs; challenges inherent in developing, manufacturing, launching, marketing, and selling new products; interruptions or delays in the supply of components or materials for, or manufacturing of, the Company’s products; reliance on sales of capital equipment for a significant proportion of revenues in each quarter; seasonal variations in customer operations; unanticipated increases in costs or expenses; continued or sustained budgetary, inflationary, or recessionary pressures; uncertainties in contractual relationships; reductions in research and development spending or changes in budget priorities by customers; uncertainties relating to the Company’s research and development activities, and distribution plans and capabilities; potential product performance and quality issues; risks associated with international operations; intellectual property risks; and competition. For information regarding other related risks, see the “Risk Factors” section of the Company’s annual report on Form 10-K, for the year ended December 31, 2024, filed with the SEC on March 11, 2025, the Company’s quarterly report on Form 10-Q for the quarter ended June 30, 2025, filed with the SEC on August 15, 2025, and in the Company’s other filings with the SEC. These forward-looking statements speak only as of the date hereof. The Company disclaims any obligation to update these forward-looking statements except as may be required by law.</w:t>
      </w:r>
    </w:p>
    <w:p>
      <w:pPr>
        <w:pStyle w:val="TextBody"/>
        <w:bidi w:val="0"/>
        <w:jc w:val="left"/>
        <w:rPr>
          <w:rFonts w:ascii="Times New Roman" w:hAnsi="Times New Roman"/>
          <w:sz w:val="20"/>
        </w:rPr>
      </w:pPr>
      <w:r>
        <w:rPr>
          <w:rFonts w:ascii="Times New Roman" w:hAnsi="Times New Roman"/>
          <w:b/>
          <w:color w:val="000000"/>
          <w:sz w:val="22"/>
        </w:rPr>
        <w:t>Investor Contact</w:t>
      </w:r>
      <w:r>
        <w:rPr>
          <w:rFonts w:ascii="Times New Roman" w:hAnsi="Times New Roman"/>
          <w:color w:val="000000"/>
          <w:sz w:val="22"/>
        </w:rPr>
        <w:t>:</w:t>
        <w:br/>
        <w:t>ir@standardbio.com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1721</Words>
  <Characters>10122</Characters>
  <CharactersWithSpaces>11825</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