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February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February 4, 2016, Fluidigm Corporation issued a press release reporting its financial results for the fourth quarter and full year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herewith as Exhibit 99.1.</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February 4, 2016</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February 4, 2016</w:t>
            </w: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By: /s/ Vikram Jog</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Vikram Jog</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February 4, 2016</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ANNOUNCES FOURTH QUARTER AND FULL YEAR 2015 FINANCIAL RESULTS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SOUTH SAN FRANCISCO, Calif., – February 4, 2016 – Fluidigm Corporation (NASDAQ:FLDM) today announced its financial results for the fourth quarter and full year ended December 31, 2015.</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Total revenue for the fourth quarter of 2015 was $30.7 million, a decrease of 8% from $33.5 million in the fourth quarter of 2014. On a constant currency basis, total revenue for the fourth quarter of 2015 decreased 4% year-over-year (see accompanying table for reconciliation of GAAP and non-GAAP measures). Net loss for the fourth quarter of 2015 was $12.9 million, compared with a net loss of $10.9 million for the fourth quarter of 2014. Non-GAAP net loss for the fourth quarter of 2015 was $6.9 million, compared with a $1.7 million non-GAAP net loss for the fourth quarter of 2014.</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Total revenue for the full year 2015 was $114.7 million, a decrease of 1.5% from $116.5 million for 2014. On a constant currency basis, total revenue for the full year 2015 increased 3.5% year-over-year. Net loss for the full year 2015 was $53.3 million, compared to a net loss of $52.8 million for 2014. Non-GAAP net loss for 2015 was $24.4 million, compared with $6.4 million non-GAAP net loss for 2014.</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were encouraged by our fourth quarter results,” said Gajus Worthington, Fluidigm President and Chief Executive Officer. “Our core genomics product lines further stabilized across multiple indicators. We achieved slightly better-than-expected results from our single-cell biology business with a robust contribution from the Helios™ (CyTOF™) product line. As we enter 2016, we believe the single-cell biology market outlook remains strong and the key actions taken within our commercial organization this past year position us to deliver growth in 2016 and beyond.”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and Analysis</w:t>
      </w:r>
    </w:p>
    <w:p>
      <w:pPr>
        <w:spacing w:after="0" w:line="135" w:lineRule="exact"/>
        <w:rPr>
          <w:sz w:val="20"/>
          <w:szCs w:val="20"/>
          <w:color w:val="auto"/>
        </w:rPr>
      </w:pPr>
    </w:p>
    <w:p>
      <w:pPr>
        <w:ind w:left="440" w:right="720" w:hanging="324"/>
        <w:spacing w:after="0" w:line="342"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Instrument revenue declined 13% or $2.4 million year-over-year in the fourth quarter and 3% or $1.8 million for the full year, primarily due to decreased sales from core genomics systems, partially offset by increased sales of Helios systems and contribution from new products.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Approximately 75% of the Biomark™ HD system sales during the fourth quarter were motivated by single-cell biology research.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Approximately 20% of C1™ system sales were combined with a Biomark HD system in the fourth quarter.</w:t>
      </w:r>
    </w:p>
    <w:p>
      <w:pPr>
        <w:spacing w:after="0" w:line="130" w:lineRule="exact"/>
        <w:rPr>
          <w:rFonts w:ascii="Arial" w:cs="Arial" w:eastAsia="Arial" w:hAnsi="Arial"/>
          <w:sz w:val="18"/>
          <w:szCs w:val="18"/>
          <w:color w:val="auto"/>
        </w:rPr>
      </w:pPr>
    </w:p>
    <w:p>
      <w:pPr>
        <w:ind w:left="440" w:right="62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Consumables revenue declined 8% or $1.0 million year-over-year in the fourth quarter and 7% or $3.2 million for the full year, primarily due to decreased sales from production genomics applications.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IFC (integrated fluidic circuit) pull-through for the fourth quarter was within its revised historical range of $25,000 – $35,000 per instrument/year for genomics analytical systems and within its historical range of $15,000 – $25,000 per instrument/year for genomics preparatory systems.</w:t>
      </w:r>
    </w:p>
    <w:p>
      <w:pPr>
        <w:spacing w:after="0" w:line="29" w:lineRule="exact"/>
        <w:rPr>
          <w:rFonts w:ascii="Arial" w:cs="Arial" w:eastAsia="Arial" w:hAnsi="Arial"/>
          <w:sz w:val="16"/>
          <w:szCs w:val="16"/>
          <w:color w:val="auto"/>
        </w:rPr>
      </w:pPr>
    </w:p>
    <w:p>
      <w:pPr>
        <w:ind w:left="900" w:right="580" w:hanging="325"/>
        <w:spacing w:after="0" w:line="277"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Consumables pull-through for proteomics analytical systems in the fourth quarter was within its historical range of $50,000 – $70,000 per instrument/year.</w:t>
      </w:r>
    </w:p>
    <w:p>
      <w:pPr>
        <w:sectPr>
          <w:pgSz w:w="11900" w:h="16838" w:orient="portrait"/>
          <w:cols w:equalWidth="0" w:num="1">
            <w:col w:w="11420"/>
          </w:cols>
          <w:pgMar w:left="240" w:top="121" w:right="239" w:bottom="1440" w:gutter="0" w:footer="0" w:header="0"/>
        </w:sectPr>
      </w:pPr>
    </w:p>
    <w:bookmarkStart w:id="5" w:name="page6"/>
    <w:bookmarkEnd w:id="5"/>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revenue increased 22% or $0.6 million year-over-year in the fourth quarter and 39% or $3.5 million for the full year.</w:t>
      </w:r>
    </w:p>
    <w:p>
      <w:pPr>
        <w:spacing w:after="0" w:line="130"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by geographic region for the fourth quarter of 2015 was as follows: United States – $13.7 million; Europe – $10.8 million; Asia-Pacific – $2.5 million; Japan – $2.0 million; and Other –$1.7 million.</w:t>
      </w:r>
    </w:p>
    <w:p>
      <w:pPr>
        <w:spacing w:after="0" w:line="75" w:lineRule="exact"/>
        <w:rPr>
          <w:rFonts w:ascii="Arial" w:cs="Arial" w:eastAsia="Arial" w:hAnsi="Arial"/>
          <w:sz w:val="18"/>
          <w:szCs w:val="18"/>
          <w:color w:val="auto"/>
        </w:rPr>
      </w:pPr>
    </w:p>
    <w:p>
      <w:pPr>
        <w:ind w:left="440" w:right="26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by geographic region as a percent of total revenue for the fourth quarter of 2015 was as follows: United States – 45%; Europe – 35%; Asia-Pacific – $8%; Japan – 7%; and Other – 5%.</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Fluidigm’s total instrument installed base was 1,630 units at the end of the year.</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Approximately 52% of the installed base was analytical systems, compared to approximately 53% in the third quarter of 2015, with the balance comprising preparatory systems.</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Single-cell biology systems (includes C1, Polaris™, Helios, CyTOF, CyTOF 2, Callisto™, Biomark and Biomark HD systems motivated by single-cell research) represented approximately 805 units of the installed base.</w:t>
      </w:r>
    </w:p>
    <w:p>
      <w:pPr>
        <w:spacing w:after="0" w:line="75" w:lineRule="exact"/>
        <w:rPr>
          <w:rFonts w:ascii="Arial" w:cs="Arial" w:eastAsia="Arial" w:hAnsi="Arial"/>
          <w:sz w:val="18"/>
          <w:szCs w:val="18"/>
          <w:color w:val="auto"/>
        </w:rPr>
      </w:pPr>
    </w:p>
    <w:p>
      <w:pPr>
        <w:ind w:left="440" w:right="80" w:hanging="324"/>
        <w:spacing w:after="0" w:line="302"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product margin was 58.1% in the fourth quarter of 2015, versus 61.8% in the year ago period. Non-GAAP product margin was 70.0% in the fourth quarter of 2015, versus 73.5% in the year ago period. Non-GAAP product margin excludes the effects of amortization of developed technology, depreciation and amortization, loss on disposal of property and equipment, non-cash charge for the sale of inventory revalued at the date of acquisition, and stock-based compensation expense (see accompanying table for reconciliation of GAAP and non-GAAP product margins).</w:t>
      </w:r>
    </w:p>
    <w:p>
      <w:pPr>
        <w:spacing w:after="0" w:line="59" w:lineRule="exact"/>
        <w:rPr>
          <w:rFonts w:ascii="Arial" w:cs="Arial" w:eastAsia="Arial" w:hAnsi="Arial"/>
          <w:sz w:val="16"/>
          <w:szCs w:val="16"/>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December 31, 2015, Fluidigm had approximately $101.5 million in cash, cash equivalents, and investments.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Since Fluidigm’s Last Earnings Release</w:t>
      </w:r>
    </w:p>
    <w:p>
      <w:pPr>
        <w:spacing w:after="0" w:line="135"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 magazine selected Fluidigm’s Juno system as one of the best inventions of 2015.</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in Europe grew 11% for the full year and 26% on a constant currency basis.</w:t>
      </w:r>
    </w:p>
    <w:p>
      <w:pPr>
        <w:spacing w:after="0" w:line="130" w:lineRule="exact"/>
        <w:rPr>
          <w:rFonts w:ascii="Arial" w:cs="Arial" w:eastAsia="Arial" w:hAnsi="Arial"/>
          <w:sz w:val="18"/>
          <w:szCs w:val="18"/>
          <w:color w:val="auto"/>
        </w:rPr>
      </w:pPr>
    </w:p>
    <w:p>
      <w:pPr>
        <w:jc w:val="both"/>
        <w:ind w:left="440" w:right="140" w:hanging="324"/>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Fluidigm expanded its commercial leadership team with the additions of Pete Betzelos, Senior Vice President of Marketing and Joachim Schorr Ph.D., Senior Vice President of Research and Development. Pete Betzelos and Joachim Schorr report to Executive Vice President of Research, Development and Marketing, Marc Unger.</w:t>
      </w:r>
    </w:p>
    <w:p>
      <w:pPr>
        <w:spacing w:after="0" w:line="86" w:lineRule="exact"/>
        <w:rPr>
          <w:rFonts w:ascii="Arial" w:cs="Arial" w:eastAsia="Arial" w:hAnsi="Arial"/>
          <w:sz w:val="18"/>
          <w:szCs w:val="18"/>
          <w:color w:val="auto"/>
        </w:rPr>
      </w:pPr>
    </w:p>
    <w:p>
      <w:pPr>
        <w:ind w:left="900" w:right="20" w:hanging="325"/>
        <w:spacing w:after="0" w:line="286" w:lineRule="auto"/>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As Senior Vice President of Marketing, Pete Betzelos is responsible for developing and implementing global marketing strategy at Fluidigm. Pete has over 25 years of industry experience and most recently served as Global Leader, Clinical NGS IVD Systems at Thermo Fisher Scientific. Previously, he was Vice President of Global Marketing at Cepheid and has held executive positions at Roche.</w:t>
      </w:r>
    </w:p>
    <w:p>
      <w:pPr>
        <w:spacing w:after="0" w:line="70" w:lineRule="exact"/>
        <w:rPr>
          <w:rFonts w:ascii="Arial" w:cs="Arial" w:eastAsia="Arial" w:hAnsi="Arial"/>
          <w:sz w:val="17"/>
          <w:szCs w:val="17"/>
          <w:color w:val="auto"/>
        </w:rPr>
      </w:pPr>
    </w:p>
    <w:p>
      <w:pPr>
        <w:jc w:val="both"/>
        <w:ind w:left="900" w:hanging="325"/>
        <w:spacing w:after="0" w:line="31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As Senior Vice President of Research and Development, Joachim Schorr Ph.D., is responsible for spearheading the overall genomics research and development strategy at Fluidigm. Joachim has over 25 years of industry experience and most recently served as Chief Scientific Officer of Caris Life Sciences. Previously, he was Managing Director and Senior Vice President of Global Research and Development at Qiagen.</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Outlook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Fluidigm projects total revenue for the full year 2016 to be between $124 million and $128 million. Revenue projections for 2016 incorporate an estimated negative currency-related impact of approximately 2% at the midpoint of the range.</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Due to seasonality, Fluidigm’s revenue has historically been lowest in the first quarter of the year and highest in the fourth quarter of the year with total revenue in the first quarter of the year sequentially down from the fourth quarter of the previous year. We expect quarterly revenue contribution in 2016 to reflect the same pattern. In addition, we believe the organizational improvements we made will have a greater impact on revenues during the second half of the year.</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projects 2016 operating expenses on a GAAP basis to be between $134 million and $138 million. Non-GAAP operating expenses, excluding approximately $16 million of estimated stock-based compensation expense and $5 million of estimated depreciation and amortization expense, are expected to be between $114 million and $118 million (also, see accompanying table for reconciliation of GAAP and non-GAAP operating expenses for the fourth quarter and full year results of 2015 and 2014). Interest expense is projected to be approximately $6 million and capital spending is projected to be between $4 million and $6 million.</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projects total cash outflow in 2016 to be between $25 million and $30 million, including capital spending of approximately $4 million to $6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Fluidigm will host a conference call today, February 4, 2016 at 2:00 p.m. PST (5:00 p.m. EST). The call can be accessed by calling (877) 556-5248 (domestic toll-free) or (720) 545-0029 (international toll). Fluidigm will also provide a live stream of its fourth quarter and full year 2015 financial results conference call for investors at: http://investors.fluidigm.com/events.cfm. The link will not be active until 4:45 p.m. Eastern Time on February 4, 2016. A telephone replay of the teleconference will be available 90 minutes after the end of the call at (855) 859-2056 (domestic toll-free), or (404) 537-3406 (international toll), access code 33451904. The conference call will also be archived on the Fluidigm investor’s page at: http://investors.fluidigm.com.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Fluidigm has presented certain financial information in accordance with GAAP and also on a non-GAAP basis for the fourth quarter and full year of 2015 and 2014.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w:t>
      </w:r>
    </w:p>
    <w:p>
      <w:pPr>
        <w:sectPr>
          <w:pgSz w:w="11900" w:h="16838" w:orient="portrait"/>
          <w:cols w:equalWidth="0" w:num="1">
            <w:col w:w="11400"/>
          </w:cols>
          <w:pgMar w:left="240" w:top="270" w:right="259" w:bottom="1440" w:gutter="0" w:footer="0" w:header="0"/>
        </w:sectPr>
      </w:pPr>
    </w:p>
    <w:bookmarkStart w:id="7" w:name="page8"/>
    <w:bookmarkEnd w:id="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completed GAAP and non-GAAP results are presented in the accompanying table of this release. For future periods, Fluidigm is unable to provide a reconciliation of non-GAAP measures as a result of the inherent uncertainty regarding, and the potential variability of, the factors affecting future non-GAAP operating expenses, including (without limitation) uncertainty concerning future changes relating to acquisitions, technologies, and taxes that Fluidigm cannot accurately estimate.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among others, statements relating to management’s current expectations for the single-cell biology market and Fluidigm’s future growth and position in such market; seasonality and 2016 product revenue trends; and current estimates of 2016 total revenue, GAAP and non-GAAP operating expenses, total cash outflow, stock-based compensation expense, interest expense, capital spending, depreciation and amortization, and currency related impact on 2016 revenue. Forward-looking statements are subject to numerous risks and uncertainties that could cause actual results to differ materially from currently anticipated results, including but not limited to, risks relating to the future financial performance of Fluidigm’s product lines; challenges inherent in developing, manufacturing, launching, marketing, and selling new products; potential product performance and quality issues; the possible loss of key employees, customers, or suppliers; intellectual property risks, including risks relating to maintaining material in-licensed intellectual property rights; competition; Fluidigm’s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Fluidigm’s business and operating results are contained in Fluidigm’s Quarterly Report on Form 10-Q for the quarter ended September 30, 2015, and in its other filings with the Securities and Exchange Commission. Additional information will also be set forth in Fluidigm’s Annual Report on Form 10-K for the year ended December 31, 2015 to be filed with the Securities and Exchange Commission. These forward-looking statements speak only as of the date hereof. Fluidigm Corporation disclaims any obligation to update these forward-looking statements except as may be required by law.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w:t>
      </w:r>
    </w:p>
    <w:p>
      <w:pPr>
        <w:sectPr>
          <w:pgSz w:w="11900" w:h="16838" w:orient="portrait"/>
          <w:cols w:equalWidth="0" w:num="1">
            <w:col w:w="11420"/>
          </w:cols>
          <w:pgMar w:left="240" w:top="274" w:right="239" w:bottom="1440" w:gutter="0" w:footer="0" w:header="0"/>
        </w:sectPr>
      </w:pPr>
    </w:p>
    <w:bookmarkStart w:id="8" w:name="page9"/>
    <w:bookmarkEnd w:id="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Fluidigm, the Fluidigm logo, Biomark, CyTOF, Helios, C1, Polaris, and Callisto are trademarks or registered trademarks of Fluidigm Corporation.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 Petrovic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&amp;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650.243.6628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ana.petrovic@fluidigm.com</w:t>
      </w:r>
    </w:p>
    <w:p>
      <w:pPr>
        <w:sectPr>
          <w:pgSz w:w="11900" w:h="16838" w:orient="portrait"/>
          <w:cols w:equalWidth="0" w:num="1">
            <w:col w:w="11380"/>
          </w:cols>
          <w:pgMar w:left="240" w:top="274"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 xml:space="preserve">2014 </w:t>
            </w:r>
            <w:r>
              <w:rPr>
                <w:rFonts w:ascii="Arial" w:cs="Arial" w:eastAsia="Arial" w:hAnsi="Arial"/>
                <w:sz w:val="12"/>
                <w:szCs w:val="12"/>
                <w:b w:val="1"/>
                <w:bCs w:val="1"/>
                <w:color w:val="auto"/>
                <w:w w:val="92"/>
              </w:rPr>
              <w:t>(1)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15,698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18,072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58,455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Consumables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11,693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12,673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Product revenue</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27,391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30,745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102,140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License and grant revenue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33,490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114,712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116,456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Costs and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Cost of service revenue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22,085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82,959</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Acquisition-related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Gain on escrow settlement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44,414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43,323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164,867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168,292</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(13,692)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(9,833)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(50,155)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(51,836)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investment in Verinata</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(13,083)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(11,832)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(54,790)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(12,879</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(10,944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(53,315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(52,830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28,813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consolidated financial statements</w:t>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( 1)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29,117</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33,713</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65,855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81,588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22,384</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17,924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15,991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8"/>
                <w:szCs w:val="18"/>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144,095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155,897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27,499</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15,258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13,889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Developed technology, net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91,048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104,108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104,108</w:t>
            </w:r>
          </w:p>
        </w:tc>
        <w:tc>
          <w:tcPr>
            <w:tcW w:w="100" w:type="dxa"/>
            <w:vAlign w:val="bottom"/>
            <w:shd w:val="clear" w:color="auto" w:fill="CCEEFF"/>
          </w:tcPr>
          <w:p>
            <w:pPr>
              <w:spacing w:after="0"/>
              <w:rPr>
                <w:sz w:val="18"/>
                <w:szCs w:val="18"/>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371,061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407,559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195,684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195,455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26,152</w:t>
            </w: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256,160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114,901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150,419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371,061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consolidated financial statements</w:t>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16,830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Non-cash charges related to acquisition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Gain on escrow settlement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Gain from sale of investment in Verinata</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non-cash item</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Changes in assets and liabilities,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(34,696)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(22,623)</w:t>
            </w:r>
          </w:p>
        </w:tc>
        <w:tc>
          <w:tcPr>
            <w:tcW w:w="0" w:type="dxa"/>
            <w:vAlign w:val="bottom"/>
          </w:tcPr>
          <w:p>
            <w:pPr>
              <w:spacing w:after="0"/>
              <w:rPr>
                <w:sz w:val="1"/>
                <w:szCs w:val="1"/>
                <w:color w:val="auto"/>
              </w:rPr>
            </w:pPr>
          </w:p>
        </w:tc>
      </w:tr>
      <w:tr>
        <w:trPr>
          <w:trHeight w:val="32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Acquisition, net of cash acquired</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(66,973)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investments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103,369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Proceeds from sale of investment in Verinata</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(178,385)</w:t>
            </w:r>
          </w:p>
        </w:tc>
        <w:tc>
          <w:tcPr>
            <w:tcW w:w="0" w:type="dxa"/>
            <w:vAlign w:val="bottom"/>
          </w:tcPr>
          <w:p>
            <w:pPr>
              <w:spacing w:after="0"/>
              <w:rPr>
                <w:sz w:val="1"/>
                <w:szCs w:val="1"/>
                <w:color w:val="auto"/>
              </w:rPr>
            </w:pPr>
          </w:p>
        </w:tc>
      </w:tr>
      <w:tr>
        <w:trPr>
          <w:trHeight w:val="32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33,713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consolidated financial statements</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RECONCILIATION OF GAAP TO NON-GAAP FINANCIAL INFORMATION </w:t>
      </w:r>
      <w:r>
        <w:rPr>
          <w:rFonts w:ascii="Arial" w:cs="Arial" w:eastAsia="Arial" w:hAnsi="Arial"/>
          <w:sz w:val="15"/>
          <w:szCs w:val="15"/>
          <w:b w:val="1"/>
          <w:bCs w:val="1"/>
          <w:color w:val="auto"/>
        </w:rPr>
        <w:t>(1)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4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loss (GAAP)</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(12,879)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(10,944)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(53,315)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Gain on escrow settlement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16,830</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20,940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11,200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5,808</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Non-cash charge for sale of inventory revalued at the date of acquisition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Benefit from acquisition related 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Gain from sale of investment in Verinata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Net loss (Non-GAAP)</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(24,352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net loss per share calculation – basic and diluted (GAAP and Non-GAAP)</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28,227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28,711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 (GAAP)</w:t>
            </w: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 (Non-GAAP)</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ITEMIZED RECONCILIATION BETWEEN GAAP AND NON-GAAP PRODUCT MARGIN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vMerge w:val="restart"/>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Product margin (GAAP)</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$15,902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$18,993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$59,139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67,560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Amortization of developed technology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11,200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10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Non-cash charge for sale of inventory revalued at the date of acquisition</w:t>
            </w:r>
          </w:p>
        </w:tc>
        <w:tc>
          <w:tcPr>
            <w:tcW w:w="11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1,822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Product margin (Non-GAAP)</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19,166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22,584</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72,998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80,750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Product margin percentage (GAAP)</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020" w:type="dxa"/>
            <w:vAlign w:val="bottom"/>
            <w:gridSpan w:val="3"/>
          </w:tcPr>
          <w:p>
            <w:pPr>
              <w:jc w:val="right"/>
              <w:ind w:right="196"/>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Product margin percentage (Non-GAAP)</w:t>
            </w:r>
          </w:p>
        </w:tc>
        <w:tc>
          <w:tcPr>
            <w:tcW w:w="1020" w:type="dxa"/>
            <w:vAlign w:val="bottom"/>
            <w:gridSpan w:val="3"/>
            <w:shd w:val="clear" w:color="auto" w:fill="CCEEFF"/>
          </w:tcPr>
          <w:p>
            <w:pPr>
              <w:jc w:val="right"/>
              <w:ind w:right="196"/>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600" w:type="dxa"/>
            <w:vAlign w:val="bottom"/>
            <w:gridSpan w:val="14"/>
          </w:tcPr>
          <w:p>
            <w:pPr>
              <w:jc w:val="right"/>
              <w:ind w:right="1080"/>
              <w:spacing w:after="0"/>
              <w:rPr>
                <w:sz w:val="20"/>
                <w:szCs w:val="20"/>
                <w:color w:val="auto"/>
              </w:rPr>
            </w:pPr>
            <w:r>
              <w:rPr>
                <w:rFonts w:ascii="Arial" w:cs="Arial" w:eastAsia="Arial" w:hAnsi="Arial"/>
                <w:sz w:val="18"/>
                <w:szCs w:val="18"/>
                <w:b w:val="1"/>
                <w:bCs w:val="1"/>
                <w:color w:val="auto"/>
              </w:rPr>
              <w:t>ITEMIZED RECONCILIATION BETWEEN GAAP AND NON-GAAP OPERATING EXPENSES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500" w:type="dxa"/>
            <w:vAlign w:val="bottom"/>
            <w:tcBorders>
              <w:top w:val="single" w:sz="8" w:color="auto"/>
            </w:tcBorders>
          </w:tcPr>
          <w:p>
            <w:pPr>
              <w:jc w:val="center"/>
              <w:ind w:left="98"/>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 (GAAP)</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$31,825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$30,554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$ 118,237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125,443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 on escrow settlement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(3,578)</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(5,225)</w:t>
            </w:r>
          </w:p>
        </w:tc>
        <w:tc>
          <w:tcPr>
            <w:tcW w:w="1180" w:type="dxa"/>
            <w:vAlign w:val="bottom"/>
            <w:gridSpan w:val="5"/>
          </w:tcPr>
          <w:p>
            <w:pPr>
              <w:jc w:val="right"/>
              <w:ind w:right="260"/>
              <w:spacing w:after="0"/>
              <w:rPr>
                <w:sz w:val="20"/>
                <w:szCs w:val="20"/>
                <w:color w:val="auto"/>
              </w:rPr>
            </w:pPr>
            <w:r>
              <w:rPr>
                <w:rFonts w:ascii="Arial" w:cs="Arial" w:eastAsia="Arial" w:hAnsi="Arial"/>
                <w:sz w:val="18"/>
                <w:szCs w:val="18"/>
                <w:color w:val="auto"/>
              </w:rPr>
              <w:t>(15,008)</w:t>
            </w: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(707)</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11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4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(49)</w:t>
            </w:r>
          </w:p>
        </w:tc>
        <w:tc>
          <w:tcPr>
            <w:tcW w:w="1180" w:type="dxa"/>
            <w:vAlign w:val="bottom"/>
            <w:gridSpan w:val="5"/>
          </w:tcPr>
          <w:p>
            <w:pPr>
              <w:jc w:val="right"/>
              <w:ind w:right="2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(Non-GAAP)</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27,534</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24,678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103,637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expenses include charges for accelerated vesting of certain DVS restricted stock and options; consulting, legal, and investment banking fees; and other expenses</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RECONCILIATION OF GAAP TO NON-GAAP REVENUE GROWTH (DECLINE)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EXCLUDING THE IMPACT OF FOREIGN EXCHANGE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64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64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91"/>
              </w:rPr>
              <w:t>December 31, 2015</w:t>
            </w: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64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94"/>
              </w:rPr>
              <w:t>Compared with</w:t>
            </w: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Compared with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64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3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 decline, reported</w:t>
            </w:r>
          </w:p>
        </w:tc>
        <w:tc>
          <w:tcPr>
            <w:tcW w:w="26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(8)%</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2640" w:type="dxa"/>
            <w:vAlign w:val="bottom"/>
            <w:gridSpan w:val="2"/>
          </w:tcPr>
          <w:p>
            <w:pPr>
              <w:jc w:val="right"/>
              <w:ind w:right="1180"/>
              <w:spacing w:after="0"/>
              <w:rPr>
                <w:sz w:val="20"/>
                <w:szCs w:val="20"/>
                <w:color w:val="auto"/>
              </w:rPr>
            </w:pPr>
            <w:r>
              <w:rPr>
                <w:rFonts w:ascii="Arial" w:cs="Arial" w:eastAsia="Arial" w:hAnsi="Arial"/>
                <w:sz w:val="18"/>
                <w:szCs w:val="18"/>
                <w:color w:val="auto"/>
              </w:rPr>
              <w:t>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Non-GAAP revenue growth (decline), constant currency</w:t>
            </w:r>
          </w:p>
        </w:tc>
        <w:tc>
          <w:tcPr>
            <w:tcW w:w="26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Compared with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Europe revenue growth, reported</w:t>
            </w:r>
          </w:p>
        </w:tc>
        <w:tc>
          <w:tcPr>
            <w:tcW w:w="1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Non-GAAP Europe revenue growth, constant currency</w:t>
            </w:r>
          </w:p>
        </w:tc>
        <w:tc>
          <w:tcPr>
            <w:tcW w:w="1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2019-12-07T15:28:14Z</dcterms:created>
  <dcterms:modified xsi:type="dcterms:W3CDTF">2019-12-07T15:28:14Z</dcterms:modified>
</cp:coreProperties>
</file>