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5, 2021</w:t>
      </w:r>
    </w:p>
    <w:p>
      <w:pPr>
        <w:spacing w:after="0" w:line="22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 Tower Place, Suite 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8"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$0.001 par value per share</w:t>
            </w:r>
          </w:p>
        </w:tc>
        <w:tc>
          <w:tcPr>
            <w:tcW w:w="2360" w:type="dxa"/>
            <w:vAlign w:val="bottom"/>
          </w:tcPr>
          <w:p>
            <w:pPr>
              <w:jc w:val="center"/>
              <w:ind w:right="50"/>
              <w:spacing w:after="0"/>
              <w:rPr>
                <w:sz w:val="20"/>
                <w:szCs w:val="20"/>
                <w:color w:val="auto"/>
              </w:rPr>
            </w:pPr>
            <w:r>
              <w:rPr>
                <w:rFonts w:ascii="Arial" w:cs="Arial" w:eastAsia="Arial" w:hAnsi="Arial"/>
                <w:sz w:val="18"/>
                <w:szCs w:val="18"/>
                <w:color w:val="auto"/>
              </w:rPr>
              <w:t>FLDM</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August 5, 2021, Fluidigm Corporation issued a press release reporting its financial results for the second fiscal quarter of 2021. A copy of the press release is furnished herewith as Exhibit 99.1.</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foregoing information in this Current Report on Form 8-K, including exhibit 99.1 attached hereto, is being “furnished” and shall not be deemed “filed” for purposes of Section 18 of the Securities Exchange Act of 1934, as amended, and shall not be incorporated by reference in any filing under the Securities Exchange Act of 1934, as amended, or the Securities Act of 1933, as amended, except as expressly set forth by specific reference in such future filing.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36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80" w:type="dxa"/>
            <w:vAlign w:val="bottom"/>
          </w:tcPr>
          <w:p>
            <w:pPr>
              <w:spacing w:after="0"/>
              <w:rPr>
                <w:sz w:val="24"/>
                <w:szCs w:val="24"/>
                <w:color w:val="auto"/>
              </w:rPr>
            </w:pPr>
          </w:p>
        </w:tc>
        <w:tc>
          <w:tcPr>
            <w:tcW w:w="100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Fluidigm Corporation Press Release dated August 5,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243"/>
        </w:trPr>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584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3340" w:type="dxa"/>
            <w:vAlign w:val="bottom"/>
            <w:shd w:val="clear" w:color="auto" w:fill="000000"/>
          </w:tcPr>
          <w:p>
            <w:pPr>
              <w:spacing w:after="0"/>
              <w:rPr>
                <w:sz w:val="5"/>
                <w:szCs w:val="5"/>
                <w:color w:val="auto"/>
              </w:rPr>
            </w:pPr>
          </w:p>
        </w:tc>
        <w:tc>
          <w:tcPr>
            <w:tcW w:w="58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940" w:type="dxa"/>
            <w:vAlign w:val="bottom"/>
            <w:gridSpan w:val="3"/>
          </w:tcPr>
          <w:p>
            <w:pPr>
              <w:ind w:left="1960"/>
              <w:spacing w:after="0"/>
              <w:rPr>
                <w:sz w:val="20"/>
                <w:szCs w:val="20"/>
                <w:color w:val="auto"/>
              </w:rPr>
            </w:pPr>
            <w:r>
              <w:rPr>
                <w:rFonts w:ascii="Arial" w:cs="Arial" w:eastAsia="Arial" w:hAnsi="Arial"/>
                <w:sz w:val="18"/>
                <w:szCs w:val="18"/>
                <w:b w:val="1"/>
                <w:bCs w:val="1"/>
                <w:color w:val="auto"/>
              </w:rPr>
              <w:t>Fluidigm Corporation</w:t>
            </w:r>
          </w:p>
        </w:tc>
      </w:tr>
      <w:tr>
        <w:trPr>
          <w:trHeight w:val="688"/>
        </w:trPr>
        <w:tc>
          <w:tcPr>
            <w:tcW w:w="3500" w:type="dxa"/>
            <w:vAlign w:val="bottom"/>
          </w:tcPr>
          <w:p>
            <w:pPr>
              <w:spacing w:after="0"/>
              <w:rPr>
                <w:sz w:val="20"/>
                <w:szCs w:val="20"/>
                <w:color w:val="auto"/>
              </w:rPr>
            </w:pPr>
            <w:r>
              <w:rPr>
                <w:rFonts w:ascii="Arial" w:cs="Arial" w:eastAsia="Arial" w:hAnsi="Arial"/>
                <w:sz w:val="18"/>
                <w:szCs w:val="18"/>
                <w:color w:val="auto"/>
              </w:rPr>
              <w:t>Date: August 5, 2021</w:t>
            </w:r>
          </w:p>
        </w:tc>
        <w:tc>
          <w:tcPr>
            <w:tcW w:w="3940" w:type="dxa"/>
            <w:vAlign w:val="bottom"/>
            <w:gridSpan w:val="3"/>
          </w:tcPr>
          <w:p>
            <w:pPr>
              <w:ind w:left="1960"/>
              <w:spacing w:after="0"/>
              <w:rPr>
                <w:sz w:val="20"/>
                <w:szCs w:val="20"/>
                <w:color w:val="auto"/>
              </w:rPr>
            </w:pPr>
            <w:r>
              <w:rPr>
                <w:rFonts w:ascii="Arial" w:cs="Arial" w:eastAsia="Arial" w:hAnsi="Arial"/>
                <w:sz w:val="18"/>
                <w:szCs w:val="18"/>
                <w:color w:val="auto"/>
              </w:rPr>
              <w:t>By: /s/ Vikram Jog</w:t>
            </w:r>
          </w:p>
        </w:tc>
      </w:tr>
      <w:tr>
        <w:trPr>
          <w:trHeight w:val="237"/>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260" w:type="dxa"/>
            <w:vAlign w:val="bottom"/>
          </w:tcPr>
          <w:p>
            <w:pPr>
              <w:spacing w:after="0"/>
              <w:rPr>
                <w:sz w:val="20"/>
                <w:szCs w:val="20"/>
                <w:color w:val="auto"/>
              </w:rPr>
            </w:pPr>
          </w:p>
        </w:tc>
      </w:tr>
      <w:tr>
        <w:trPr>
          <w:trHeight w:val="243"/>
        </w:trPr>
        <w:tc>
          <w:tcPr>
            <w:tcW w:w="35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w w:val="92"/>
              </w:rPr>
              <w:t>Chief Financial Officer</w:t>
            </w:r>
          </w:p>
        </w:tc>
      </w:tr>
    </w:tbl>
    <w:p>
      <w:pPr>
        <w:sectPr>
          <w:pgSz w:w="11900" w:h="16838" w:orient="portrait"/>
          <w:cols w:equalWidth="0" w:num="1">
            <w:col w:w="11200"/>
          </w:cols>
          <w:pgMar w:left="320" w:top="540"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Fluidigm Announces Second Quarter 2021 Financial Results with Total Revenue of $31.0 Million</w:t>
      </w:r>
    </w:p>
    <w:p>
      <w:pPr>
        <w:spacing w:after="0" w:line="239" w:lineRule="exact"/>
        <w:rPr>
          <w:sz w:val="20"/>
          <w:szCs w:val="20"/>
          <w:color w:val="auto"/>
        </w:rPr>
      </w:pPr>
    </w:p>
    <w:p>
      <w:pPr>
        <w:jc w:val="center"/>
        <w:ind w:left="340" w:right="100"/>
        <w:spacing w:after="0" w:line="250" w:lineRule="auto"/>
        <w:rPr>
          <w:sz w:val="20"/>
          <w:szCs w:val="20"/>
          <w:color w:val="auto"/>
        </w:rPr>
      </w:pPr>
      <w:r>
        <w:rPr>
          <w:rFonts w:ascii="Arial" w:cs="Arial" w:eastAsia="Arial" w:hAnsi="Arial"/>
          <w:sz w:val="22"/>
          <w:szCs w:val="22"/>
          <w:b w:val="1"/>
          <w:bCs w:val="1"/>
          <w:i w:val="1"/>
          <w:iCs w:val="1"/>
          <w:color w:val="auto"/>
        </w:rPr>
        <w:t>Base business rebounds. Promising early reception to 4th generation mass cytometry instrument. Services business achieves quarterly revenue record of $6.6 million.</w:t>
      </w:r>
    </w:p>
    <w:p>
      <w:pPr>
        <w:spacing w:after="0" w:line="175"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SOUTH SAN FRANCISCO, Calif., Aug. 05, 2021 (GLOBE NEWSWIRE) -- Fluidigm Corporation (Nasdaq:FLDM), an innovative biotechnology tools provider with a vision to improve life through comprehensive health insight, today announced financial results for the second quarter ended June 30, 2021.</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“Second quarter results were driven by a rebound in our base business and early customer orders following the launch of our new</w:t>
      </w:r>
    </w:p>
    <w:p>
      <w:pPr>
        <w:spacing w:after="0" w:line="48" w:lineRule="exact"/>
        <w:rPr>
          <w:sz w:val="20"/>
          <w:szCs w:val="20"/>
          <w:color w:val="auto"/>
        </w:rPr>
      </w:pPr>
    </w:p>
    <w:p>
      <w:pPr>
        <w:ind w:right="520"/>
        <w:spacing w:after="0" w:line="200" w:lineRule="auto"/>
        <w:rPr>
          <w:sz w:val="20"/>
          <w:szCs w:val="20"/>
          <w:color w:val="auto"/>
        </w:rPr>
      </w:pPr>
      <w:r>
        <w:rPr>
          <w:rFonts w:ascii="Arial" w:cs="Arial" w:eastAsia="Arial" w:hAnsi="Arial"/>
          <w:sz w:val="22"/>
          <w:szCs w:val="22"/>
          <w:color w:val="auto"/>
        </w:rPr>
        <w:t>fourth generation CyTOF</w:t>
      </w:r>
      <w:r>
        <w:rPr>
          <w:rFonts w:ascii="Arial" w:cs="Arial" w:eastAsia="Arial" w:hAnsi="Arial"/>
          <w:sz w:val="35"/>
          <w:szCs w:val="35"/>
          <w:color w:val="auto"/>
          <w:vertAlign w:val="superscript"/>
        </w:rPr>
        <w:t>®</w:t>
      </w:r>
      <w:r>
        <w:rPr>
          <w:rFonts w:ascii="Arial" w:cs="Arial" w:eastAsia="Arial" w:hAnsi="Arial"/>
          <w:sz w:val="22"/>
          <w:szCs w:val="22"/>
          <w:color w:val="auto"/>
        </w:rPr>
        <w:t xml:space="preserve"> XT mass cytometry product,” said Chris Linthwaite, President and CEO. “Our services business continues to execute well despite a challenging operating environment.</w:t>
      </w:r>
    </w:p>
    <w:p>
      <w:pPr>
        <w:spacing w:after="0" w:line="187"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“The steady improvement in our base business performance reflects the favorable impact of our focus on innovation and partnership. We have an exciting pipeline of new customer opportunities and new products. The emergence of the Delta variant remains a wildcard in terms of testing revenue in the months ahead, but our thesis that we are well-equipped to address the biggest trends in health care remains intact, as evidenced by further penetration of translational and clinical research programs and influential consortia,” continued Linthwaite.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Highlights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The company joined the FLAMIN-GO Project consortium of academic and industry leaders in rheumatology, autoimmune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-77470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 w:lineRule="exact"/>
        <w:rPr>
          <w:sz w:val="20"/>
          <w:szCs w:val="20"/>
          <w:color w:val="auto"/>
        </w:rPr>
      </w:pPr>
    </w:p>
    <w:p>
      <w:pPr>
        <w:ind w:left="540" w:right="280"/>
        <w:spacing w:after="0" w:line="205" w:lineRule="auto"/>
        <w:rPr>
          <w:sz w:val="20"/>
          <w:szCs w:val="20"/>
          <w:color w:val="auto"/>
        </w:rPr>
      </w:pPr>
      <w:r>
        <w:rPr>
          <w:rFonts w:ascii="Arial" w:cs="Arial" w:eastAsia="Arial" w:hAnsi="Arial"/>
          <w:sz w:val="22"/>
          <w:szCs w:val="22"/>
          <w:color w:val="auto"/>
        </w:rPr>
        <w:t>disease research, and drug discovery and development to create an organ-on-a-chip solution, leveraging the Fluidigm</w:t>
      </w:r>
      <w:r>
        <w:rPr>
          <w:rFonts w:ascii="Arial" w:cs="Arial" w:eastAsia="Arial" w:hAnsi="Arial"/>
          <w:sz w:val="35"/>
          <w:szCs w:val="35"/>
          <w:color w:val="auto"/>
          <w:vertAlign w:val="superscript"/>
        </w:rPr>
        <w:t>®</w:t>
      </w:r>
      <w:r>
        <w:rPr>
          <w:rFonts w:ascii="Arial" w:cs="Arial" w:eastAsia="Arial" w:hAnsi="Arial"/>
          <w:sz w:val="22"/>
          <w:szCs w:val="22"/>
          <w:color w:val="auto"/>
        </w:rPr>
        <w:t xml:space="preserve"> Hyperion™ Imaging System as a primary tool toward personalized care and improved outcomes for rheumatoid arthritis patients.</w:t>
      </w:r>
    </w:p>
    <w:p>
      <w:pPr>
        <w:ind w:left="540"/>
        <w:spacing w:after="0" w:line="232" w:lineRule="auto"/>
        <w:rPr>
          <w:sz w:val="20"/>
          <w:szCs w:val="20"/>
          <w:color w:val="auto"/>
        </w:rPr>
      </w:pPr>
      <w:r>
        <w:rPr>
          <w:rFonts w:ascii="Arial" w:cs="Arial" w:eastAsia="Arial" w:hAnsi="Arial"/>
          <w:sz w:val="22"/>
          <w:szCs w:val="22"/>
          <w:color w:val="auto"/>
        </w:rPr>
        <w:t>At quarter end, 162 clinical trials were underway using Fluidigm proprietary CyTOF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40"/>
        <w:spacing w:after="0" w:line="236" w:lineRule="auto"/>
        <w:rPr>
          <w:sz w:val="20"/>
          <w:szCs w:val="20"/>
          <w:color w:val="auto"/>
        </w:rPr>
      </w:pPr>
      <w:r>
        <w:rPr>
          <w:rFonts w:ascii="Arial" w:cs="Arial" w:eastAsia="Arial" w:hAnsi="Arial"/>
          <w:sz w:val="22"/>
          <w:szCs w:val="22"/>
          <w:color w:val="auto"/>
        </w:rPr>
        <w:t>Total publications and reviews involving CyTOF technology exceeded 1,590, including 115 publications and reviews for Imaging Mass Cytometry™ (IMC™), as of the end of Q2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-266065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Mass Cytometry</w:t>
      </w:r>
    </w:p>
    <w:p>
      <w:pPr>
        <w:spacing w:after="0" w:line="212" w:lineRule="exact"/>
        <w:rPr>
          <w:sz w:val="20"/>
          <w:szCs w:val="20"/>
          <w:color w:val="auto"/>
        </w:rPr>
      </w:pPr>
    </w:p>
    <w:p>
      <w:pPr>
        <w:ind w:left="540" w:right="460"/>
        <w:spacing w:after="0" w:line="239" w:lineRule="auto"/>
        <w:rPr>
          <w:sz w:val="20"/>
          <w:szCs w:val="20"/>
          <w:color w:val="auto"/>
        </w:rPr>
      </w:pPr>
      <w:r>
        <w:rPr>
          <w:rFonts w:ascii="Arial" w:cs="Arial" w:eastAsia="Arial" w:hAnsi="Arial"/>
          <w:sz w:val="22"/>
          <w:szCs w:val="22"/>
          <w:color w:val="auto"/>
        </w:rPr>
        <w:t>Fluidigm’s first Mass Cytometry Investor Day showcased competitive advantages of CyTOF technology and provided updates on the company’s innovation pipeline and key 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30" w:lineRule="auto"/>
        <w:rPr>
          <w:sz w:val="20"/>
          <w:szCs w:val="20"/>
          <w:color w:val="auto"/>
        </w:rPr>
      </w:pPr>
      <w:r>
        <w:rPr>
          <w:rFonts w:ascii="Arial" w:cs="Arial" w:eastAsia="Arial" w:hAnsi="Arial"/>
          <w:sz w:val="22"/>
          <w:szCs w:val="22"/>
          <w:color w:val="auto"/>
        </w:rPr>
        <w:t>CyTOF XT™, the fourth generation CyTOF system, launched at the end of May and was met with positive customer response. CyTOF XT provides simplified operation, increased throughput, automated setup and data acquisition, improved time to results, and reduced total cost of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80"/>
        <w:spacing w:after="0" w:line="266" w:lineRule="auto"/>
        <w:rPr>
          <w:sz w:val="20"/>
          <w:szCs w:val="20"/>
          <w:color w:val="auto"/>
        </w:rPr>
      </w:pPr>
      <w:r>
        <w:rPr>
          <w:rFonts w:ascii="Arial" w:cs="Arial" w:eastAsia="Arial" w:hAnsi="Arial"/>
          <w:sz w:val="19"/>
          <w:szCs w:val="19"/>
          <w:color w:val="auto"/>
        </w:rPr>
        <w:t>Three CyTOF XT instruments were ordered by quarter end and, to date, seven have been ordered by customers in clinical and translational research, including an order from one of the largest pharmaceutical companies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The company entered into a co-marketing agreement with Ultivue under which customers of both companies will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 w:lineRule="exact"/>
        <w:rPr>
          <w:sz w:val="20"/>
          <w:szCs w:val="20"/>
          <w:color w:val="auto"/>
        </w:rPr>
      </w:pPr>
    </w:p>
    <w:p>
      <w:pPr>
        <w:ind w:left="540" w:right="280"/>
        <w:spacing w:after="0" w:line="195" w:lineRule="auto"/>
        <w:rPr>
          <w:sz w:val="20"/>
          <w:szCs w:val="20"/>
          <w:color w:val="auto"/>
        </w:rPr>
      </w:pPr>
      <w:r>
        <w:rPr>
          <w:rFonts w:ascii="Arial" w:cs="Arial" w:eastAsia="Arial" w:hAnsi="Arial"/>
          <w:sz w:val="22"/>
          <w:szCs w:val="22"/>
          <w:color w:val="auto"/>
        </w:rPr>
        <w:t>access to Imaging Mass Cytometry technology as well as the Ultivue InSituPlex</w:t>
      </w:r>
      <w:r>
        <w:rPr>
          <w:rFonts w:ascii="Arial" w:cs="Arial" w:eastAsia="Arial" w:hAnsi="Arial"/>
          <w:sz w:val="35"/>
          <w:szCs w:val="35"/>
          <w:color w:val="auto"/>
          <w:vertAlign w:val="superscript"/>
        </w:rPr>
        <w:t>®</w:t>
      </w:r>
      <w:r>
        <w:rPr>
          <w:rFonts w:ascii="Arial" w:cs="Arial" w:eastAsia="Arial" w:hAnsi="Arial"/>
          <w:sz w:val="22"/>
          <w:szCs w:val="22"/>
          <w:color w:val="auto"/>
        </w:rPr>
        <w:t xml:space="preserve"> platform, providing optimum imaging solutions for biomarker discovery and drug development.</w:t>
      </w:r>
    </w:p>
    <w:p>
      <w:pPr>
        <w:spacing w:after="0" w:line="2" w:lineRule="exact"/>
        <w:rPr>
          <w:sz w:val="20"/>
          <w:szCs w:val="20"/>
          <w:color w:val="auto"/>
        </w:rPr>
      </w:pPr>
    </w:p>
    <w:p>
      <w:pPr>
        <w:ind w:left="540" w:right="580"/>
        <w:spacing w:after="0" w:line="236" w:lineRule="auto"/>
        <w:rPr>
          <w:sz w:val="20"/>
          <w:szCs w:val="20"/>
          <w:color w:val="auto"/>
        </w:rPr>
      </w:pPr>
      <w:r>
        <w:rPr>
          <w:rFonts w:ascii="Arial" w:cs="Arial" w:eastAsia="Arial" w:hAnsi="Arial"/>
          <w:sz w:val="22"/>
          <w:szCs w:val="22"/>
          <w:color w:val="auto"/>
        </w:rPr>
        <w:t>Fluidigm forged a product development and service offering collaboration with imaging CRO ImaBiotech, providing biopharma customers greater access to IMC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-266065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Microfluidics</w:t>
      </w:r>
    </w:p>
    <w:p>
      <w:pPr>
        <w:spacing w:after="0" w:line="212" w:lineRule="exact"/>
        <w:rPr>
          <w:sz w:val="20"/>
          <w:szCs w:val="20"/>
          <w:color w:val="auto"/>
        </w:rPr>
      </w:pPr>
    </w:p>
    <w:p>
      <w:pPr>
        <w:ind w:left="540" w:right="240"/>
        <w:spacing w:after="0" w:line="234" w:lineRule="auto"/>
        <w:rPr>
          <w:sz w:val="20"/>
          <w:szCs w:val="20"/>
          <w:color w:val="auto"/>
        </w:rPr>
      </w:pPr>
      <w:r>
        <w:rPr>
          <w:rFonts w:ascii="Arial" w:cs="Arial" w:eastAsia="Arial" w:hAnsi="Arial"/>
          <w:sz w:val="22"/>
          <w:szCs w:val="22"/>
          <w:color w:val="auto"/>
        </w:rPr>
        <w:t>Our proteomics OEM partner launched a new microfluidic instrument platform designed and manufactured by Fluidigm. We achieved a milestone in our collaboration with the Defense Advanced Research Projects Agency and its Epigenetic Characterization and Observation program that supports development of innovative programs based on our microfluidics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-565150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-410845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80"/>
        <w:spacing w:after="0" w:line="266" w:lineRule="auto"/>
        <w:rPr>
          <w:sz w:val="20"/>
          <w:szCs w:val="20"/>
          <w:color w:val="auto"/>
        </w:rPr>
      </w:pPr>
      <w:r>
        <w:rPr>
          <w:rFonts w:ascii="Arial" w:cs="Arial" w:eastAsia="Arial" w:hAnsi="Arial"/>
          <w:sz w:val="19"/>
          <w:szCs w:val="19"/>
          <w:color w:val="auto"/>
        </w:rPr>
        <w:t>The company delivered on a milestone under our contract with the National Institutes of Health, National Institute of Biomedical Imaging and Bioengineering, under the agency’s Rapid Acceleration of Diagnostics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20"/>
        <w:spacing w:after="0" w:line="248" w:lineRule="auto"/>
        <w:rPr>
          <w:sz w:val="20"/>
          <w:szCs w:val="20"/>
          <w:color w:val="auto"/>
        </w:rPr>
      </w:pPr>
      <w:r>
        <w:rPr>
          <w:rFonts w:ascii="Arial" w:cs="Arial" w:eastAsia="Arial" w:hAnsi="Arial"/>
          <w:sz w:val="21"/>
          <w:szCs w:val="21"/>
          <w:color w:val="auto"/>
        </w:rPr>
        <w:t>Fluidigm remains on track for an early access program for development partners for a sample-to-answer chip that integrates many of the current workflow steps into a novel proprietary microfluidic chip. We expect to launch the program later this summer, and, later this year, introduce the next-generation Biomark™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-425450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2021 Financial Results</w:t>
      </w:r>
    </w:p>
    <w:p>
      <w:pPr>
        <w:spacing w:after="0" w:line="212"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Total revenue was $31.0 million for the quarter ended June 30, 2021, representing a 19 percent increase from $26.1 million in the second quarter of 2020. Base product and service revenue (excluding COVID-19 testing revenue) was $26.9 million, representing a 33% year-over-year increase. Service revenue of $6.6 million achieved a new quarterly record and increased 29 percent over $5.1 million for the second quarter of 2020. Total revenue also included $1.8 million and $3.5 million of other revenue in the quarters ended June 30, 2021 and 2020, respectively.</w:t>
      </w:r>
    </w:p>
    <w:p>
      <w:pPr>
        <w:spacing w:after="0" w:line="178" w:lineRule="exact"/>
        <w:rPr>
          <w:sz w:val="20"/>
          <w:szCs w:val="20"/>
          <w:color w:val="auto"/>
        </w:rPr>
      </w:pPr>
    </w:p>
    <w:p>
      <w:pPr>
        <w:ind w:right="520"/>
        <w:spacing w:after="0" w:line="250" w:lineRule="auto"/>
        <w:rPr>
          <w:sz w:val="20"/>
          <w:szCs w:val="20"/>
          <w:color w:val="auto"/>
        </w:rPr>
      </w:pPr>
      <w:r>
        <w:rPr>
          <w:rFonts w:ascii="Arial" w:cs="Arial" w:eastAsia="Arial" w:hAnsi="Arial"/>
          <w:sz w:val="22"/>
          <w:szCs w:val="22"/>
          <w:color w:val="auto"/>
        </w:rPr>
        <w:t>GAAP net loss for the quarter was $17.1 million, compared with a GAAP net loss of $13.0 million for the second quarter of 2020.</w:t>
      </w:r>
    </w:p>
    <w:p>
      <w:pPr>
        <w:sectPr>
          <w:pgSz w:w="11900" w:h="16838" w:orient="portrait"/>
          <w:cols w:equalWidth="0" w:num="1">
            <w:col w:w="11240"/>
          </w:cols>
          <w:pgMar w:left="320" w:top="112" w:right="339" w:bottom="0" w:gutter="0" w:footer="0" w:header="0"/>
        </w:sectPr>
      </w:pPr>
    </w:p>
    <w:bookmarkStart w:id="4" w:name="page5"/>
    <w:bookmarkEnd w:id="4"/>
    <w:p>
      <w:pPr>
        <w:ind w:right="140"/>
        <w:spacing w:after="0" w:line="251" w:lineRule="auto"/>
        <w:rPr>
          <w:sz w:val="20"/>
          <w:szCs w:val="20"/>
          <w:color w:val="auto"/>
        </w:rPr>
      </w:pPr>
      <w:r>
        <w:rPr>
          <w:rFonts w:ascii="Arial" w:cs="Arial" w:eastAsia="Arial" w:hAnsi="Arial"/>
          <w:sz w:val="22"/>
          <w:szCs w:val="22"/>
          <w:color w:val="auto"/>
        </w:rPr>
        <w:t>Non-GAAP net loss was $9.3 million for the quarter, compared with a $5.2 million non-GAAP net loss for the second quarter of 2020.</w:t>
      </w:r>
    </w:p>
    <w:p>
      <w:pPr>
        <w:spacing w:after="0" w:line="173"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Cash and cash equivalents and restricted cash as of June 30, 2021, totaled $31.9 million, compared to $50.8 million as of March 31, 2021.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GAAP to non-GAAP financial measures can be found in the tables of this news release.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Supplemental Financial Information updated through June 30, 2021, has been posted on our website concurrent with this release.</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Fiscal 2021 Guidance</w:t>
      </w:r>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The company is continuing to review risk factors affecting its business. This includes the recent increase in variant and primary COVID-19 infections and the impact on access to labs and research institutions, as well as ongoing declines in COVID-19 testing revenue, and a potential resolution of certain tax permit issues in China that have previously impacted revenue. However, with some adjustments, Fluidigm is currently maintaining its previously stated full-year total revenue guidance with expectations of:</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i w:val="1"/>
                <w:iCs w:val="1"/>
                <w:color w:val="auto"/>
              </w:rPr>
              <w:t>($ in millions)</w:t>
            </w:r>
          </w:p>
        </w:tc>
        <w:tc>
          <w:tcPr>
            <w:tcW w:w="34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2020</w:t>
            </w:r>
          </w:p>
        </w:tc>
        <w:tc>
          <w:tcPr>
            <w:tcW w:w="2600" w:type="dxa"/>
            <w:vAlign w:val="bottom"/>
            <w:tcBorders>
              <w:top w:val="single" w:sz="8" w:color="auto"/>
              <w:bottom w:val="single" w:sz="8" w:color="auto"/>
            </w:tcBorders>
            <w:gridSpan w:val="2"/>
          </w:tcPr>
          <w:p>
            <w:pPr>
              <w:jc w:val="right"/>
              <w:ind w:right="1012"/>
              <w:spacing w:after="0"/>
              <w:rPr>
                <w:sz w:val="20"/>
                <w:szCs w:val="20"/>
                <w:color w:val="auto"/>
              </w:rPr>
            </w:pPr>
            <w:r>
              <w:rPr>
                <w:rFonts w:ascii="Arial" w:cs="Arial" w:eastAsia="Arial" w:hAnsi="Arial"/>
                <w:sz w:val="22"/>
                <w:szCs w:val="22"/>
                <w:b w:val="1"/>
                <w:bCs w:val="1"/>
                <w:color w:val="auto"/>
              </w:rPr>
              <w:t>2021</w:t>
            </w:r>
          </w:p>
        </w:tc>
      </w:tr>
      <w:tr>
        <w:trPr>
          <w:trHeight w:val="223"/>
        </w:trPr>
        <w:tc>
          <w:tcPr>
            <w:tcW w:w="52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340" w:type="dxa"/>
            <w:vAlign w:val="bottom"/>
          </w:tcPr>
          <w:p>
            <w:pPr>
              <w:jc w:val="right"/>
              <w:ind w:right="272"/>
              <w:spacing w:after="0" w:line="223" w:lineRule="exact"/>
              <w:rPr>
                <w:sz w:val="20"/>
                <w:szCs w:val="20"/>
                <w:color w:val="auto"/>
              </w:rPr>
            </w:pPr>
            <w:r>
              <w:rPr>
                <w:rFonts w:ascii="Arial" w:cs="Arial" w:eastAsia="Arial" w:hAnsi="Arial"/>
                <w:sz w:val="22"/>
                <w:szCs w:val="22"/>
                <w:b w:val="1"/>
                <w:bCs w:val="1"/>
                <w:color w:val="auto"/>
              </w:rPr>
              <w:t>Previous</w:t>
            </w:r>
          </w:p>
        </w:tc>
        <w:tc>
          <w:tcPr>
            <w:tcW w:w="1260" w:type="dxa"/>
            <w:vAlign w:val="bottom"/>
          </w:tcPr>
          <w:p>
            <w:pPr>
              <w:jc w:val="right"/>
              <w:ind w:right="212"/>
              <w:spacing w:after="0" w:line="223" w:lineRule="exact"/>
              <w:rPr>
                <w:sz w:val="20"/>
                <w:szCs w:val="20"/>
                <w:color w:val="auto"/>
              </w:rPr>
            </w:pPr>
            <w:r>
              <w:rPr>
                <w:rFonts w:ascii="Arial" w:cs="Arial" w:eastAsia="Arial" w:hAnsi="Arial"/>
                <w:sz w:val="22"/>
                <w:szCs w:val="22"/>
                <w:b w:val="1"/>
                <w:bCs w:val="1"/>
                <w:color w:val="auto"/>
              </w:rPr>
              <w:t>Current</w:t>
            </w:r>
          </w:p>
        </w:tc>
      </w:tr>
      <w:tr>
        <w:trPr>
          <w:trHeight w:val="282"/>
        </w:trPr>
        <w:tc>
          <w:tcPr>
            <w:tcW w:w="5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Actuals</w:t>
            </w:r>
          </w:p>
        </w:tc>
        <w:tc>
          <w:tcPr>
            <w:tcW w:w="13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Guidance</w:t>
            </w: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rPr>
              <w:t>Guidance</w:t>
            </w:r>
          </w:p>
        </w:tc>
      </w:tr>
      <w:tr>
        <w:trPr>
          <w:trHeight w:val="251"/>
        </w:trPr>
        <w:tc>
          <w:tcPr>
            <w:tcW w:w="5220" w:type="dxa"/>
            <w:vAlign w:val="bottom"/>
          </w:tcPr>
          <w:p>
            <w:pPr>
              <w:ind w:left="20"/>
              <w:spacing w:after="0" w:line="251" w:lineRule="exact"/>
              <w:rPr>
                <w:sz w:val="20"/>
                <w:szCs w:val="20"/>
                <w:color w:val="auto"/>
              </w:rPr>
            </w:pPr>
            <w:r>
              <w:rPr>
                <w:rFonts w:ascii="Arial" w:cs="Arial" w:eastAsia="Arial" w:hAnsi="Arial"/>
                <w:sz w:val="22"/>
                <w:szCs w:val="22"/>
                <w:b w:val="1"/>
                <w:bCs w:val="1"/>
                <w:color w:val="auto"/>
              </w:rPr>
              <w:t>Product &amp; Service Revenue</w:t>
            </w:r>
          </w:p>
        </w:tc>
        <w:tc>
          <w:tcPr>
            <w:tcW w:w="3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5220" w:type="dxa"/>
            <w:vAlign w:val="bottom"/>
          </w:tcPr>
          <w:p>
            <w:pPr>
              <w:ind w:left="20"/>
              <w:spacing w:after="0"/>
              <w:rPr>
                <w:sz w:val="20"/>
                <w:szCs w:val="20"/>
                <w:color w:val="auto"/>
              </w:rPr>
            </w:pPr>
            <w:r>
              <w:rPr>
                <w:rFonts w:ascii="Arial" w:cs="Arial" w:eastAsia="Arial" w:hAnsi="Arial"/>
                <w:sz w:val="22"/>
                <w:szCs w:val="22"/>
                <w:b w:val="1"/>
                <w:bCs w:val="1"/>
                <w:color w:val="auto"/>
              </w:rPr>
              <w:t>Base business</w:t>
            </w:r>
          </w:p>
        </w:tc>
        <w:tc>
          <w:tcPr>
            <w:tcW w:w="3420" w:type="dxa"/>
            <w:vAlign w:val="bottom"/>
          </w:tcPr>
          <w:p>
            <w:pPr>
              <w:jc w:val="right"/>
              <w:spacing w:after="0"/>
              <w:rPr>
                <w:sz w:val="20"/>
                <w:szCs w:val="20"/>
                <w:color w:val="auto"/>
              </w:rPr>
            </w:pPr>
            <w:r>
              <w:rPr>
                <w:rFonts w:ascii="Arial" w:cs="Arial" w:eastAsia="Arial" w:hAnsi="Arial"/>
                <w:sz w:val="22"/>
                <w:szCs w:val="22"/>
                <w:color w:val="auto"/>
              </w:rPr>
              <w:t>$100.1</w:t>
            </w:r>
          </w:p>
        </w:tc>
        <w:tc>
          <w:tcPr>
            <w:tcW w:w="1340" w:type="dxa"/>
            <w:vAlign w:val="bottom"/>
          </w:tcPr>
          <w:p>
            <w:pPr>
              <w:jc w:val="right"/>
              <w:spacing w:after="0"/>
              <w:rPr>
                <w:sz w:val="20"/>
                <w:szCs w:val="20"/>
                <w:color w:val="auto"/>
              </w:rPr>
            </w:pPr>
            <w:r>
              <w:rPr>
                <w:rFonts w:ascii="Arial" w:cs="Arial" w:eastAsia="Arial" w:hAnsi="Arial"/>
                <w:sz w:val="22"/>
                <w:szCs w:val="22"/>
                <w:color w:val="auto"/>
              </w:rPr>
              <w:t>$116 – $117</w:t>
            </w:r>
          </w:p>
        </w:tc>
        <w:tc>
          <w:tcPr>
            <w:tcW w:w="1260" w:type="dxa"/>
            <w:vAlign w:val="bottom"/>
          </w:tcPr>
          <w:p>
            <w:pPr>
              <w:jc w:val="right"/>
              <w:spacing w:after="0"/>
              <w:rPr>
                <w:sz w:val="20"/>
                <w:szCs w:val="20"/>
                <w:color w:val="auto"/>
              </w:rPr>
            </w:pPr>
            <w:r>
              <w:rPr>
                <w:rFonts w:ascii="Arial" w:cs="Arial" w:eastAsia="Arial" w:hAnsi="Arial"/>
                <w:sz w:val="22"/>
                <w:szCs w:val="22"/>
                <w:color w:val="auto"/>
                <w:w w:val="99"/>
              </w:rPr>
              <w:t>$120 – $122</w:t>
            </w:r>
          </w:p>
        </w:tc>
      </w:tr>
      <w:tr>
        <w:trPr>
          <w:trHeight w:val="270"/>
        </w:trPr>
        <w:tc>
          <w:tcPr>
            <w:tcW w:w="5220" w:type="dxa"/>
            <w:vAlign w:val="bottom"/>
          </w:tcPr>
          <w:p>
            <w:pPr>
              <w:ind w:left="20"/>
              <w:spacing w:after="0"/>
              <w:rPr>
                <w:sz w:val="20"/>
                <w:szCs w:val="20"/>
                <w:color w:val="auto"/>
              </w:rPr>
            </w:pPr>
            <w:r>
              <w:rPr>
                <w:rFonts w:ascii="Arial" w:cs="Arial" w:eastAsia="Arial" w:hAnsi="Arial"/>
                <w:sz w:val="22"/>
                <w:szCs w:val="22"/>
                <w:color w:val="auto"/>
              </w:rPr>
              <w:t>COVID-19 Testing Revenue</w:t>
            </w:r>
          </w:p>
        </w:tc>
        <w:tc>
          <w:tcPr>
            <w:tcW w:w="3420" w:type="dxa"/>
            <w:vAlign w:val="bottom"/>
          </w:tcPr>
          <w:p>
            <w:pPr>
              <w:jc w:val="right"/>
              <w:spacing w:after="0"/>
              <w:rPr>
                <w:sz w:val="20"/>
                <w:szCs w:val="20"/>
                <w:color w:val="auto"/>
              </w:rPr>
            </w:pPr>
            <w:r>
              <w:rPr>
                <w:rFonts w:ascii="Arial" w:cs="Arial" w:eastAsia="Arial" w:hAnsi="Arial"/>
                <w:sz w:val="22"/>
                <w:szCs w:val="22"/>
                <w:color w:val="auto"/>
              </w:rPr>
              <w:t>$22.4</w:t>
            </w:r>
          </w:p>
        </w:tc>
        <w:tc>
          <w:tcPr>
            <w:tcW w:w="1340" w:type="dxa"/>
            <w:vAlign w:val="bottom"/>
          </w:tcPr>
          <w:p>
            <w:pPr>
              <w:jc w:val="right"/>
              <w:spacing w:after="0"/>
              <w:rPr>
                <w:sz w:val="20"/>
                <w:szCs w:val="20"/>
                <w:color w:val="auto"/>
              </w:rPr>
            </w:pPr>
            <w:r>
              <w:rPr>
                <w:rFonts w:ascii="Arial" w:cs="Arial" w:eastAsia="Arial" w:hAnsi="Arial"/>
                <w:sz w:val="22"/>
                <w:szCs w:val="22"/>
                <w:color w:val="auto"/>
              </w:rPr>
              <w:t>$14 – $18</w:t>
            </w:r>
          </w:p>
        </w:tc>
        <w:tc>
          <w:tcPr>
            <w:tcW w:w="1260" w:type="dxa"/>
            <w:vAlign w:val="bottom"/>
          </w:tcPr>
          <w:p>
            <w:pPr>
              <w:jc w:val="right"/>
              <w:spacing w:after="0"/>
              <w:rPr>
                <w:sz w:val="20"/>
                <w:szCs w:val="20"/>
                <w:color w:val="auto"/>
              </w:rPr>
            </w:pPr>
            <w:r>
              <w:rPr>
                <w:rFonts w:ascii="Arial" w:cs="Arial" w:eastAsia="Arial" w:hAnsi="Arial"/>
                <w:sz w:val="22"/>
                <w:szCs w:val="22"/>
                <w:color w:val="auto"/>
              </w:rPr>
              <w:t>$10 – $13</w:t>
            </w:r>
          </w:p>
        </w:tc>
      </w:tr>
      <w:tr>
        <w:trPr>
          <w:trHeight w:val="270"/>
        </w:trPr>
        <w:tc>
          <w:tcPr>
            <w:tcW w:w="5220" w:type="dxa"/>
            <w:vAlign w:val="bottom"/>
          </w:tcPr>
          <w:p>
            <w:pPr>
              <w:ind w:left="20"/>
              <w:spacing w:after="0"/>
              <w:rPr>
                <w:sz w:val="20"/>
                <w:szCs w:val="20"/>
                <w:color w:val="auto"/>
              </w:rPr>
            </w:pPr>
            <w:r>
              <w:rPr>
                <w:rFonts w:ascii="Arial" w:cs="Arial" w:eastAsia="Arial" w:hAnsi="Arial"/>
                <w:sz w:val="22"/>
                <w:szCs w:val="22"/>
                <w:color w:val="auto"/>
              </w:rPr>
              <w:t>Total Product &amp; Service Revenue</w:t>
            </w:r>
          </w:p>
        </w:tc>
        <w:tc>
          <w:tcPr>
            <w:tcW w:w="3420" w:type="dxa"/>
            <w:vAlign w:val="bottom"/>
          </w:tcPr>
          <w:p>
            <w:pPr>
              <w:jc w:val="right"/>
              <w:spacing w:after="0"/>
              <w:rPr>
                <w:sz w:val="20"/>
                <w:szCs w:val="20"/>
                <w:color w:val="auto"/>
              </w:rPr>
            </w:pPr>
            <w:r>
              <w:rPr>
                <w:rFonts w:ascii="Arial" w:cs="Arial" w:eastAsia="Arial" w:hAnsi="Arial"/>
                <w:sz w:val="22"/>
                <w:szCs w:val="22"/>
                <w:color w:val="auto"/>
              </w:rPr>
              <w:t>$122.5</w:t>
            </w:r>
          </w:p>
        </w:tc>
        <w:tc>
          <w:tcPr>
            <w:tcW w:w="1340" w:type="dxa"/>
            <w:vAlign w:val="bottom"/>
          </w:tcPr>
          <w:p>
            <w:pPr>
              <w:jc w:val="right"/>
              <w:spacing w:after="0"/>
              <w:rPr>
                <w:sz w:val="20"/>
                <w:szCs w:val="20"/>
                <w:color w:val="auto"/>
              </w:rPr>
            </w:pPr>
            <w:r>
              <w:rPr>
                <w:rFonts w:ascii="Arial" w:cs="Arial" w:eastAsia="Arial" w:hAnsi="Arial"/>
                <w:sz w:val="22"/>
                <w:szCs w:val="22"/>
                <w:color w:val="auto"/>
              </w:rPr>
              <w:t>$130 – $135</w:t>
            </w:r>
          </w:p>
        </w:tc>
        <w:tc>
          <w:tcPr>
            <w:tcW w:w="1260" w:type="dxa"/>
            <w:vAlign w:val="bottom"/>
          </w:tcPr>
          <w:p>
            <w:pPr>
              <w:jc w:val="right"/>
              <w:spacing w:after="0"/>
              <w:rPr>
                <w:sz w:val="20"/>
                <w:szCs w:val="20"/>
                <w:color w:val="auto"/>
              </w:rPr>
            </w:pPr>
            <w:r>
              <w:rPr>
                <w:rFonts w:ascii="Arial" w:cs="Arial" w:eastAsia="Arial" w:hAnsi="Arial"/>
                <w:sz w:val="22"/>
                <w:szCs w:val="22"/>
                <w:color w:val="auto"/>
                <w:w w:val="99"/>
              </w:rPr>
              <w:t>$130 – $135</w:t>
            </w:r>
          </w:p>
        </w:tc>
      </w:tr>
      <w:tr>
        <w:trPr>
          <w:trHeight w:val="27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Other Revenue</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 – $5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 – $5</w:t>
            </w:r>
          </w:p>
        </w:tc>
      </w:tr>
      <w:tr>
        <w:trPr>
          <w:trHeight w:val="265"/>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Total Revenue</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$138.1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$134 – $140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9"/>
              </w:rPr>
              <w:t>$134 – $140</w:t>
            </w:r>
          </w:p>
        </w:tc>
      </w:tr>
      <w:tr>
        <w:trPr>
          <w:trHeight w:val="520"/>
        </w:trPr>
        <w:tc>
          <w:tcPr>
            <w:tcW w:w="5220" w:type="dxa"/>
            <w:vAlign w:val="bottom"/>
          </w:tcPr>
          <w:p>
            <w:pPr>
              <w:ind w:left="20"/>
              <w:spacing w:after="0"/>
              <w:rPr>
                <w:sz w:val="20"/>
                <w:szCs w:val="20"/>
                <w:color w:val="auto"/>
              </w:rPr>
            </w:pPr>
            <w:r>
              <w:rPr>
                <w:rFonts w:ascii="Arial" w:cs="Arial" w:eastAsia="Arial" w:hAnsi="Arial"/>
                <w:sz w:val="22"/>
                <w:szCs w:val="22"/>
                <w:i w:val="1"/>
                <w:iCs w:val="1"/>
                <w:color w:val="auto"/>
              </w:rPr>
              <w:t>Year-over-year growth</w:t>
            </w: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6"/>
        </w:trPr>
        <w:tc>
          <w:tcPr>
            <w:tcW w:w="5220" w:type="dxa"/>
            <w:vAlign w:val="bottom"/>
          </w:tcPr>
          <w:p>
            <w:pPr>
              <w:ind w:left="20"/>
              <w:spacing w:after="0"/>
              <w:rPr>
                <w:sz w:val="20"/>
                <w:szCs w:val="20"/>
                <w:color w:val="auto"/>
              </w:rPr>
            </w:pPr>
            <w:r>
              <w:rPr>
                <w:rFonts w:ascii="Arial" w:cs="Arial" w:eastAsia="Arial" w:hAnsi="Arial"/>
                <w:sz w:val="22"/>
                <w:szCs w:val="22"/>
                <w:b w:val="1"/>
                <w:bCs w:val="1"/>
                <w:color w:val="auto"/>
              </w:rPr>
              <w:t>Base business</w:t>
            </w:r>
          </w:p>
        </w:tc>
        <w:tc>
          <w:tcPr>
            <w:tcW w:w="3420" w:type="dxa"/>
            <w:vAlign w:val="bottom"/>
          </w:tcPr>
          <w:p>
            <w:pPr>
              <w:jc w:val="right"/>
              <w:spacing w:after="0"/>
              <w:rPr>
                <w:sz w:val="20"/>
                <w:szCs w:val="20"/>
                <w:color w:val="auto"/>
              </w:rPr>
            </w:pPr>
            <w:r>
              <w:rPr>
                <w:rFonts w:ascii="Arial" w:cs="Arial" w:eastAsia="Arial" w:hAnsi="Arial"/>
                <w:sz w:val="22"/>
                <w:szCs w:val="22"/>
                <w:color w:val="auto"/>
              </w:rPr>
              <w:t>-14%</w:t>
            </w:r>
          </w:p>
        </w:tc>
        <w:tc>
          <w:tcPr>
            <w:tcW w:w="1340" w:type="dxa"/>
            <w:vAlign w:val="bottom"/>
          </w:tcPr>
          <w:p>
            <w:pPr>
              <w:jc w:val="right"/>
              <w:spacing w:after="0"/>
              <w:rPr>
                <w:sz w:val="20"/>
                <w:szCs w:val="20"/>
                <w:color w:val="auto"/>
              </w:rPr>
            </w:pPr>
            <w:r>
              <w:rPr>
                <w:rFonts w:ascii="Arial" w:cs="Arial" w:eastAsia="Arial" w:hAnsi="Arial"/>
                <w:sz w:val="22"/>
                <w:szCs w:val="22"/>
                <w:color w:val="auto"/>
              </w:rPr>
              <w:t>16% – 17%</w:t>
            </w:r>
          </w:p>
        </w:tc>
        <w:tc>
          <w:tcPr>
            <w:tcW w:w="1260" w:type="dxa"/>
            <w:vAlign w:val="bottom"/>
          </w:tcPr>
          <w:p>
            <w:pPr>
              <w:jc w:val="right"/>
              <w:spacing w:after="0"/>
              <w:rPr>
                <w:sz w:val="20"/>
                <w:szCs w:val="20"/>
                <w:color w:val="auto"/>
              </w:rPr>
            </w:pPr>
            <w:r>
              <w:rPr>
                <w:rFonts w:ascii="Arial" w:cs="Arial" w:eastAsia="Arial" w:hAnsi="Arial"/>
                <w:sz w:val="22"/>
                <w:szCs w:val="22"/>
                <w:color w:val="auto"/>
              </w:rPr>
              <w:t>20% – 22%</w:t>
            </w:r>
          </w:p>
        </w:tc>
      </w:tr>
      <w:tr>
        <w:trPr>
          <w:trHeight w:val="270"/>
        </w:trPr>
        <w:tc>
          <w:tcPr>
            <w:tcW w:w="5220" w:type="dxa"/>
            <w:vAlign w:val="bottom"/>
          </w:tcPr>
          <w:p>
            <w:pPr>
              <w:ind w:left="20"/>
              <w:spacing w:after="0"/>
              <w:rPr>
                <w:sz w:val="20"/>
                <w:szCs w:val="20"/>
                <w:color w:val="auto"/>
              </w:rPr>
            </w:pPr>
            <w:r>
              <w:rPr>
                <w:rFonts w:ascii="Arial" w:cs="Arial" w:eastAsia="Arial" w:hAnsi="Arial"/>
                <w:sz w:val="22"/>
                <w:szCs w:val="22"/>
                <w:color w:val="auto"/>
              </w:rPr>
              <w:t>COVID-19 Testing Revenue</w:t>
            </w:r>
          </w:p>
        </w:tc>
        <w:tc>
          <w:tcPr>
            <w:tcW w:w="3420" w:type="dxa"/>
            <w:vAlign w:val="bottom"/>
          </w:tcPr>
          <w:p>
            <w:pPr>
              <w:jc w:val="right"/>
              <w:spacing w:after="0"/>
              <w:rPr>
                <w:sz w:val="20"/>
                <w:szCs w:val="20"/>
                <w:color w:val="auto"/>
              </w:rPr>
            </w:pPr>
            <w:r>
              <w:rPr>
                <w:rFonts w:ascii="Arial" w:cs="Arial" w:eastAsia="Arial" w:hAnsi="Arial"/>
                <w:sz w:val="22"/>
                <w:szCs w:val="22"/>
                <w:color w:val="auto"/>
              </w:rPr>
              <w:t>NM</w:t>
            </w:r>
          </w:p>
        </w:tc>
        <w:tc>
          <w:tcPr>
            <w:tcW w:w="1340" w:type="dxa"/>
            <w:vAlign w:val="bottom"/>
          </w:tcPr>
          <w:p>
            <w:pPr>
              <w:jc w:val="right"/>
              <w:spacing w:after="0"/>
              <w:rPr>
                <w:sz w:val="20"/>
                <w:szCs w:val="20"/>
                <w:color w:val="auto"/>
              </w:rPr>
            </w:pPr>
            <w:r>
              <w:rPr>
                <w:rFonts w:ascii="Arial" w:cs="Arial" w:eastAsia="Arial" w:hAnsi="Arial"/>
                <w:sz w:val="22"/>
                <w:szCs w:val="22"/>
                <w:color w:val="auto"/>
                <w:w w:val="97"/>
              </w:rPr>
              <w:t>-38% – -20%</w:t>
            </w:r>
          </w:p>
        </w:tc>
        <w:tc>
          <w:tcPr>
            <w:tcW w:w="1260" w:type="dxa"/>
            <w:vAlign w:val="bottom"/>
          </w:tcPr>
          <w:p>
            <w:pPr>
              <w:jc w:val="right"/>
              <w:spacing w:after="0"/>
              <w:rPr>
                <w:sz w:val="20"/>
                <w:szCs w:val="20"/>
                <w:color w:val="auto"/>
              </w:rPr>
            </w:pPr>
            <w:r>
              <w:rPr>
                <w:rFonts w:ascii="Arial" w:cs="Arial" w:eastAsia="Arial" w:hAnsi="Arial"/>
                <w:sz w:val="22"/>
                <w:szCs w:val="22"/>
                <w:color w:val="auto"/>
                <w:w w:val="95"/>
              </w:rPr>
              <w:t>-60% – -42%</w:t>
            </w:r>
          </w:p>
        </w:tc>
      </w:tr>
      <w:tr>
        <w:trPr>
          <w:trHeight w:val="27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Total Product &amp; Service Revenue</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 – 10%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 – 10%</w:t>
            </w:r>
          </w:p>
        </w:tc>
      </w:tr>
      <w:tr>
        <w:trPr>
          <w:trHeight w:val="265"/>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Total Revenue</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 – 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 – 1%</w:t>
            </w:r>
          </w:p>
        </w:tc>
      </w:tr>
    </w:tbl>
    <w:p>
      <w:pPr>
        <w:spacing w:after="0" w:line="19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GAAP net loss of $62 million to $65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net loss of $29 million to $32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Q3 2021 Guidance</w:t>
      </w:r>
    </w:p>
    <w:p>
      <w:pPr>
        <w:spacing w:after="0" w:line="212" w:lineRule="exact"/>
        <w:rPr>
          <w:sz w:val="20"/>
          <w:szCs w:val="20"/>
          <w:color w:val="auto"/>
        </w:rPr>
      </w:pPr>
    </w:p>
    <w:p>
      <w:pPr>
        <w:ind w:left="540" w:right="180"/>
        <w:spacing w:after="0" w:line="250" w:lineRule="auto"/>
        <w:rPr>
          <w:sz w:val="20"/>
          <w:szCs w:val="20"/>
          <w:color w:val="auto"/>
        </w:rPr>
      </w:pPr>
      <w:r>
        <w:rPr>
          <w:rFonts w:ascii="Arial" w:cs="Arial" w:eastAsia="Arial" w:hAnsi="Arial"/>
          <w:sz w:val="22"/>
          <w:szCs w:val="22"/>
          <w:color w:val="auto"/>
        </w:rPr>
        <w:t>Base product and service revenue (excluding COVID-19 testing revenue) of approximately $29 million to $30 million, or approximately 16 to 20 percent year-over-year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-273050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4" w:lineRule="exact"/>
        <w:rPr>
          <w:sz w:val="20"/>
          <w:szCs w:val="20"/>
          <w:color w:val="auto"/>
        </w:rPr>
      </w:pPr>
    </w:p>
    <w:p>
      <w:pPr>
        <w:ind w:left="540" w:right="180"/>
        <w:spacing w:after="0"/>
        <w:rPr>
          <w:sz w:val="20"/>
          <w:szCs w:val="20"/>
          <w:color w:val="auto"/>
        </w:rPr>
      </w:pPr>
      <w:r>
        <w:rPr>
          <w:rFonts w:ascii="Arial" w:cs="Arial" w:eastAsia="Arial" w:hAnsi="Arial"/>
          <w:sz w:val="22"/>
          <w:szCs w:val="22"/>
          <w:color w:val="auto"/>
        </w:rPr>
        <w:t>Total product and service revenue of approximately $29 million to $31 million, or a year-over-year decline of approximately 12 percent to 18 percent. Product and service revenue in Q3 2020 included approximately $10.5 million of COVID-19 testing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Total revenue of approximately $29 million to $31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14" w:lineRule="exact"/>
        <w:rPr>
          <w:sz w:val="20"/>
          <w:szCs w:val="20"/>
          <w:color w:val="auto"/>
        </w:rPr>
      </w:pPr>
    </w:p>
    <w:p>
      <w:pPr>
        <w:ind w:right="600"/>
        <w:spacing w:after="0" w:line="234" w:lineRule="auto"/>
        <w:rPr>
          <w:sz w:val="20"/>
          <w:szCs w:val="20"/>
          <w:color w:val="auto"/>
        </w:rPr>
      </w:pPr>
      <w:r>
        <w:rPr>
          <w:rFonts w:ascii="Arial" w:cs="Arial" w:eastAsia="Arial" w:hAnsi="Arial"/>
          <w:sz w:val="22"/>
          <w:szCs w:val="22"/>
          <w:color w:val="auto"/>
        </w:rPr>
        <w:t>Fluidigm will host a conference call today, August 5, 2021, at 2:00 p.m. PT, 5:00 p.m. ET, to discuss second quarter 2021 financial results and operational progress. Individuals interested in listening to the conference call may do so by dialing the following:</w:t>
      </w:r>
    </w:p>
    <w:p>
      <w:pPr>
        <w:spacing w:after="0" w:line="187"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US domestic callers: (877) 556-5248</w:t>
      </w:r>
    </w:p>
    <w:p>
      <w:pPr>
        <w:ind w:left="4080"/>
        <w:spacing w:after="0" w:line="238" w:lineRule="auto"/>
        <w:rPr>
          <w:sz w:val="20"/>
          <w:szCs w:val="20"/>
          <w:color w:val="auto"/>
        </w:rPr>
      </w:pPr>
      <w:r>
        <w:rPr>
          <w:rFonts w:ascii="Arial" w:cs="Arial" w:eastAsia="Arial" w:hAnsi="Arial"/>
          <w:sz w:val="22"/>
          <w:szCs w:val="22"/>
          <w:color w:val="auto"/>
        </w:rPr>
        <w:t>Outside US callers: (720) 545-0029</w:t>
      </w:r>
    </w:p>
    <w:p>
      <w:pPr>
        <w:ind w:left="3820"/>
        <w:spacing w:after="0"/>
        <w:rPr>
          <w:sz w:val="20"/>
          <w:szCs w:val="20"/>
          <w:color w:val="auto"/>
        </w:rPr>
      </w:pPr>
      <w:r>
        <w:rPr>
          <w:rFonts w:ascii="Arial" w:cs="Arial" w:eastAsia="Arial" w:hAnsi="Arial"/>
          <w:sz w:val="22"/>
          <w:szCs w:val="22"/>
          <w:color w:val="auto"/>
        </w:rPr>
        <w:t>Please reference Conference ID: 4579345</w:t>
      </w:r>
    </w:p>
    <w:p>
      <w:pPr>
        <w:spacing w:after="0" w:line="188" w:lineRule="exact"/>
        <w:rPr>
          <w:sz w:val="20"/>
          <w:szCs w:val="20"/>
          <w:color w:val="auto"/>
        </w:rPr>
      </w:pPr>
    </w:p>
    <w:p>
      <w:pPr>
        <w:ind w:right="440"/>
        <w:spacing w:after="0"/>
        <w:rPr>
          <w:sz w:val="20"/>
          <w:szCs w:val="20"/>
          <w:color w:val="auto"/>
        </w:rPr>
      </w:pPr>
      <w:r>
        <w:rPr>
          <w:rFonts w:ascii="Arial" w:cs="Arial" w:eastAsia="Arial" w:hAnsi="Arial"/>
          <w:sz w:val="22"/>
          <w:szCs w:val="22"/>
          <w:color w:val="auto"/>
        </w:rPr>
        <w:t>A live webcast of the conference call will be available online from the Investor Relations page of the company’s website at Events &amp; Presentations. The link will not be active until 1:45 p.m. PT, 4:45 p.m. ET, on August 5, 2021. The webcast will be archived on the Fluidigm Investor Relations page at investors.fluidigm.com.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14"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Fluidigm has presented certain financial information in accordance with U.S. GAAP and also on a non-GAAP basis for the three-month periods ended June 30, 2021, and June 30, 2020, as well as guidance for non-GAAP net loss for fiscal 2021.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w:t>
      </w:r>
    </w:p>
    <w:p>
      <w:pPr>
        <w:sectPr>
          <w:pgSz w:w="11900" w:h="16838" w:orient="portrait"/>
          <w:cols w:equalWidth="0" w:num="1">
            <w:col w:w="11240"/>
          </w:cols>
          <w:pgMar w:left="320" w:top="118" w:right="339" w:bottom="0" w:gutter="0" w:footer="0" w:header="0"/>
        </w:sectPr>
      </w:pPr>
    </w:p>
    <w:bookmarkStart w:id="5" w:name="page6"/>
    <w:bookmarkEnd w:id="5"/>
    <w:p>
      <w:pPr>
        <w:ind w:right="80"/>
        <w:spacing w:after="0" w:line="272" w:lineRule="auto"/>
        <w:rPr>
          <w:sz w:val="20"/>
          <w:szCs w:val="20"/>
          <w:color w:val="auto"/>
        </w:rPr>
      </w:pPr>
      <w:r>
        <w:rPr>
          <w:rFonts w:ascii="Arial" w:cs="Arial" w:eastAsia="Arial" w:hAnsi="Arial"/>
          <w:sz w:val="19"/>
          <w:szCs w:val="19"/>
          <w:color w:val="auto"/>
        </w:rPr>
        <w:t>strategic plans and to benchmark the company’s performance externally against competitors. Our estimates of forward-looking non-GAAP operating loss exclude estimates for stock-based compensation expense and depreciation and amortization; loss on disposal of property and equipment; future changes relating to developed and acquired technologies; other intangible assets; and income taxes, among other items, certain of which are presented in the tables accompanying our earnings release. A reconciliation of adjusted guidance measures to corresponding GAAP measures is not available on a forward-looking basis without unreasonable effort due to the uncertainty regarding certain expenses that may be incurred in the future. The time and amount of certain material items needed to estimate non-GAAP financial measures are inherently unpredictable or outside of our control. Material changes to any of these items could have a significant effect on guidance and future GAAP results.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14"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anticipated demand for new products, new product introductions and launch plans, access to new customers and markets, the impact of COVID-19, market trends and the benefits of Fluidigm technologies to address such trends, anticipated benefits under collaborations and under agreements with third parties, and revenue and net loss guidance for future periods. Forward-looking statements are subject to numerous risks and uncertainties that could cause actual results to differ materially from currently anticipated results, including but not limited to risks relating to the potential adverse effects of the coronavirus pandemic on our business and operating results; declines in revenue from COVID-19 testing; the possible loss of key employees, customers, or suppliers; uncertainties in contractual relationships; customers and prospective customers continuing to curtail or suspend activities utilizing our products; our ability and/or the ability of the research institutions utilizing our products and technology to obtain and maintain Emergency Use Authorization from the FDA and any other requisite authorizations or approvals to use our products and technology for diagnostic testing purposes; potential changes in priorities or requirements for Emergency Use Authorizations or other regulatory authorizations or approvals; potential limitations of any Emergency Use Authorization or other regulatory authorizations or approvals; potential changes in the priorities of government agencies; challenges inherent in developing, manufacturing, launching, marketing, and selling new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Fluidigm research and development and distribution plans and capabilities; interruptions or delays in the supply of components or materials for, or manufacturing of, Fluidigm products; potential product performance and quality issues; risks associated with international operations; intellectual property risks; and competition. Information on these and additional risks and uncertainties and other information</w:t>
      </w:r>
    </w:p>
    <w:p>
      <w:pPr>
        <w:spacing w:after="0" w:line="17" w:lineRule="exact"/>
        <w:rPr>
          <w:sz w:val="20"/>
          <w:szCs w:val="20"/>
          <w:color w:val="auto"/>
        </w:rPr>
      </w:pPr>
    </w:p>
    <w:p>
      <w:pPr>
        <w:ind w:right="80"/>
        <w:spacing w:after="0" w:line="233" w:lineRule="auto"/>
        <w:rPr>
          <w:sz w:val="20"/>
          <w:szCs w:val="20"/>
          <w:color w:val="auto"/>
        </w:rPr>
      </w:pPr>
      <w:r>
        <w:rPr>
          <w:rFonts w:ascii="Arial" w:cs="Arial" w:eastAsia="Arial" w:hAnsi="Arial"/>
          <w:sz w:val="22"/>
          <w:szCs w:val="22"/>
          <w:color w:val="auto"/>
        </w:rPr>
        <w:t>affecting Fluidigm's business and operating results is contained in its Annual Report on Form 10-K for the year ended December 31, 2020, and in its other filings with the Securities and Exchange Commission. These forward-looking statements speak only as of the date hereof. Fluidigm disclaims any obligation to update these forward-looking statements except as may be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14" w:lineRule="exact"/>
        <w:rPr>
          <w:sz w:val="20"/>
          <w:szCs w:val="20"/>
          <w:color w:val="auto"/>
        </w:rPr>
      </w:pPr>
    </w:p>
    <w:p>
      <w:pPr>
        <w:ind w:right="480"/>
        <w:spacing w:after="0" w:line="275" w:lineRule="auto"/>
        <w:rPr>
          <w:sz w:val="20"/>
          <w:szCs w:val="20"/>
          <w:color w:val="auto"/>
        </w:rPr>
      </w:pPr>
      <w:r>
        <w:rPr>
          <w:rFonts w:ascii="Arial" w:cs="Arial" w:eastAsia="Arial" w:hAnsi="Arial"/>
          <w:sz w:val="19"/>
          <w:szCs w:val="19"/>
          <w:color w:val="auto"/>
        </w:rPr>
        <w:t>Fluidigm (Nasdaq:FLDM) focuses on the most pressing needs in translational and clinical research, including cancer, immunology, and immunotherapy. Using proprietary CyTOF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plant and animal research, and clinical laboratories worldwide. Together with them, we strive to increase the quality of life for all. For more information, visit fluidigm.com.</w:t>
      </w:r>
    </w:p>
    <w:p>
      <w:pPr>
        <w:spacing w:after="0" w:line="181" w:lineRule="exact"/>
        <w:rPr>
          <w:sz w:val="20"/>
          <w:szCs w:val="20"/>
          <w:color w:val="auto"/>
        </w:rPr>
      </w:pPr>
    </w:p>
    <w:p>
      <w:pPr>
        <w:ind w:right="540"/>
        <w:spacing w:after="0" w:line="236" w:lineRule="auto"/>
        <w:rPr>
          <w:sz w:val="20"/>
          <w:szCs w:val="20"/>
          <w:color w:val="auto"/>
        </w:rPr>
      </w:pPr>
      <w:r>
        <w:rPr>
          <w:rFonts w:ascii="Arial" w:cs="Arial" w:eastAsia="Arial" w:hAnsi="Arial"/>
          <w:sz w:val="22"/>
          <w:szCs w:val="22"/>
          <w:color w:val="auto"/>
        </w:rPr>
        <w:t xml:space="preserve">Fluidigm, the Fluidigm logo, Advanta, Biomark, CyTOF, CyTOF XT, Hyperion, Imaging Mass Cytometry, and IMC are trademarks and/or registered trademarks of Fluidigm Corporation in the United States and/or other countries. All other trademarks are the sole property of their respective owners. The Advanta™ Dx SARS-CoV-2 RT-PCR Assay is for </w:t>
      </w:r>
      <w:r>
        <w:rPr>
          <w:rFonts w:ascii="Arial" w:cs="Arial" w:eastAsia="Arial" w:hAnsi="Arial"/>
          <w:sz w:val="22"/>
          <w:szCs w:val="22"/>
          <w:i w:val="1"/>
          <w:iCs w:val="1"/>
          <w:color w:val="auto"/>
        </w:rPr>
        <w:t>In Vitro</w:t>
      </w:r>
      <w:r>
        <w:rPr>
          <w:rFonts w:ascii="Arial" w:cs="Arial" w:eastAsia="Arial" w:hAnsi="Arial"/>
          <w:sz w:val="22"/>
          <w:szCs w:val="22"/>
          <w:color w:val="auto"/>
        </w:rPr>
        <w:t xml:space="preserve"> Diagnostic Use. It is for Use under Emergency Use Authorization Only. Rx Only. Other Fluidigm products are provided for Research Use Only. Not for use in diagnostic procedures.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4" w:lineRule="exact"/>
        <w:rPr>
          <w:sz w:val="20"/>
          <w:szCs w:val="20"/>
          <w:color w:val="auto"/>
        </w:rPr>
      </w:pPr>
    </w:p>
    <w:p>
      <w:pPr>
        <w:ind w:right="160"/>
        <w:spacing w:after="0" w:line="275" w:lineRule="auto"/>
        <w:rPr>
          <w:sz w:val="20"/>
          <w:szCs w:val="20"/>
          <w:color w:val="auto"/>
        </w:rPr>
      </w:pPr>
      <w:r>
        <w:rPr>
          <w:rFonts w:ascii="Arial" w:cs="Arial" w:eastAsia="Arial" w:hAnsi="Arial"/>
          <w:sz w:val="19"/>
          <w:szCs w:val="19"/>
          <w:color w:val="auto"/>
        </w:rPr>
        <w:t>We use our website (fluidigm.com), investor site (investors.fluidigm.com), corporate Twitter account (@fluidigm), Facebook page (facebook.com/Fluidigm), and LinkedIn page (linkedin.com/company/fluidigm-corporation)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Contacts:</w:t>
      </w:r>
    </w:p>
    <w:p>
      <w:pPr>
        <w:spacing w:after="0" w:line="238" w:lineRule="auto"/>
        <w:rPr>
          <w:sz w:val="20"/>
          <w:szCs w:val="20"/>
          <w:color w:val="auto"/>
        </w:rPr>
      </w:pPr>
      <w:r>
        <w:rPr>
          <w:rFonts w:ascii="Arial" w:cs="Arial" w:eastAsia="Arial" w:hAnsi="Arial"/>
          <w:sz w:val="22"/>
          <w:szCs w:val="22"/>
          <w:color w:val="auto"/>
        </w:rPr>
        <w:t>Investors:</w:t>
      </w:r>
    </w:p>
    <w:p>
      <w:pPr>
        <w:spacing w:after="0" w:line="230" w:lineRule="auto"/>
        <w:rPr>
          <w:sz w:val="20"/>
          <w:szCs w:val="20"/>
          <w:color w:val="auto"/>
        </w:rPr>
      </w:pPr>
      <w:r>
        <w:rPr>
          <w:rFonts w:ascii="Arial" w:cs="Arial" w:eastAsia="Arial" w:hAnsi="Arial"/>
          <w:sz w:val="22"/>
          <w:szCs w:val="22"/>
          <w:color w:val="auto"/>
        </w:rPr>
        <w:t>Peter DeNardo</w:t>
      </w:r>
    </w:p>
    <w:p>
      <w:pPr>
        <w:spacing w:after="0" w:line="231" w:lineRule="auto"/>
        <w:rPr>
          <w:sz w:val="20"/>
          <w:szCs w:val="20"/>
          <w:color w:val="auto"/>
        </w:rPr>
      </w:pPr>
      <w:r>
        <w:rPr>
          <w:rFonts w:ascii="Arial" w:cs="Arial" w:eastAsia="Arial" w:hAnsi="Arial"/>
          <w:sz w:val="22"/>
          <w:szCs w:val="22"/>
          <w:color w:val="auto"/>
        </w:rPr>
        <w:t>415 389 6400</w:t>
      </w:r>
    </w:p>
    <w:p>
      <w:pPr>
        <w:spacing w:after="0"/>
        <w:rPr>
          <w:sz w:val="20"/>
          <w:szCs w:val="20"/>
          <w:color w:val="auto"/>
        </w:rPr>
      </w:pPr>
      <w:r>
        <w:rPr>
          <w:rFonts w:ascii="Arial" w:cs="Arial" w:eastAsia="Arial" w:hAnsi="Arial"/>
          <w:sz w:val="22"/>
          <w:szCs w:val="22"/>
          <w:color w:val="auto"/>
        </w:rPr>
        <w:t>IR@fluidigm.com</w:t>
      </w:r>
    </w:p>
    <w:p>
      <w:pPr>
        <w:sectPr>
          <w:pgSz w:w="11900" w:h="16838" w:orient="portrait"/>
          <w:cols w:equalWidth="0" w:num="1">
            <w:col w:w="11220"/>
          </w:cols>
          <w:pgMar w:left="320" w:top="118" w:right="359" w:bottom="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Media:</w:t>
      </w:r>
    </w:p>
    <w:p>
      <w:pPr>
        <w:spacing w:after="0" w:line="238" w:lineRule="auto"/>
        <w:rPr>
          <w:sz w:val="20"/>
          <w:szCs w:val="20"/>
          <w:color w:val="auto"/>
        </w:rPr>
      </w:pPr>
      <w:r>
        <w:rPr>
          <w:rFonts w:ascii="Arial" w:cs="Arial" w:eastAsia="Arial" w:hAnsi="Arial"/>
          <w:sz w:val="22"/>
          <w:szCs w:val="22"/>
          <w:color w:val="auto"/>
        </w:rPr>
        <w:t>Mark Spearman</w:t>
      </w:r>
    </w:p>
    <w:p>
      <w:pPr>
        <w:spacing w:after="0" w:line="231" w:lineRule="auto"/>
        <w:rPr>
          <w:sz w:val="20"/>
          <w:szCs w:val="20"/>
          <w:color w:val="auto"/>
        </w:rPr>
      </w:pPr>
      <w:r>
        <w:rPr>
          <w:rFonts w:ascii="Arial" w:cs="Arial" w:eastAsia="Arial" w:hAnsi="Arial"/>
          <w:sz w:val="22"/>
          <w:szCs w:val="22"/>
          <w:color w:val="auto"/>
        </w:rPr>
        <w:t>Senior Director, Corporate Communications</w:t>
      </w:r>
    </w:p>
    <w:p>
      <w:pPr>
        <w:spacing w:after="0" w:line="230" w:lineRule="auto"/>
        <w:rPr>
          <w:sz w:val="20"/>
          <w:szCs w:val="20"/>
          <w:color w:val="auto"/>
        </w:rPr>
      </w:pPr>
      <w:r>
        <w:rPr>
          <w:rFonts w:ascii="Arial" w:cs="Arial" w:eastAsia="Arial" w:hAnsi="Arial"/>
          <w:sz w:val="22"/>
          <w:szCs w:val="22"/>
          <w:color w:val="auto"/>
        </w:rPr>
        <w:t>650 243 6621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mark.spearman@fluidigm.com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80" w:type="dxa"/>
            <w:vAlign w:val="bottom"/>
            <w:gridSpan w:val="6"/>
          </w:tcPr>
          <w:p>
            <w:pPr>
              <w:ind w:left="20"/>
              <w:spacing w:after="0"/>
              <w:rPr>
                <w:sz w:val="20"/>
                <w:szCs w:val="20"/>
                <w:color w:val="auto"/>
              </w:rPr>
            </w:pPr>
            <w:r>
              <w:rPr>
                <w:rFonts w:ascii="Arial" w:cs="Arial" w:eastAsia="Arial" w:hAnsi="Arial"/>
                <w:sz w:val="22"/>
                <w:szCs w:val="22"/>
                <w:b w:val="1"/>
                <w:bCs w:val="1"/>
                <w:color w:val="auto"/>
                <w:w w:val="99"/>
              </w:rPr>
              <w:t>Three Months Ended June</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22"/>
                <w:szCs w:val="22"/>
                <w:b w:val="1"/>
                <w:bCs w:val="1"/>
                <w:color w:val="auto"/>
                <w:w w:val="91"/>
              </w:rPr>
              <w:t>30,</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22"/>
                <w:szCs w:val="22"/>
                <w:b w:val="1"/>
                <w:bCs w:val="1"/>
                <w:color w:val="auto"/>
                <w:w w:val="88"/>
              </w:rPr>
              <w:t>Six Months Ended June 30,</w:t>
            </w:r>
          </w:p>
        </w:tc>
        <w:tc>
          <w:tcPr>
            <w:tcW w:w="0" w:type="dxa"/>
            <w:vAlign w:val="bottom"/>
          </w:tcPr>
          <w:p>
            <w:pPr>
              <w:spacing w:after="0"/>
              <w:rPr>
                <w:sz w:val="1"/>
                <w:szCs w:val="1"/>
                <w:color w:val="auto"/>
              </w:rPr>
            </w:pPr>
          </w:p>
        </w:tc>
      </w:tr>
      <w:tr>
        <w:trPr>
          <w:trHeight w:val="265"/>
        </w:trPr>
        <w:tc>
          <w:tcPr>
            <w:tcW w:w="5500" w:type="dxa"/>
            <w:vAlign w:val="bottom"/>
            <w:vMerge w:val="restart"/>
          </w:tcPr>
          <w:p>
            <w:pPr>
              <w:spacing w:after="0"/>
              <w:rPr>
                <w:sz w:val="20"/>
                <w:szCs w:val="20"/>
                <w:color w:val="auto"/>
              </w:rPr>
            </w:pPr>
            <w:r>
              <w:rPr>
                <w:rFonts w:ascii="Arial" w:cs="Arial" w:eastAsia="Arial" w:hAnsi="Arial"/>
                <w:sz w:val="22"/>
                <w:szCs w:val="22"/>
                <w:color w:val="auto"/>
              </w:rPr>
              <w:t>Revenue:</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2021</w:t>
            </w:r>
          </w:p>
        </w:tc>
        <w:tc>
          <w:tcPr>
            <w:tcW w:w="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2020</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2021</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2020</w:t>
            </w:r>
          </w:p>
        </w:tc>
        <w:tc>
          <w:tcPr>
            <w:tcW w:w="0" w:type="dxa"/>
            <w:vAlign w:val="bottom"/>
          </w:tcPr>
          <w:p>
            <w:pPr>
              <w:spacing w:after="0"/>
              <w:rPr>
                <w:sz w:val="1"/>
                <w:szCs w:val="1"/>
                <w:color w:val="auto"/>
              </w:rPr>
            </w:pPr>
          </w:p>
        </w:tc>
      </w:tr>
      <w:tr>
        <w:trPr>
          <w:trHeight w:val="247"/>
        </w:trPr>
        <w:tc>
          <w:tcPr>
            <w:tcW w:w="55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500" w:type="dxa"/>
            <w:vAlign w:val="bottom"/>
          </w:tcPr>
          <w:p>
            <w:pPr>
              <w:ind w:left="200"/>
              <w:spacing w:after="0"/>
              <w:rPr>
                <w:sz w:val="20"/>
                <w:szCs w:val="20"/>
                <w:color w:val="auto"/>
              </w:rPr>
            </w:pPr>
            <w:r>
              <w:rPr>
                <w:rFonts w:ascii="Arial" w:cs="Arial" w:eastAsia="Arial" w:hAnsi="Arial"/>
                <w:sz w:val="22"/>
                <w:szCs w:val="22"/>
                <w:color w:val="auto"/>
              </w:rPr>
              <w:t>Product revenue</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22,627</w:t>
            </w:r>
          </w:p>
        </w:tc>
        <w:tc>
          <w:tcPr>
            <w:tcW w:w="500" w:type="dxa"/>
            <w:vAlign w:val="bottom"/>
            <w:gridSpan w:val="3"/>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17,405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color w:val="auto"/>
              </w:rPr>
              <w:t>47,355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36,386</w:t>
            </w:r>
          </w:p>
        </w:tc>
        <w:tc>
          <w:tcPr>
            <w:tcW w:w="0" w:type="dxa"/>
            <w:vAlign w:val="bottom"/>
          </w:tcPr>
          <w:p>
            <w:pPr>
              <w:spacing w:after="0"/>
              <w:rPr>
                <w:sz w:val="1"/>
                <w:szCs w:val="1"/>
                <w:color w:val="auto"/>
              </w:rPr>
            </w:pPr>
          </w:p>
        </w:tc>
      </w:tr>
      <w:tr>
        <w:trPr>
          <w:trHeight w:val="274"/>
        </w:trPr>
        <w:tc>
          <w:tcPr>
            <w:tcW w:w="5500" w:type="dxa"/>
            <w:vAlign w:val="bottom"/>
          </w:tcPr>
          <w:p>
            <w:pPr>
              <w:ind w:left="200"/>
              <w:spacing w:after="0"/>
              <w:rPr>
                <w:sz w:val="20"/>
                <w:szCs w:val="20"/>
                <w:color w:val="auto"/>
              </w:rPr>
            </w:pPr>
            <w:r>
              <w:rPr>
                <w:rFonts w:ascii="Arial" w:cs="Arial" w:eastAsia="Arial" w:hAnsi="Arial"/>
                <w:sz w:val="22"/>
                <w:szCs w:val="22"/>
                <w:color w:val="auto"/>
              </w:rPr>
              <w:t>Service revenue</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6,627</w:t>
            </w:r>
          </w:p>
        </w:tc>
        <w:tc>
          <w:tcPr>
            <w:tcW w:w="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5,140</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12,913</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10,326</w:t>
            </w:r>
          </w:p>
        </w:tc>
        <w:tc>
          <w:tcPr>
            <w:tcW w:w="0" w:type="dxa"/>
            <w:vAlign w:val="bottom"/>
          </w:tcPr>
          <w:p>
            <w:pPr>
              <w:spacing w:after="0"/>
              <w:rPr>
                <w:sz w:val="1"/>
                <w:szCs w:val="1"/>
                <w:color w:val="auto"/>
              </w:rPr>
            </w:pPr>
          </w:p>
        </w:tc>
      </w:tr>
      <w:tr>
        <w:trPr>
          <w:trHeight w:val="259"/>
        </w:trPr>
        <w:tc>
          <w:tcPr>
            <w:tcW w:w="5500" w:type="dxa"/>
            <w:vAlign w:val="bottom"/>
          </w:tcPr>
          <w:p>
            <w:pPr>
              <w:ind w:left="120"/>
              <w:spacing w:after="0"/>
              <w:rPr>
                <w:sz w:val="20"/>
                <w:szCs w:val="20"/>
                <w:color w:val="auto"/>
              </w:rPr>
            </w:pPr>
            <w:r>
              <w:rPr>
                <w:rFonts w:ascii="Arial" w:cs="Arial" w:eastAsia="Arial" w:hAnsi="Arial"/>
                <w:sz w:val="22"/>
                <w:szCs w:val="22"/>
                <w:color w:val="auto"/>
              </w:rPr>
              <w:t>Product and service revenue</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29,254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22,545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color w:val="auto"/>
              </w:rPr>
              <w:t>60,268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46,712</w:t>
            </w:r>
          </w:p>
        </w:tc>
        <w:tc>
          <w:tcPr>
            <w:tcW w:w="0" w:type="dxa"/>
            <w:vAlign w:val="bottom"/>
          </w:tcPr>
          <w:p>
            <w:pPr>
              <w:spacing w:after="0"/>
              <w:rPr>
                <w:sz w:val="1"/>
                <w:szCs w:val="1"/>
                <w:color w:val="auto"/>
              </w:rPr>
            </w:pPr>
          </w:p>
        </w:tc>
      </w:tr>
      <w:tr>
        <w:trPr>
          <w:trHeight w:val="274"/>
        </w:trPr>
        <w:tc>
          <w:tcPr>
            <w:tcW w:w="5500" w:type="dxa"/>
            <w:vAlign w:val="bottom"/>
          </w:tcPr>
          <w:p>
            <w:pPr>
              <w:ind w:left="120"/>
              <w:spacing w:after="0"/>
              <w:rPr>
                <w:sz w:val="20"/>
                <w:szCs w:val="20"/>
                <w:color w:val="auto"/>
              </w:rPr>
            </w:pPr>
            <w:r>
              <w:rPr>
                <w:rFonts w:ascii="Arial" w:cs="Arial" w:eastAsia="Arial" w:hAnsi="Arial"/>
                <w:sz w:val="22"/>
                <w:szCs w:val="22"/>
                <w:color w:val="auto"/>
              </w:rPr>
              <w:t>Other revenue (Note 1)</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1,764</w:t>
            </w:r>
          </w:p>
        </w:tc>
        <w:tc>
          <w:tcPr>
            <w:tcW w:w="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3,513</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3,544</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6,963</w:t>
            </w:r>
          </w:p>
        </w:tc>
        <w:tc>
          <w:tcPr>
            <w:tcW w:w="0" w:type="dxa"/>
            <w:vAlign w:val="bottom"/>
          </w:tcPr>
          <w:p>
            <w:pPr>
              <w:spacing w:after="0"/>
              <w:rPr>
                <w:sz w:val="1"/>
                <w:szCs w:val="1"/>
                <w:color w:val="auto"/>
              </w:rPr>
            </w:pPr>
          </w:p>
        </w:tc>
      </w:tr>
      <w:tr>
        <w:trPr>
          <w:trHeight w:val="259"/>
        </w:trPr>
        <w:tc>
          <w:tcPr>
            <w:tcW w:w="5500" w:type="dxa"/>
            <w:vAlign w:val="bottom"/>
          </w:tcPr>
          <w:p>
            <w:pPr>
              <w:spacing w:after="0"/>
              <w:rPr>
                <w:sz w:val="20"/>
                <w:szCs w:val="20"/>
                <w:color w:val="auto"/>
              </w:rPr>
            </w:pPr>
            <w:r>
              <w:rPr>
                <w:rFonts w:ascii="Arial" w:cs="Arial" w:eastAsia="Arial" w:hAnsi="Arial"/>
                <w:sz w:val="22"/>
                <w:szCs w:val="22"/>
                <w:color w:val="auto"/>
              </w:rPr>
              <w:t>Total revenue</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31,018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26,058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color w:val="auto"/>
              </w:rPr>
              <w:t>63,812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53,675</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Costs and expenses: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120"/>
              <w:spacing w:after="0"/>
              <w:rPr>
                <w:sz w:val="20"/>
                <w:szCs w:val="20"/>
                <w:color w:val="auto"/>
              </w:rPr>
            </w:pPr>
            <w:r>
              <w:rPr>
                <w:rFonts w:ascii="Arial" w:cs="Arial" w:eastAsia="Arial" w:hAnsi="Arial"/>
                <w:sz w:val="22"/>
                <w:szCs w:val="22"/>
                <w:color w:val="auto"/>
              </w:rPr>
              <w:t>Cost of product revenue</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12,730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9,483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color w:val="auto"/>
              </w:rPr>
              <w:t>24,393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19,123</w:t>
            </w:r>
          </w:p>
        </w:tc>
        <w:tc>
          <w:tcPr>
            <w:tcW w:w="0" w:type="dxa"/>
            <w:vAlign w:val="bottom"/>
          </w:tcPr>
          <w:p>
            <w:pPr>
              <w:spacing w:after="0"/>
              <w:rPr>
                <w:sz w:val="1"/>
                <w:szCs w:val="1"/>
                <w:color w:val="auto"/>
              </w:rPr>
            </w:pPr>
          </w:p>
        </w:tc>
      </w:tr>
      <w:tr>
        <w:trPr>
          <w:trHeight w:val="274"/>
        </w:trPr>
        <w:tc>
          <w:tcPr>
            <w:tcW w:w="5500" w:type="dxa"/>
            <w:vAlign w:val="bottom"/>
          </w:tcPr>
          <w:p>
            <w:pPr>
              <w:ind w:left="120"/>
              <w:spacing w:after="0"/>
              <w:rPr>
                <w:sz w:val="20"/>
                <w:szCs w:val="20"/>
                <w:color w:val="auto"/>
              </w:rPr>
            </w:pPr>
            <w:r>
              <w:rPr>
                <w:rFonts w:ascii="Arial" w:cs="Arial" w:eastAsia="Arial" w:hAnsi="Arial"/>
                <w:sz w:val="22"/>
                <w:szCs w:val="22"/>
                <w:color w:val="auto"/>
              </w:rPr>
              <w:t>Cost of service revenue</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1,867</w:t>
            </w:r>
          </w:p>
        </w:tc>
        <w:tc>
          <w:tcPr>
            <w:tcW w:w="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1,237</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3,957</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2,762</w:t>
            </w:r>
          </w:p>
        </w:tc>
        <w:tc>
          <w:tcPr>
            <w:tcW w:w="0" w:type="dxa"/>
            <w:vAlign w:val="bottom"/>
          </w:tcPr>
          <w:p>
            <w:pPr>
              <w:spacing w:after="0"/>
              <w:rPr>
                <w:sz w:val="1"/>
                <w:szCs w:val="1"/>
                <w:color w:val="auto"/>
              </w:rPr>
            </w:pPr>
          </w:p>
        </w:tc>
      </w:tr>
      <w:tr>
        <w:trPr>
          <w:trHeight w:val="259"/>
        </w:trPr>
        <w:tc>
          <w:tcPr>
            <w:tcW w:w="5500" w:type="dxa"/>
            <w:vAlign w:val="bottom"/>
          </w:tcPr>
          <w:p>
            <w:pPr>
              <w:ind w:left="120"/>
              <w:spacing w:after="0"/>
              <w:rPr>
                <w:sz w:val="20"/>
                <w:szCs w:val="20"/>
                <w:color w:val="auto"/>
              </w:rPr>
            </w:pPr>
            <w:r>
              <w:rPr>
                <w:rFonts w:ascii="Arial" w:cs="Arial" w:eastAsia="Arial" w:hAnsi="Arial"/>
                <w:sz w:val="22"/>
                <w:szCs w:val="22"/>
                <w:color w:val="auto"/>
              </w:rPr>
              <w:t>Cost of product and service revenue</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14,597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10,720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color w:val="auto"/>
              </w:rPr>
              <w:t>28,350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21,885</w:t>
            </w:r>
          </w:p>
        </w:tc>
        <w:tc>
          <w:tcPr>
            <w:tcW w:w="0" w:type="dxa"/>
            <w:vAlign w:val="bottom"/>
          </w:tcPr>
          <w:p>
            <w:pPr>
              <w:spacing w:after="0"/>
              <w:rPr>
                <w:sz w:val="1"/>
                <w:szCs w:val="1"/>
                <w:color w:val="auto"/>
              </w:rPr>
            </w:pPr>
          </w:p>
        </w:tc>
      </w:tr>
      <w:tr>
        <w:trPr>
          <w:trHeight w:val="270"/>
        </w:trPr>
        <w:tc>
          <w:tcPr>
            <w:tcW w:w="5500" w:type="dxa"/>
            <w:vAlign w:val="bottom"/>
          </w:tcPr>
          <w:p>
            <w:pPr>
              <w:ind w:left="120"/>
              <w:spacing w:after="0"/>
              <w:rPr>
                <w:sz w:val="20"/>
                <w:szCs w:val="20"/>
                <w:color w:val="auto"/>
              </w:rPr>
            </w:pPr>
            <w:r>
              <w:rPr>
                <w:rFonts w:ascii="Arial" w:cs="Arial" w:eastAsia="Arial" w:hAnsi="Arial"/>
                <w:sz w:val="22"/>
                <w:szCs w:val="22"/>
                <w:color w:val="auto"/>
              </w:rPr>
              <w:t>Research and development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9,441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8,448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color w:val="auto"/>
              </w:rPr>
              <w:t>20,194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17,147</w:t>
            </w:r>
          </w:p>
        </w:tc>
        <w:tc>
          <w:tcPr>
            <w:tcW w:w="0" w:type="dxa"/>
            <w:vAlign w:val="bottom"/>
          </w:tcPr>
          <w:p>
            <w:pPr>
              <w:spacing w:after="0"/>
              <w:rPr>
                <w:sz w:val="1"/>
                <w:szCs w:val="1"/>
                <w:color w:val="auto"/>
              </w:rPr>
            </w:pPr>
          </w:p>
        </w:tc>
      </w:tr>
      <w:tr>
        <w:trPr>
          <w:trHeight w:val="274"/>
        </w:trPr>
        <w:tc>
          <w:tcPr>
            <w:tcW w:w="5500" w:type="dxa"/>
            <w:vAlign w:val="bottom"/>
          </w:tcPr>
          <w:p>
            <w:pPr>
              <w:ind w:left="120"/>
              <w:spacing w:after="0"/>
              <w:rPr>
                <w:sz w:val="20"/>
                <w:szCs w:val="20"/>
                <w:color w:val="auto"/>
              </w:rPr>
            </w:pPr>
            <w:r>
              <w:rPr>
                <w:rFonts w:ascii="Arial" w:cs="Arial" w:eastAsia="Arial" w:hAnsi="Arial"/>
                <w:sz w:val="22"/>
                <w:szCs w:val="22"/>
                <w:color w:val="auto"/>
              </w:rPr>
              <w:t>Selling, general and administrative</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24,248</w:t>
            </w:r>
          </w:p>
        </w:tc>
        <w:tc>
          <w:tcPr>
            <w:tcW w:w="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20,616</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51,856</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43,311</w:t>
            </w:r>
          </w:p>
        </w:tc>
        <w:tc>
          <w:tcPr>
            <w:tcW w:w="0" w:type="dxa"/>
            <w:vAlign w:val="bottom"/>
          </w:tcPr>
          <w:p>
            <w:pPr>
              <w:spacing w:after="0"/>
              <w:rPr>
                <w:sz w:val="1"/>
                <w:szCs w:val="1"/>
                <w:color w:val="auto"/>
              </w:rPr>
            </w:pPr>
          </w:p>
        </w:tc>
      </w:tr>
      <w:tr>
        <w:trPr>
          <w:trHeight w:val="267"/>
        </w:trPr>
        <w:tc>
          <w:tcPr>
            <w:tcW w:w="5500" w:type="dxa"/>
            <w:vAlign w:val="bottom"/>
          </w:tcPr>
          <w:p>
            <w:pPr>
              <w:spacing w:after="0"/>
              <w:rPr>
                <w:sz w:val="20"/>
                <w:szCs w:val="20"/>
                <w:color w:val="auto"/>
              </w:rPr>
            </w:pPr>
            <w:r>
              <w:rPr>
                <w:rFonts w:ascii="Arial" w:cs="Arial" w:eastAsia="Arial" w:hAnsi="Arial"/>
                <w:sz w:val="22"/>
                <w:szCs w:val="22"/>
                <w:color w:val="auto"/>
              </w:rPr>
              <w:t>Total costs and expenses</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48,286</w:t>
            </w:r>
          </w:p>
        </w:tc>
        <w:tc>
          <w:tcPr>
            <w:tcW w:w="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39,784</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100,400</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82,343</w:t>
            </w:r>
          </w:p>
        </w:tc>
        <w:tc>
          <w:tcPr>
            <w:tcW w:w="0" w:type="dxa"/>
            <w:vAlign w:val="bottom"/>
          </w:tcPr>
          <w:p>
            <w:pPr>
              <w:spacing w:after="0"/>
              <w:rPr>
                <w:sz w:val="1"/>
                <w:szCs w:val="1"/>
                <w:color w:val="auto"/>
              </w:rPr>
            </w:pPr>
          </w:p>
        </w:tc>
      </w:tr>
      <w:tr>
        <w:trPr>
          <w:trHeight w:val="256"/>
        </w:trPr>
        <w:tc>
          <w:tcPr>
            <w:tcW w:w="5500" w:type="dxa"/>
            <w:vAlign w:val="bottom"/>
          </w:tcPr>
          <w:p>
            <w:pPr>
              <w:spacing w:after="0"/>
              <w:rPr>
                <w:sz w:val="20"/>
                <w:szCs w:val="20"/>
                <w:color w:val="auto"/>
              </w:rPr>
            </w:pPr>
            <w:r>
              <w:rPr>
                <w:rFonts w:ascii="Arial" w:cs="Arial" w:eastAsia="Arial" w:hAnsi="Arial"/>
                <w:sz w:val="22"/>
                <w:szCs w:val="22"/>
                <w:color w:val="auto"/>
              </w:rPr>
              <w:t>Loss from operations</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(17,268)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(13,726)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(36,588)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(28,668)</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Interest expense</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(896)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(897)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(1,783)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(1,797)</w:t>
            </w:r>
          </w:p>
        </w:tc>
        <w:tc>
          <w:tcPr>
            <w:tcW w:w="0" w:type="dxa"/>
            <w:vAlign w:val="bottom"/>
          </w:tcPr>
          <w:p>
            <w:pPr>
              <w:spacing w:after="0"/>
              <w:rPr>
                <w:sz w:val="1"/>
                <w:szCs w:val="1"/>
                <w:color w:val="auto"/>
              </w:rPr>
            </w:pPr>
          </w:p>
        </w:tc>
      </w:tr>
      <w:tr>
        <w:trPr>
          <w:trHeight w:val="274"/>
        </w:trPr>
        <w:tc>
          <w:tcPr>
            <w:tcW w:w="5500" w:type="dxa"/>
            <w:vAlign w:val="bottom"/>
          </w:tcPr>
          <w:p>
            <w:pPr>
              <w:spacing w:after="0"/>
              <w:rPr>
                <w:sz w:val="20"/>
                <w:szCs w:val="20"/>
                <w:color w:val="auto"/>
              </w:rPr>
            </w:pPr>
            <w:r>
              <w:rPr>
                <w:rFonts w:ascii="Arial" w:cs="Arial" w:eastAsia="Arial" w:hAnsi="Arial"/>
                <w:sz w:val="22"/>
                <w:szCs w:val="22"/>
                <w:color w:val="auto"/>
              </w:rPr>
              <w:t>Other income (expense), net</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504</w:t>
            </w:r>
          </w:p>
        </w:tc>
        <w:tc>
          <w:tcPr>
            <w:tcW w:w="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463</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219</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(355)</w:t>
            </w:r>
          </w:p>
        </w:tc>
        <w:tc>
          <w:tcPr>
            <w:tcW w:w="0" w:type="dxa"/>
            <w:vAlign w:val="bottom"/>
          </w:tcPr>
          <w:p>
            <w:pPr>
              <w:spacing w:after="0"/>
              <w:rPr>
                <w:sz w:val="1"/>
                <w:szCs w:val="1"/>
                <w:color w:val="auto"/>
              </w:rPr>
            </w:pPr>
          </w:p>
        </w:tc>
      </w:tr>
      <w:tr>
        <w:trPr>
          <w:trHeight w:val="259"/>
        </w:trPr>
        <w:tc>
          <w:tcPr>
            <w:tcW w:w="550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(17,660)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(14,160)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(38,152)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(30,820)</w:t>
            </w:r>
          </w:p>
        </w:tc>
        <w:tc>
          <w:tcPr>
            <w:tcW w:w="0" w:type="dxa"/>
            <w:vAlign w:val="bottom"/>
          </w:tcPr>
          <w:p>
            <w:pPr>
              <w:spacing w:after="0"/>
              <w:rPr>
                <w:sz w:val="1"/>
                <w:szCs w:val="1"/>
                <w:color w:val="auto"/>
              </w:rPr>
            </w:pPr>
          </w:p>
        </w:tc>
      </w:tr>
      <w:tr>
        <w:trPr>
          <w:trHeight w:val="274"/>
        </w:trPr>
        <w:tc>
          <w:tcPr>
            <w:tcW w:w="5500" w:type="dxa"/>
            <w:vAlign w:val="bottom"/>
          </w:tcPr>
          <w:p>
            <w:pPr>
              <w:spacing w:after="0"/>
              <w:rPr>
                <w:sz w:val="20"/>
                <w:szCs w:val="20"/>
                <w:color w:val="auto"/>
              </w:rPr>
            </w:pPr>
            <w:r>
              <w:rPr>
                <w:rFonts w:ascii="Arial" w:cs="Arial" w:eastAsia="Arial" w:hAnsi="Arial"/>
                <w:sz w:val="22"/>
                <w:szCs w:val="22"/>
                <w:color w:val="auto"/>
              </w:rPr>
              <w:t>Income tax benefit</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517</w:t>
            </w:r>
          </w:p>
        </w:tc>
        <w:tc>
          <w:tcPr>
            <w:tcW w:w="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1,145</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2,188</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1,825</w:t>
            </w:r>
          </w:p>
        </w:tc>
        <w:tc>
          <w:tcPr>
            <w:tcW w:w="0" w:type="dxa"/>
            <w:vAlign w:val="bottom"/>
          </w:tcPr>
          <w:p>
            <w:pPr>
              <w:spacing w:after="0"/>
              <w:rPr>
                <w:sz w:val="1"/>
                <w:szCs w:val="1"/>
                <w:color w:val="auto"/>
              </w:rPr>
            </w:pPr>
          </w:p>
        </w:tc>
      </w:tr>
      <w:tr>
        <w:trPr>
          <w:trHeight w:val="267"/>
        </w:trPr>
        <w:tc>
          <w:tcPr>
            <w:tcW w:w="5500" w:type="dxa"/>
            <w:vAlign w:val="bottom"/>
          </w:tcPr>
          <w:p>
            <w:pPr>
              <w:spacing w:after="0"/>
              <w:rPr>
                <w:sz w:val="20"/>
                <w:szCs w:val="20"/>
                <w:color w:val="auto"/>
              </w:rPr>
            </w:pPr>
            <w:r>
              <w:rPr>
                <w:rFonts w:ascii="Arial" w:cs="Arial" w:eastAsia="Arial" w:hAnsi="Arial"/>
                <w:sz w:val="22"/>
                <w:szCs w:val="22"/>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(17,143)</w:t>
            </w:r>
          </w:p>
        </w:tc>
        <w:tc>
          <w:tcPr>
            <w:tcW w:w="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(13,015)</w:t>
            </w: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(35,964)</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(28,995)</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22"/>
                <w:szCs w:val="22"/>
                <w:color w:val="auto"/>
              </w:rPr>
              <w:t>Net loss per share, basic and diluted</w:t>
            </w: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500" w:type="dxa"/>
            <w:vAlign w:val="bottom"/>
            <w:vMerge w:val="continue"/>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(0.23)</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22"/>
                <w:szCs w:val="22"/>
                <w:color w:val="auto"/>
              </w:rPr>
              <w:t>(0.18)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22"/>
                <w:szCs w:val="22"/>
                <w:color w:val="auto"/>
              </w:rPr>
              <w:t>(0.48)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22"/>
                <w:szCs w:val="22"/>
                <w:color w:val="auto"/>
              </w:rPr>
              <w:t>(0.41)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0"/>
                <w:szCs w:val="20"/>
                <w:color w:val="auto"/>
              </w:rPr>
            </w:pPr>
            <w:r>
              <w:rPr>
                <w:rFonts w:ascii="Arial" w:cs="Arial" w:eastAsia="Arial" w:hAnsi="Arial"/>
                <w:sz w:val="22"/>
                <w:szCs w:val="22"/>
                <w:color w:val="auto"/>
                <w:w w:val="89"/>
              </w:rPr>
              <w:t>Shares used in computing net loss per share, basic and diluted</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75,452</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70,916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75,084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70,691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Note: (1) Other revenue includes development revenue, license revenue, royalty revenue and grant revenue.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0"/>
              <w:spacing w:after="0"/>
              <w:rPr>
                <w:sz w:val="20"/>
                <w:szCs w:val="20"/>
                <w:color w:val="auto"/>
              </w:rPr>
            </w:pPr>
            <w:r>
              <w:rPr>
                <w:rFonts w:ascii="Arial" w:cs="Arial" w:eastAsia="Arial" w:hAnsi="Arial"/>
                <w:sz w:val="22"/>
                <w:szCs w:val="22"/>
                <w:b w:val="1"/>
                <w:bCs w:val="1"/>
                <w:color w:val="auto"/>
              </w:rPr>
              <w:t>June 30,</w:t>
            </w:r>
          </w:p>
        </w:tc>
        <w:tc>
          <w:tcPr>
            <w:tcW w:w="1360" w:type="dxa"/>
            <w:vAlign w:val="bottom"/>
            <w:gridSpan w:val="2"/>
          </w:tcPr>
          <w:p>
            <w:pPr>
              <w:ind w:left="20"/>
              <w:spacing w:after="0"/>
              <w:rPr>
                <w:sz w:val="20"/>
                <w:szCs w:val="20"/>
                <w:color w:val="auto"/>
              </w:rPr>
            </w:pPr>
            <w:r>
              <w:rPr>
                <w:rFonts w:ascii="Arial" w:cs="Arial" w:eastAsia="Arial" w:hAnsi="Arial"/>
                <w:sz w:val="22"/>
                <w:szCs w:val="22"/>
                <w:b w:val="1"/>
                <w:bCs w:val="1"/>
                <w:color w:val="auto"/>
                <w:w w:val="92"/>
              </w:rPr>
              <w:t>December 31,</w:t>
            </w:r>
          </w:p>
        </w:tc>
      </w:tr>
      <w:tr>
        <w:trPr>
          <w:trHeight w:val="280"/>
        </w:trPr>
        <w:tc>
          <w:tcPr>
            <w:tcW w:w="8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w w:val="97"/>
              </w:rPr>
              <w:t>2020 (1)</w:t>
            </w:r>
          </w:p>
        </w:tc>
      </w:tr>
      <w:tr>
        <w:trPr>
          <w:trHeight w:val="259"/>
        </w:trPr>
        <w:tc>
          <w:tcPr>
            <w:tcW w:w="838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8380" w:type="dxa"/>
            <w:vAlign w:val="bottom"/>
          </w:tcPr>
          <w:p>
            <w:pPr>
              <w:spacing w:after="0"/>
              <w:rPr>
                <w:sz w:val="20"/>
                <w:szCs w:val="20"/>
                <w:color w:val="auto"/>
              </w:rPr>
            </w:pPr>
            <w:r>
              <w:rPr>
                <w:rFonts w:ascii="Arial" w:cs="Arial" w:eastAsia="Arial" w:hAnsi="Arial"/>
                <w:sz w:val="22"/>
                <w:szCs w:val="22"/>
                <w:color w:val="auto"/>
              </w:rPr>
              <w:t>Current assets:</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8380" w:type="dxa"/>
            <w:vAlign w:val="bottom"/>
          </w:tcPr>
          <w:p>
            <w:pPr>
              <w:ind w:left="120"/>
              <w:spacing w:after="0"/>
              <w:rPr>
                <w:sz w:val="20"/>
                <w:szCs w:val="20"/>
                <w:color w:val="auto"/>
              </w:rPr>
            </w:pPr>
            <w:r>
              <w:rPr>
                <w:rFonts w:ascii="Arial" w:cs="Arial" w:eastAsia="Arial" w:hAnsi="Arial"/>
                <w:sz w:val="22"/>
                <w:szCs w:val="22"/>
                <w:color w:val="auto"/>
              </w:rPr>
              <w:t>Cash and cash equivalents (Note 2)</w:t>
            </w: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30,863</w:t>
            </w:r>
          </w:p>
        </w:tc>
        <w:tc>
          <w:tcPr>
            <w:tcW w:w="12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Arial" w:cs="Arial" w:eastAsia="Arial" w:hAnsi="Arial"/>
                <w:sz w:val="22"/>
                <w:szCs w:val="22"/>
                <w:color w:val="auto"/>
              </w:rPr>
              <w:t>$</w:t>
            </w: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68,520</w:t>
            </w:r>
          </w:p>
        </w:tc>
      </w:tr>
      <w:tr>
        <w:trPr>
          <w:trHeight w:val="270"/>
        </w:trPr>
        <w:tc>
          <w:tcPr>
            <w:tcW w:w="8380" w:type="dxa"/>
            <w:vAlign w:val="bottom"/>
          </w:tcPr>
          <w:p>
            <w:pPr>
              <w:ind w:left="120"/>
              <w:spacing w:after="0"/>
              <w:rPr>
                <w:sz w:val="20"/>
                <w:szCs w:val="20"/>
                <w:color w:val="auto"/>
              </w:rPr>
            </w:pPr>
            <w:r>
              <w:rPr>
                <w:rFonts w:ascii="Arial" w:cs="Arial" w:eastAsia="Arial" w:hAnsi="Arial"/>
                <w:sz w:val="22"/>
                <w:szCs w:val="22"/>
                <w:color w:val="auto"/>
              </w:rPr>
              <w:t>Accounts receivable, net</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15,666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25,423</w:t>
            </w:r>
          </w:p>
        </w:tc>
      </w:tr>
      <w:tr>
        <w:trPr>
          <w:trHeight w:val="270"/>
        </w:trPr>
        <w:tc>
          <w:tcPr>
            <w:tcW w:w="8380" w:type="dxa"/>
            <w:vAlign w:val="bottom"/>
          </w:tcPr>
          <w:p>
            <w:pPr>
              <w:ind w:left="120"/>
              <w:spacing w:after="0"/>
              <w:rPr>
                <w:sz w:val="20"/>
                <w:szCs w:val="20"/>
                <w:color w:val="auto"/>
              </w:rPr>
            </w:pPr>
            <w:r>
              <w:rPr>
                <w:rFonts w:ascii="Arial" w:cs="Arial" w:eastAsia="Arial" w:hAnsi="Arial"/>
                <w:sz w:val="22"/>
                <w:szCs w:val="22"/>
                <w:color w:val="auto"/>
              </w:rPr>
              <w:t>Inventories, net</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25,074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19,689</w:t>
            </w:r>
          </w:p>
        </w:tc>
      </w:tr>
      <w:tr>
        <w:trPr>
          <w:trHeight w:val="274"/>
        </w:trPr>
        <w:tc>
          <w:tcPr>
            <w:tcW w:w="8380" w:type="dxa"/>
            <w:vAlign w:val="bottom"/>
          </w:tcPr>
          <w:p>
            <w:pPr>
              <w:ind w:left="120"/>
              <w:spacing w:after="0"/>
              <w:rPr>
                <w:sz w:val="20"/>
                <w:szCs w:val="20"/>
                <w:color w:val="auto"/>
              </w:rPr>
            </w:pPr>
            <w:r>
              <w:rPr>
                <w:rFonts w:ascii="Arial" w:cs="Arial" w:eastAsia="Arial" w:hAnsi="Arial"/>
                <w:sz w:val="22"/>
                <w:szCs w:val="22"/>
                <w:color w:val="auto"/>
              </w:rPr>
              <w:t>Prepaid expenses and other current assets (Note 2)</w:t>
            </w: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6,603</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4,031</w:t>
            </w:r>
          </w:p>
        </w:tc>
      </w:tr>
      <w:tr>
        <w:trPr>
          <w:trHeight w:val="259"/>
        </w:trPr>
        <w:tc>
          <w:tcPr>
            <w:tcW w:w="8380" w:type="dxa"/>
            <w:vAlign w:val="bottom"/>
          </w:tcPr>
          <w:p>
            <w:pPr>
              <w:spacing w:after="0"/>
              <w:rPr>
                <w:sz w:val="20"/>
                <w:szCs w:val="20"/>
                <w:color w:val="auto"/>
              </w:rPr>
            </w:pPr>
            <w:r>
              <w:rPr>
                <w:rFonts w:ascii="Arial" w:cs="Arial" w:eastAsia="Arial" w:hAnsi="Arial"/>
                <w:sz w:val="22"/>
                <w:szCs w:val="22"/>
                <w:color w:val="auto"/>
              </w:rPr>
              <w:t>Total current assets</w:t>
            </w:r>
          </w:p>
        </w:tc>
        <w:tc>
          <w:tcPr>
            <w:tcW w:w="2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78,206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117,663</w:t>
            </w:r>
          </w:p>
        </w:tc>
      </w:tr>
      <w:tr>
        <w:trPr>
          <w:trHeight w:val="270"/>
        </w:trPr>
        <w:tc>
          <w:tcPr>
            <w:tcW w:w="838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27,718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17,531</w:t>
            </w:r>
          </w:p>
        </w:tc>
      </w:tr>
      <w:tr>
        <w:trPr>
          <w:trHeight w:val="270"/>
        </w:trPr>
        <w:tc>
          <w:tcPr>
            <w:tcW w:w="8380" w:type="dxa"/>
            <w:vAlign w:val="bottom"/>
          </w:tcPr>
          <w:p>
            <w:pPr>
              <w:spacing w:after="0"/>
              <w:rPr>
                <w:sz w:val="20"/>
                <w:szCs w:val="20"/>
                <w:color w:val="auto"/>
              </w:rPr>
            </w:pPr>
            <w:r>
              <w:rPr>
                <w:rFonts w:ascii="Arial" w:cs="Arial" w:eastAsia="Arial" w:hAnsi="Arial"/>
                <w:sz w:val="22"/>
                <w:szCs w:val="22"/>
                <w:color w:val="auto"/>
              </w:rPr>
              <w:t>Operating lease right-of-use assets, net</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38,717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38,114</w:t>
            </w:r>
          </w:p>
        </w:tc>
      </w:tr>
      <w:tr>
        <w:trPr>
          <w:trHeight w:val="270"/>
        </w:trPr>
        <w:tc>
          <w:tcPr>
            <w:tcW w:w="8380" w:type="dxa"/>
            <w:vAlign w:val="bottom"/>
          </w:tcPr>
          <w:p>
            <w:pPr>
              <w:spacing w:after="0"/>
              <w:rPr>
                <w:sz w:val="20"/>
                <w:szCs w:val="20"/>
                <w:color w:val="auto"/>
              </w:rPr>
            </w:pPr>
            <w:r>
              <w:rPr>
                <w:rFonts w:ascii="Arial" w:cs="Arial" w:eastAsia="Arial" w:hAnsi="Arial"/>
                <w:sz w:val="22"/>
                <w:szCs w:val="22"/>
                <w:color w:val="auto"/>
              </w:rPr>
              <w:t>Other non-current assets (Note 2)</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4,106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4,680</w:t>
            </w:r>
          </w:p>
        </w:tc>
      </w:tr>
      <w:tr>
        <w:trPr>
          <w:trHeight w:val="270"/>
        </w:trPr>
        <w:tc>
          <w:tcPr>
            <w:tcW w:w="8380" w:type="dxa"/>
            <w:vAlign w:val="bottom"/>
          </w:tcPr>
          <w:p>
            <w:pPr>
              <w:spacing w:after="0"/>
              <w:rPr>
                <w:sz w:val="20"/>
                <w:szCs w:val="20"/>
                <w:color w:val="auto"/>
              </w:rPr>
            </w:pPr>
            <w:r>
              <w:rPr>
                <w:rFonts w:ascii="Arial" w:cs="Arial" w:eastAsia="Arial" w:hAnsi="Arial"/>
                <w:sz w:val="22"/>
                <w:szCs w:val="22"/>
                <w:color w:val="auto"/>
              </w:rPr>
              <w:t>Developed technology, net</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34,082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40,206</w:t>
            </w:r>
          </w:p>
        </w:tc>
      </w:tr>
      <w:tr>
        <w:trPr>
          <w:trHeight w:val="276"/>
        </w:trPr>
        <w:tc>
          <w:tcPr>
            <w:tcW w:w="8380" w:type="dxa"/>
            <w:vAlign w:val="bottom"/>
          </w:tcPr>
          <w:p>
            <w:pPr>
              <w:spacing w:after="0"/>
              <w:rPr>
                <w:sz w:val="20"/>
                <w:szCs w:val="20"/>
                <w:color w:val="auto"/>
              </w:rPr>
            </w:pPr>
            <w:r>
              <w:rPr>
                <w:rFonts w:ascii="Arial" w:cs="Arial" w:eastAsia="Arial" w:hAnsi="Arial"/>
                <w:sz w:val="22"/>
                <w:szCs w:val="22"/>
                <w:color w:val="auto"/>
              </w:rPr>
              <w:t>Goodwill</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106,486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106,563</w:t>
            </w:r>
          </w:p>
        </w:tc>
      </w:tr>
      <w:tr>
        <w:trPr>
          <w:trHeight w:val="265"/>
        </w:trPr>
        <w:tc>
          <w:tcPr>
            <w:tcW w:w="8380" w:type="dxa"/>
            <w:vAlign w:val="bottom"/>
          </w:tcPr>
          <w:p>
            <w:pPr>
              <w:spacing w:after="0"/>
              <w:rPr>
                <w:sz w:val="20"/>
                <w:szCs w:val="20"/>
                <w:color w:val="auto"/>
              </w:rPr>
            </w:pPr>
            <w:r>
              <w:rPr>
                <w:rFonts w:ascii="Arial" w:cs="Arial" w:eastAsia="Arial" w:hAnsi="Arial"/>
                <w:sz w:val="22"/>
                <w:szCs w:val="22"/>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289,315</w:t>
            </w:r>
          </w:p>
        </w:tc>
        <w:tc>
          <w:tcPr>
            <w:tcW w:w="120" w:type="dxa"/>
            <w:vAlign w:val="bottom"/>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324,757</w:t>
            </w:r>
          </w:p>
        </w:tc>
      </w:tr>
      <w:tr>
        <w:trPr>
          <w:trHeight w:val="20"/>
        </w:trPr>
        <w:tc>
          <w:tcPr>
            <w:tcW w:w="8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8" w:right="339" w:bottom="0" w:gutter="0" w:footer="0" w:header="0"/>
        </w:sectPr>
      </w:pPr>
    </w:p>
    <w:bookmarkStart w:id="7" w:name="page8"/>
    <w:bookmarkEnd w:id="7"/>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380" w:type="dxa"/>
            <w:vAlign w:val="bottom"/>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80" w:type="dxa"/>
            <w:vAlign w:val="bottom"/>
          </w:tcPr>
          <w:p>
            <w:pPr>
              <w:spacing w:after="0"/>
              <w:rPr>
                <w:sz w:val="20"/>
                <w:szCs w:val="20"/>
                <w:color w:val="auto"/>
              </w:rPr>
            </w:pPr>
            <w:r>
              <w:rPr>
                <w:rFonts w:ascii="Arial" w:cs="Arial" w:eastAsia="Arial" w:hAnsi="Arial"/>
                <w:sz w:val="22"/>
                <w:szCs w:val="22"/>
                <w:color w:val="auto"/>
              </w:rPr>
              <w:t>Current liabilities: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80" w:type="dxa"/>
            <w:vAlign w:val="bottom"/>
          </w:tcPr>
          <w:p>
            <w:pPr>
              <w:ind w:left="120"/>
              <w:spacing w:after="0"/>
              <w:rPr>
                <w:sz w:val="20"/>
                <w:szCs w:val="20"/>
                <w:color w:val="auto"/>
              </w:rPr>
            </w:pPr>
            <w:r>
              <w:rPr>
                <w:rFonts w:ascii="Arial" w:cs="Arial" w:eastAsia="Arial" w:hAnsi="Arial"/>
                <w:sz w:val="22"/>
                <w:szCs w:val="22"/>
                <w:color w:val="auto"/>
              </w:rPr>
              <w:t>Accounts payable</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11,224</w:t>
            </w:r>
          </w:p>
        </w:tc>
        <w:tc>
          <w:tcPr>
            <w:tcW w:w="12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9,220</w:t>
            </w:r>
          </w:p>
        </w:tc>
        <w:tc>
          <w:tcPr>
            <w:tcW w:w="0" w:type="dxa"/>
            <w:vAlign w:val="bottom"/>
          </w:tcPr>
          <w:p>
            <w:pPr>
              <w:spacing w:after="0"/>
              <w:rPr>
                <w:sz w:val="1"/>
                <w:szCs w:val="1"/>
                <w:color w:val="auto"/>
              </w:rPr>
            </w:pPr>
          </w:p>
        </w:tc>
      </w:tr>
      <w:tr>
        <w:trPr>
          <w:trHeight w:val="270"/>
        </w:trPr>
        <w:tc>
          <w:tcPr>
            <w:tcW w:w="8380" w:type="dxa"/>
            <w:vAlign w:val="bottom"/>
          </w:tcPr>
          <w:p>
            <w:pPr>
              <w:ind w:left="120"/>
              <w:spacing w:after="0"/>
              <w:rPr>
                <w:sz w:val="20"/>
                <w:szCs w:val="20"/>
                <w:color w:val="auto"/>
              </w:rPr>
            </w:pPr>
            <w:r>
              <w:rPr>
                <w:rFonts w:ascii="Arial" w:cs="Arial" w:eastAsia="Arial" w:hAnsi="Arial"/>
                <w:sz w:val="22"/>
                <w:szCs w:val="22"/>
                <w:color w:val="auto"/>
              </w:rPr>
              <w:t>Accrued compensation and related benefits</w:t>
            </w: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8,293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13,787</w:t>
            </w:r>
          </w:p>
        </w:tc>
        <w:tc>
          <w:tcPr>
            <w:tcW w:w="0" w:type="dxa"/>
            <w:vAlign w:val="bottom"/>
          </w:tcPr>
          <w:p>
            <w:pPr>
              <w:spacing w:after="0"/>
              <w:rPr>
                <w:sz w:val="1"/>
                <w:szCs w:val="1"/>
                <w:color w:val="auto"/>
              </w:rPr>
            </w:pPr>
          </w:p>
        </w:tc>
      </w:tr>
      <w:tr>
        <w:trPr>
          <w:trHeight w:val="270"/>
        </w:trPr>
        <w:tc>
          <w:tcPr>
            <w:tcW w:w="8380" w:type="dxa"/>
            <w:vAlign w:val="bottom"/>
          </w:tcPr>
          <w:p>
            <w:pPr>
              <w:ind w:left="120"/>
              <w:spacing w:after="0"/>
              <w:rPr>
                <w:sz w:val="20"/>
                <w:szCs w:val="20"/>
                <w:color w:val="auto"/>
              </w:rPr>
            </w:pPr>
            <w:r>
              <w:rPr>
                <w:rFonts w:ascii="Arial" w:cs="Arial" w:eastAsia="Arial" w:hAnsi="Arial"/>
                <w:sz w:val="22"/>
                <w:szCs w:val="22"/>
                <w:color w:val="auto"/>
              </w:rPr>
              <w:t>Operating lease liabilities, current</w:t>
            </w: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2,971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2,973</w:t>
            </w:r>
          </w:p>
        </w:tc>
        <w:tc>
          <w:tcPr>
            <w:tcW w:w="0" w:type="dxa"/>
            <w:vAlign w:val="bottom"/>
          </w:tcPr>
          <w:p>
            <w:pPr>
              <w:spacing w:after="0"/>
              <w:rPr>
                <w:sz w:val="1"/>
                <w:szCs w:val="1"/>
                <w:color w:val="auto"/>
              </w:rPr>
            </w:pPr>
          </w:p>
        </w:tc>
      </w:tr>
      <w:tr>
        <w:trPr>
          <w:trHeight w:val="270"/>
        </w:trPr>
        <w:tc>
          <w:tcPr>
            <w:tcW w:w="8380" w:type="dxa"/>
            <w:vAlign w:val="bottom"/>
          </w:tcPr>
          <w:p>
            <w:pPr>
              <w:ind w:left="120"/>
              <w:spacing w:after="0"/>
              <w:rPr>
                <w:sz w:val="20"/>
                <w:szCs w:val="20"/>
                <w:color w:val="auto"/>
              </w:rPr>
            </w:pPr>
            <w:r>
              <w:rPr>
                <w:rFonts w:ascii="Arial" w:cs="Arial" w:eastAsia="Arial" w:hAnsi="Arial"/>
                <w:sz w:val="22"/>
                <w:szCs w:val="22"/>
                <w:color w:val="auto"/>
              </w:rPr>
              <w:t>Other accrued liabilities</w:t>
            </w: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8,682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11,882</w:t>
            </w:r>
          </w:p>
        </w:tc>
        <w:tc>
          <w:tcPr>
            <w:tcW w:w="0" w:type="dxa"/>
            <w:vAlign w:val="bottom"/>
          </w:tcPr>
          <w:p>
            <w:pPr>
              <w:spacing w:after="0"/>
              <w:rPr>
                <w:sz w:val="1"/>
                <w:szCs w:val="1"/>
                <w:color w:val="auto"/>
              </w:rPr>
            </w:pPr>
          </w:p>
        </w:tc>
      </w:tr>
      <w:tr>
        <w:trPr>
          <w:trHeight w:val="270"/>
        </w:trPr>
        <w:tc>
          <w:tcPr>
            <w:tcW w:w="8380" w:type="dxa"/>
            <w:vAlign w:val="bottom"/>
          </w:tcPr>
          <w:p>
            <w:pPr>
              <w:ind w:left="120"/>
              <w:spacing w:after="0"/>
              <w:rPr>
                <w:sz w:val="20"/>
                <w:szCs w:val="20"/>
                <w:color w:val="auto"/>
              </w:rPr>
            </w:pPr>
            <w:r>
              <w:rPr>
                <w:rFonts w:ascii="Arial" w:cs="Arial" w:eastAsia="Arial" w:hAnsi="Arial"/>
                <w:sz w:val="22"/>
                <w:szCs w:val="22"/>
                <w:color w:val="auto"/>
              </w:rPr>
              <w:t>Deferred grant income, current</w:t>
            </w: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7,703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2,912</w:t>
            </w:r>
          </w:p>
        </w:tc>
        <w:tc>
          <w:tcPr>
            <w:tcW w:w="0" w:type="dxa"/>
            <w:vAlign w:val="bottom"/>
          </w:tcPr>
          <w:p>
            <w:pPr>
              <w:spacing w:after="0"/>
              <w:rPr>
                <w:sz w:val="1"/>
                <w:szCs w:val="1"/>
                <w:color w:val="auto"/>
              </w:rPr>
            </w:pPr>
          </w:p>
        </w:tc>
      </w:tr>
      <w:tr>
        <w:trPr>
          <w:trHeight w:val="274"/>
        </w:trPr>
        <w:tc>
          <w:tcPr>
            <w:tcW w:w="8380" w:type="dxa"/>
            <w:vAlign w:val="bottom"/>
          </w:tcPr>
          <w:p>
            <w:pPr>
              <w:ind w:left="120"/>
              <w:spacing w:after="0"/>
              <w:rPr>
                <w:sz w:val="20"/>
                <w:szCs w:val="20"/>
                <w:color w:val="auto"/>
              </w:rPr>
            </w:pPr>
            <w:r>
              <w:rPr>
                <w:rFonts w:ascii="Arial" w:cs="Arial" w:eastAsia="Arial" w:hAnsi="Arial"/>
                <w:sz w:val="22"/>
                <w:szCs w:val="22"/>
                <w:color w:val="auto"/>
              </w:rPr>
              <w:t>Deferred revenue, current</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13,975</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13,475</w:t>
            </w:r>
          </w:p>
        </w:tc>
        <w:tc>
          <w:tcPr>
            <w:tcW w:w="0" w:type="dxa"/>
            <w:vAlign w:val="bottom"/>
          </w:tcPr>
          <w:p>
            <w:pPr>
              <w:spacing w:after="0"/>
              <w:rPr>
                <w:sz w:val="1"/>
                <w:szCs w:val="1"/>
                <w:color w:val="auto"/>
              </w:rPr>
            </w:pPr>
          </w:p>
        </w:tc>
      </w:tr>
      <w:tr>
        <w:trPr>
          <w:trHeight w:val="259"/>
        </w:trPr>
        <w:tc>
          <w:tcPr>
            <w:tcW w:w="838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3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52,848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54,249</w:t>
            </w:r>
          </w:p>
        </w:tc>
        <w:tc>
          <w:tcPr>
            <w:tcW w:w="0" w:type="dxa"/>
            <w:vAlign w:val="bottom"/>
          </w:tcPr>
          <w:p>
            <w:pPr>
              <w:spacing w:after="0"/>
              <w:rPr>
                <w:sz w:val="1"/>
                <w:szCs w:val="1"/>
                <w:color w:val="auto"/>
              </w:rPr>
            </w:pPr>
          </w:p>
        </w:tc>
      </w:tr>
      <w:tr>
        <w:trPr>
          <w:trHeight w:val="270"/>
        </w:trPr>
        <w:tc>
          <w:tcPr>
            <w:tcW w:w="8380" w:type="dxa"/>
            <w:vAlign w:val="bottom"/>
          </w:tcPr>
          <w:p>
            <w:pPr>
              <w:spacing w:after="0"/>
              <w:rPr>
                <w:sz w:val="20"/>
                <w:szCs w:val="20"/>
                <w:color w:val="auto"/>
              </w:rPr>
            </w:pPr>
            <w:r>
              <w:rPr>
                <w:rFonts w:ascii="Arial" w:cs="Arial" w:eastAsia="Arial" w:hAnsi="Arial"/>
                <w:sz w:val="22"/>
                <w:szCs w:val="22"/>
                <w:color w:val="auto"/>
              </w:rPr>
              <w:t>Convertible notes, net</w:t>
            </w: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53,943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54,224</w:t>
            </w:r>
          </w:p>
        </w:tc>
        <w:tc>
          <w:tcPr>
            <w:tcW w:w="0" w:type="dxa"/>
            <w:vAlign w:val="bottom"/>
          </w:tcPr>
          <w:p>
            <w:pPr>
              <w:spacing w:after="0"/>
              <w:rPr>
                <w:sz w:val="1"/>
                <w:szCs w:val="1"/>
                <w:color w:val="auto"/>
              </w:rPr>
            </w:pPr>
          </w:p>
        </w:tc>
      </w:tr>
      <w:tr>
        <w:trPr>
          <w:trHeight w:val="270"/>
        </w:trPr>
        <w:tc>
          <w:tcPr>
            <w:tcW w:w="8380" w:type="dxa"/>
            <w:vAlign w:val="bottom"/>
          </w:tcPr>
          <w:p>
            <w:pPr>
              <w:spacing w:after="0"/>
              <w:rPr>
                <w:sz w:val="20"/>
                <w:szCs w:val="20"/>
                <w:color w:val="auto"/>
              </w:rPr>
            </w:pPr>
            <w:r>
              <w:rPr>
                <w:rFonts w:ascii="Arial" w:cs="Arial" w:eastAsia="Arial" w:hAnsi="Arial"/>
                <w:sz w:val="22"/>
                <w:szCs w:val="22"/>
                <w:color w:val="auto"/>
              </w:rPr>
              <w:t>Deferred tax liability, net</w:t>
            </w: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6,700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8,697</w:t>
            </w:r>
          </w:p>
        </w:tc>
        <w:tc>
          <w:tcPr>
            <w:tcW w:w="0" w:type="dxa"/>
            <w:vAlign w:val="bottom"/>
          </w:tcPr>
          <w:p>
            <w:pPr>
              <w:spacing w:after="0"/>
              <w:rPr>
                <w:sz w:val="1"/>
                <w:szCs w:val="1"/>
                <w:color w:val="auto"/>
              </w:rPr>
            </w:pPr>
          </w:p>
        </w:tc>
      </w:tr>
      <w:tr>
        <w:trPr>
          <w:trHeight w:val="270"/>
        </w:trPr>
        <w:tc>
          <w:tcPr>
            <w:tcW w:w="8380" w:type="dxa"/>
            <w:vAlign w:val="bottom"/>
          </w:tcPr>
          <w:p>
            <w:pPr>
              <w:spacing w:after="0"/>
              <w:rPr>
                <w:sz w:val="20"/>
                <w:szCs w:val="20"/>
                <w:color w:val="auto"/>
              </w:rPr>
            </w:pPr>
            <w:r>
              <w:rPr>
                <w:rFonts w:ascii="Arial" w:cs="Arial" w:eastAsia="Arial" w:hAnsi="Arial"/>
                <w:sz w:val="22"/>
                <w:szCs w:val="22"/>
                <w:color w:val="auto"/>
              </w:rPr>
              <w:t>Operating lease liabilities, non-current</w:t>
            </w: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39,061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38,178</w:t>
            </w:r>
          </w:p>
        </w:tc>
        <w:tc>
          <w:tcPr>
            <w:tcW w:w="0" w:type="dxa"/>
            <w:vAlign w:val="bottom"/>
          </w:tcPr>
          <w:p>
            <w:pPr>
              <w:spacing w:after="0"/>
              <w:rPr>
                <w:sz w:val="1"/>
                <w:szCs w:val="1"/>
                <w:color w:val="auto"/>
              </w:rPr>
            </w:pPr>
          </w:p>
        </w:tc>
      </w:tr>
      <w:tr>
        <w:trPr>
          <w:trHeight w:val="270"/>
        </w:trPr>
        <w:tc>
          <w:tcPr>
            <w:tcW w:w="8380" w:type="dxa"/>
            <w:vAlign w:val="bottom"/>
          </w:tcPr>
          <w:p>
            <w:pPr>
              <w:spacing w:after="0"/>
              <w:rPr>
                <w:sz w:val="20"/>
                <w:szCs w:val="20"/>
                <w:color w:val="auto"/>
              </w:rPr>
            </w:pPr>
            <w:r>
              <w:rPr>
                <w:rFonts w:ascii="Arial" w:cs="Arial" w:eastAsia="Arial" w:hAnsi="Arial"/>
                <w:sz w:val="22"/>
                <w:szCs w:val="22"/>
                <w:color w:val="auto"/>
              </w:rPr>
              <w:t>Deferred revenue, non-current</w:t>
            </w: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6,506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7,990</w:t>
            </w:r>
          </w:p>
        </w:tc>
        <w:tc>
          <w:tcPr>
            <w:tcW w:w="0" w:type="dxa"/>
            <w:vAlign w:val="bottom"/>
          </w:tcPr>
          <w:p>
            <w:pPr>
              <w:spacing w:after="0"/>
              <w:rPr>
                <w:sz w:val="1"/>
                <w:szCs w:val="1"/>
                <w:color w:val="auto"/>
              </w:rPr>
            </w:pPr>
          </w:p>
        </w:tc>
      </w:tr>
      <w:tr>
        <w:trPr>
          <w:trHeight w:val="270"/>
        </w:trPr>
        <w:tc>
          <w:tcPr>
            <w:tcW w:w="8380" w:type="dxa"/>
            <w:vAlign w:val="bottom"/>
          </w:tcPr>
          <w:p>
            <w:pPr>
              <w:spacing w:after="0"/>
              <w:rPr>
                <w:sz w:val="20"/>
                <w:szCs w:val="20"/>
                <w:color w:val="auto"/>
              </w:rPr>
            </w:pPr>
            <w:r>
              <w:rPr>
                <w:rFonts w:ascii="Arial" w:cs="Arial" w:eastAsia="Arial" w:hAnsi="Arial"/>
                <w:sz w:val="22"/>
                <w:szCs w:val="22"/>
                <w:color w:val="auto"/>
              </w:rPr>
              <w:t>Deferred grant income, non-current</w:t>
            </w: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20,531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21,036</w:t>
            </w:r>
          </w:p>
        </w:tc>
        <w:tc>
          <w:tcPr>
            <w:tcW w:w="0" w:type="dxa"/>
            <w:vAlign w:val="bottom"/>
          </w:tcPr>
          <w:p>
            <w:pPr>
              <w:spacing w:after="0"/>
              <w:rPr>
                <w:sz w:val="1"/>
                <w:szCs w:val="1"/>
                <w:color w:val="auto"/>
              </w:rPr>
            </w:pPr>
          </w:p>
        </w:tc>
      </w:tr>
      <w:tr>
        <w:trPr>
          <w:trHeight w:val="274"/>
        </w:trPr>
        <w:tc>
          <w:tcPr>
            <w:tcW w:w="838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276</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1,333</w:t>
            </w:r>
          </w:p>
        </w:tc>
        <w:tc>
          <w:tcPr>
            <w:tcW w:w="0" w:type="dxa"/>
            <w:vAlign w:val="bottom"/>
          </w:tcPr>
          <w:p>
            <w:pPr>
              <w:spacing w:after="0"/>
              <w:rPr>
                <w:sz w:val="1"/>
                <w:szCs w:val="1"/>
                <w:color w:val="auto"/>
              </w:rPr>
            </w:pPr>
          </w:p>
        </w:tc>
      </w:tr>
      <w:tr>
        <w:trPr>
          <w:trHeight w:val="259"/>
        </w:trPr>
        <w:tc>
          <w:tcPr>
            <w:tcW w:w="8380" w:type="dxa"/>
            <w:vAlign w:val="bottom"/>
          </w:tcPr>
          <w:p>
            <w:pPr>
              <w:spacing w:after="0"/>
              <w:rPr>
                <w:sz w:val="20"/>
                <w:szCs w:val="20"/>
                <w:color w:val="auto"/>
              </w:rPr>
            </w:pPr>
            <w:r>
              <w:rPr>
                <w:rFonts w:ascii="Arial" w:cs="Arial" w:eastAsia="Arial" w:hAnsi="Arial"/>
                <w:sz w:val="22"/>
                <w:szCs w:val="22"/>
                <w:color w:val="auto"/>
              </w:rPr>
              <w:t>Total liabilities</w:t>
            </w:r>
          </w:p>
        </w:tc>
        <w:tc>
          <w:tcPr>
            <w:tcW w:w="3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179,865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185,707</w:t>
            </w:r>
          </w:p>
        </w:tc>
        <w:tc>
          <w:tcPr>
            <w:tcW w:w="0" w:type="dxa"/>
            <w:vAlign w:val="bottom"/>
          </w:tcPr>
          <w:p>
            <w:pPr>
              <w:spacing w:after="0"/>
              <w:rPr>
                <w:sz w:val="1"/>
                <w:szCs w:val="1"/>
                <w:color w:val="auto"/>
              </w:rPr>
            </w:pPr>
          </w:p>
        </w:tc>
      </w:tr>
      <w:tr>
        <w:trPr>
          <w:trHeight w:val="276"/>
        </w:trPr>
        <w:tc>
          <w:tcPr>
            <w:tcW w:w="8380" w:type="dxa"/>
            <w:vAlign w:val="bottom"/>
          </w:tcPr>
          <w:p>
            <w:pPr>
              <w:spacing w:after="0"/>
              <w:rPr>
                <w:sz w:val="20"/>
                <w:szCs w:val="20"/>
                <w:color w:val="auto"/>
              </w:rPr>
            </w:pPr>
            <w:r>
              <w:rPr>
                <w:rFonts w:ascii="Arial" w:cs="Arial" w:eastAsia="Arial" w:hAnsi="Arial"/>
                <w:sz w:val="22"/>
                <w:szCs w:val="22"/>
                <w:color w:val="auto"/>
              </w:rPr>
              <w:t>Total stockholders' equity</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109,450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139,050</w:t>
            </w:r>
          </w:p>
        </w:tc>
        <w:tc>
          <w:tcPr>
            <w:tcW w:w="0" w:type="dxa"/>
            <w:vAlign w:val="bottom"/>
          </w:tcPr>
          <w:p>
            <w:pPr>
              <w:spacing w:after="0"/>
              <w:rPr>
                <w:sz w:val="1"/>
                <w:szCs w:val="1"/>
                <w:color w:val="auto"/>
              </w:rPr>
            </w:pPr>
          </w:p>
        </w:tc>
      </w:tr>
      <w:tr>
        <w:trPr>
          <w:trHeight w:val="265"/>
        </w:trPr>
        <w:tc>
          <w:tcPr>
            <w:tcW w:w="8380" w:type="dxa"/>
            <w:vAlign w:val="bottom"/>
          </w:tcPr>
          <w:p>
            <w:pPr>
              <w:spacing w:after="0"/>
              <w:rPr>
                <w:sz w:val="20"/>
                <w:szCs w:val="20"/>
                <w:color w:val="auto"/>
              </w:rPr>
            </w:pPr>
            <w:r>
              <w:rPr>
                <w:rFonts w:ascii="Arial" w:cs="Arial" w:eastAsia="Arial" w:hAnsi="Arial"/>
                <w:sz w:val="22"/>
                <w:szCs w:val="22"/>
                <w:color w:val="auto"/>
              </w:rPr>
              <w:t>Total liabilities and stockholders' equity</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289,315</w:t>
            </w:r>
          </w:p>
        </w:tc>
        <w:tc>
          <w:tcPr>
            <w:tcW w:w="120" w:type="dxa"/>
            <w:vAlign w:val="bottom"/>
          </w:tcPr>
          <w:p>
            <w:pPr>
              <w:spacing w:after="0"/>
              <w:rPr>
                <w:sz w:val="23"/>
                <w:szCs w:val="23"/>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324,757</w:t>
            </w:r>
          </w:p>
        </w:tc>
        <w:tc>
          <w:tcPr>
            <w:tcW w:w="0" w:type="dxa"/>
            <w:vAlign w:val="bottom"/>
          </w:tcPr>
          <w:p>
            <w:pPr>
              <w:spacing w:after="0"/>
              <w:rPr>
                <w:sz w:val="1"/>
                <w:szCs w:val="1"/>
                <w:color w:val="auto"/>
              </w:rPr>
            </w:pPr>
          </w:p>
        </w:tc>
      </w:tr>
      <w:tr>
        <w:trPr>
          <w:trHeight w:val="21"/>
        </w:trPr>
        <w:tc>
          <w:tcPr>
            <w:tcW w:w="8380" w:type="dxa"/>
            <w:vAlign w:val="bottom"/>
            <w:vMerge w:val="restart"/>
          </w:tcPr>
          <w:p>
            <w:pPr>
              <w:spacing w:after="0"/>
              <w:rPr>
                <w:sz w:val="20"/>
                <w:szCs w:val="20"/>
                <w:color w:val="auto"/>
              </w:rPr>
            </w:pPr>
            <w:r>
              <w:rPr>
                <w:rFonts w:ascii="Arial" w:cs="Arial" w:eastAsia="Arial" w:hAnsi="Arial"/>
                <w:sz w:val="22"/>
                <w:szCs w:val="22"/>
                <w:color w:val="auto"/>
              </w:rPr>
              <w:t>Notes: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83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80" w:type="dxa"/>
            <w:vAlign w:val="bottom"/>
          </w:tcPr>
          <w:p>
            <w:pPr>
              <w:spacing w:after="0"/>
              <w:rPr>
                <w:sz w:val="20"/>
                <w:szCs w:val="20"/>
                <w:color w:val="auto"/>
              </w:rPr>
            </w:pPr>
            <w:r>
              <w:rPr>
                <w:rFonts w:ascii="Arial" w:cs="Arial" w:eastAsia="Arial" w:hAnsi="Arial"/>
                <w:sz w:val="22"/>
                <w:szCs w:val="22"/>
                <w:color w:val="auto"/>
              </w:rPr>
              <w:t>(1) Derived from audited consolidated financial statements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80" w:type="dxa"/>
            <w:vAlign w:val="bottom"/>
          </w:tcPr>
          <w:p>
            <w:pPr>
              <w:spacing w:after="0"/>
              <w:rPr>
                <w:sz w:val="20"/>
                <w:szCs w:val="20"/>
                <w:color w:val="auto"/>
              </w:rPr>
            </w:pPr>
            <w:r>
              <w:rPr>
                <w:rFonts w:ascii="Arial" w:cs="Arial" w:eastAsia="Arial" w:hAnsi="Arial"/>
                <w:sz w:val="22"/>
                <w:szCs w:val="22"/>
                <w:color w:val="auto"/>
                <w:w w:val="96"/>
              </w:rPr>
              <w:t>(2) Cash and cash equivalents, available for sale securities and restricted cash consist of:</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80" w:type="dxa"/>
            <w:vAlign w:val="bottom"/>
          </w:tcPr>
          <w:p>
            <w:pPr>
              <w:spacing w:after="0"/>
              <w:rPr>
                <w:sz w:val="20"/>
                <w:szCs w:val="20"/>
                <w:color w:val="auto"/>
              </w:rPr>
            </w:pPr>
            <w:r>
              <w:rPr>
                <w:rFonts w:ascii="Arial" w:cs="Arial" w:eastAsia="Arial" w:hAnsi="Arial"/>
                <w:sz w:val="22"/>
                <w:szCs w:val="22"/>
                <w:color w:val="auto"/>
              </w:rPr>
              <w:t>Cash and cash equivalents</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30,863</w:t>
            </w:r>
          </w:p>
        </w:tc>
        <w:tc>
          <w:tcPr>
            <w:tcW w:w="12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68,520</w:t>
            </w:r>
          </w:p>
        </w:tc>
        <w:tc>
          <w:tcPr>
            <w:tcW w:w="0" w:type="dxa"/>
            <w:vAlign w:val="bottom"/>
          </w:tcPr>
          <w:p>
            <w:pPr>
              <w:spacing w:after="0"/>
              <w:rPr>
                <w:sz w:val="1"/>
                <w:szCs w:val="1"/>
                <w:color w:val="auto"/>
              </w:rPr>
            </w:pPr>
          </w:p>
        </w:tc>
      </w:tr>
      <w:tr>
        <w:trPr>
          <w:trHeight w:val="276"/>
        </w:trPr>
        <w:tc>
          <w:tcPr>
            <w:tcW w:w="8380" w:type="dxa"/>
            <w:vAlign w:val="bottom"/>
          </w:tcPr>
          <w:p>
            <w:pPr>
              <w:spacing w:after="0"/>
              <w:rPr>
                <w:sz w:val="20"/>
                <w:szCs w:val="20"/>
                <w:color w:val="auto"/>
              </w:rPr>
            </w:pPr>
            <w:r>
              <w:rPr>
                <w:rFonts w:ascii="Arial" w:cs="Arial" w:eastAsia="Arial" w:hAnsi="Arial"/>
                <w:sz w:val="22"/>
                <w:szCs w:val="22"/>
                <w:color w:val="auto"/>
                <w:w w:val="93"/>
              </w:rPr>
              <w:t>Restricted cash (included in prepaid and other current assets, and other non-current assets)</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1,016</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1,016</w:t>
            </w:r>
          </w:p>
        </w:tc>
        <w:tc>
          <w:tcPr>
            <w:tcW w:w="0" w:type="dxa"/>
            <w:vAlign w:val="bottom"/>
          </w:tcPr>
          <w:p>
            <w:pPr>
              <w:spacing w:after="0"/>
              <w:rPr>
                <w:sz w:val="1"/>
                <w:szCs w:val="1"/>
                <w:color w:val="auto"/>
              </w:rPr>
            </w:pPr>
          </w:p>
        </w:tc>
      </w:tr>
      <w:tr>
        <w:trPr>
          <w:trHeight w:val="265"/>
        </w:trPr>
        <w:tc>
          <w:tcPr>
            <w:tcW w:w="8380" w:type="dxa"/>
            <w:vAlign w:val="bottom"/>
          </w:tcPr>
          <w:p>
            <w:pPr>
              <w:spacing w:after="0"/>
              <w:rPr>
                <w:sz w:val="20"/>
                <w:szCs w:val="20"/>
                <w:color w:val="auto"/>
              </w:rPr>
            </w:pPr>
            <w:r>
              <w:rPr>
                <w:rFonts w:ascii="Arial" w:cs="Arial" w:eastAsia="Arial" w:hAnsi="Arial"/>
                <w:sz w:val="22"/>
                <w:szCs w:val="22"/>
                <w:color w:val="auto"/>
              </w:rPr>
              <w:t>Total cash and cash equivalents, available for sale securities and restricted cash</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31,879</w:t>
            </w:r>
          </w:p>
        </w:tc>
        <w:tc>
          <w:tcPr>
            <w:tcW w:w="120" w:type="dxa"/>
            <w:vAlign w:val="bottom"/>
          </w:tcPr>
          <w:p>
            <w:pPr>
              <w:spacing w:after="0"/>
              <w:rPr>
                <w:sz w:val="23"/>
                <w:szCs w:val="23"/>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69,536</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22"/>
                <w:szCs w:val="22"/>
                <w:b w:val="1"/>
                <w:bCs w:val="1"/>
                <w:color w:val="auto"/>
                <w:w w:val="88"/>
              </w:rPr>
              <w:t>Six Months Ended June 30,</w:t>
            </w:r>
          </w:p>
        </w:tc>
        <w:tc>
          <w:tcPr>
            <w:tcW w:w="0" w:type="dxa"/>
            <w:vAlign w:val="bottom"/>
          </w:tcPr>
          <w:p>
            <w:pPr>
              <w:spacing w:after="0"/>
              <w:rPr>
                <w:sz w:val="1"/>
                <w:szCs w:val="1"/>
                <w:color w:val="auto"/>
              </w:rPr>
            </w:pPr>
          </w:p>
        </w:tc>
      </w:tr>
      <w:tr>
        <w:trPr>
          <w:trHeight w:val="265"/>
        </w:trPr>
        <w:tc>
          <w:tcPr>
            <w:tcW w:w="8420" w:type="dxa"/>
            <w:vAlign w:val="bottom"/>
            <w:vMerge w:val="restart"/>
          </w:tcPr>
          <w:p>
            <w:pPr>
              <w:spacing w:after="0"/>
              <w:rPr>
                <w:sz w:val="20"/>
                <w:szCs w:val="20"/>
                <w:color w:val="auto"/>
              </w:rPr>
            </w:pPr>
            <w:r>
              <w:rPr>
                <w:rFonts w:ascii="Arial" w:cs="Arial" w:eastAsia="Arial" w:hAnsi="Arial"/>
                <w:sz w:val="22"/>
                <w:szCs w:val="22"/>
                <w:b w:val="1"/>
                <w:bCs w:val="1"/>
                <w:color w:val="auto"/>
              </w:rPr>
              <w:t>OPERATING ACTIVITIES</w:t>
            </w: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2021</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2020</w:t>
            </w:r>
          </w:p>
        </w:tc>
        <w:tc>
          <w:tcPr>
            <w:tcW w:w="0" w:type="dxa"/>
            <w:vAlign w:val="bottom"/>
          </w:tcPr>
          <w:p>
            <w:pPr>
              <w:spacing w:after="0"/>
              <w:rPr>
                <w:sz w:val="1"/>
                <w:szCs w:val="1"/>
                <w:color w:val="auto"/>
              </w:rPr>
            </w:pPr>
          </w:p>
        </w:tc>
      </w:tr>
      <w:tr>
        <w:trPr>
          <w:trHeight w:val="247"/>
        </w:trPr>
        <w:tc>
          <w:tcPr>
            <w:tcW w:w="84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8420" w:type="dxa"/>
            <w:vAlign w:val="bottom"/>
          </w:tcPr>
          <w:p>
            <w:pPr>
              <w:spacing w:after="0"/>
              <w:rPr>
                <w:sz w:val="20"/>
                <w:szCs w:val="20"/>
                <w:color w:val="auto"/>
              </w:rPr>
            </w:pPr>
            <w:r>
              <w:rPr>
                <w:rFonts w:ascii="Arial" w:cs="Arial" w:eastAsia="Arial" w:hAnsi="Arial"/>
                <w:sz w:val="22"/>
                <w:szCs w:val="22"/>
                <w:color w:val="auto"/>
              </w:rPr>
              <w:t>Net loss</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(35,964)</w:t>
            </w:r>
          </w:p>
        </w:tc>
        <w:tc>
          <w:tcPr>
            <w:tcW w:w="100" w:type="dxa"/>
            <w:vAlign w:val="bottom"/>
          </w:tcPr>
          <w:p>
            <w:pPr>
              <w:spacing w:after="0"/>
              <w:rPr>
                <w:sz w:val="24"/>
                <w:szCs w:val="24"/>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(28,995)</w:t>
            </w: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12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color w:val="auto"/>
              </w:rPr>
              <w:t>7,418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6,000</w:t>
            </w: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22"/>
                <w:szCs w:val="22"/>
                <w:color w:val="auto"/>
              </w:rPr>
              <w:t>Amortization of developed technology</w:t>
            </w:r>
          </w:p>
        </w:tc>
        <w:tc>
          <w:tcPr>
            <w:tcW w:w="12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color w:val="auto"/>
              </w:rPr>
              <w:t>5,965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5,936</w:t>
            </w: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120" w:type="dxa"/>
            <w:vAlign w:val="bottom"/>
          </w:tcPr>
          <w:p>
            <w:pPr>
              <w:spacing w:after="0"/>
              <w:rPr>
                <w:sz w:val="23"/>
                <w:szCs w:val="23"/>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148</w:t>
            </w: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2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color w:val="auto"/>
              </w:rPr>
              <w:t>1,851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2,016</w:t>
            </w: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22"/>
                <w:szCs w:val="22"/>
                <w:color w:val="auto"/>
              </w:rPr>
              <w:t>Other non-cash items</w:t>
            </w:r>
          </w:p>
        </w:tc>
        <w:tc>
          <w:tcPr>
            <w:tcW w:w="12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color w:val="auto"/>
              </w:rPr>
              <w:t>1,787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2,048</w:t>
            </w:r>
          </w:p>
        </w:tc>
        <w:tc>
          <w:tcPr>
            <w:tcW w:w="0" w:type="dxa"/>
            <w:vAlign w:val="bottom"/>
          </w:tcPr>
          <w:p>
            <w:pPr>
              <w:spacing w:after="0"/>
              <w:rPr>
                <w:sz w:val="1"/>
                <w:szCs w:val="1"/>
                <w:color w:val="auto"/>
              </w:rPr>
            </w:pPr>
          </w:p>
        </w:tc>
      </w:tr>
      <w:tr>
        <w:trPr>
          <w:trHeight w:val="274"/>
        </w:trPr>
        <w:tc>
          <w:tcPr>
            <w:tcW w:w="8420" w:type="dxa"/>
            <w:vAlign w:val="bottom"/>
          </w:tcPr>
          <w:p>
            <w:pPr>
              <w:spacing w:after="0"/>
              <w:rPr>
                <w:sz w:val="20"/>
                <w:szCs w:val="20"/>
                <w:color w:val="auto"/>
              </w:rPr>
            </w:pPr>
            <w:r>
              <w:rPr>
                <w:rFonts w:ascii="Arial" w:cs="Arial" w:eastAsia="Arial" w:hAnsi="Arial"/>
                <w:sz w:val="22"/>
                <w:szCs w:val="22"/>
                <w:color w:val="auto"/>
              </w:rPr>
              <w:t>Changes in assets and liabilities, net</w:t>
            </w: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(8,622)</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5,762</w:t>
            </w:r>
          </w:p>
        </w:tc>
        <w:tc>
          <w:tcPr>
            <w:tcW w:w="0" w:type="dxa"/>
            <w:vAlign w:val="bottom"/>
          </w:tcPr>
          <w:p>
            <w:pPr>
              <w:spacing w:after="0"/>
              <w:rPr>
                <w:sz w:val="1"/>
                <w:szCs w:val="1"/>
                <w:color w:val="auto"/>
              </w:rPr>
            </w:pPr>
          </w:p>
        </w:tc>
      </w:tr>
      <w:tr>
        <w:trPr>
          <w:trHeight w:val="267"/>
        </w:trPr>
        <w:tc>
          <w:tcPr>
            <w:tcW w:w="8420" w:type="dxa"/>
            <w:vAlign w:val="bottom"/>
          </w:tcPr>
          <w:p>
            <w:pPr>
              <w:spacing w:after="0"/>
              <w:rPr>
                <w:sz w:val="20"/>
                <w:szCs w:val="20"/>
                <w:color w:val="auto"/>
              </w:rPr>
            </w:pPr>
            <w:r>
              <w:rPr>
                <w:rFonts w:ascii="Arial" w:cs="Arial" w:eastAsia="Arial" w:hAnsi="Arial"/>
                <w:sz w:val="22"/>
                <w:szCs w:val="22"/>
                <w:color w:val="auto"/>
              </w:rPr>
              <w:t>Net cash used in operating activities</w:t>
            </w: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(27,565)</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(7,085)</w:t>
            </w:r>
          </w:p>
        </w:tc>
        <w:tc>
          <w:tcPr>
            <w:tcW w:w="0" w:type="dxa"/>
            <w:vAlign w:val="bottom"/>
          </w:tcPr>
          <w:p>
            <w:pPr>
              <w:spacing w:after="0"/>
              <w:rPr>
                <w:sz w:val="1"/>
                <w:szCs w:val="1"/>
                <w:color w:val="auto"/>
              </w:rPr>
            </w:pPr>
          </w:p>
        </w:tc>
      </w:tr>
      <w:tr>
        <w:trPr>
          <w:trHeight w:val="526"/>
        </w:trPr>
        <w:tc>
          <w:tcPr>
            <w:tcW w:w="8420" w:type="dxa"/>
            <w:vAlign w:val="bottom"/>
          </w:tcPr>
          <w:p>
            <w:pPr>
              <w:spacing w:after="0"/>
              <w:rPr>
                <w:sz w:val="20"/>
                <w:szCs w:val="20"/>
                <w:color w:val="auto"/>
              </w:rPr>
            </w:pPr>
            <w:r>
              <w:rPr>
                <w:rFonts w:ascii="Arial" w:cs="Arial" w:eastAsia="Arial" w:hAnsi="Arial"/>
                <w:sz w:val="22"/>
                <w:szCs w:val="22"/>
                <w:b w:val="1"/>
                <w:bCs w:val="1"/>
                <w:color w:val="auto"/>
              </w:rPr>
              <w:t>INVESTING ACTIVITIES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22"/>
                <w:szCs w:val="22"/>
                <w:color w:val="auto"/>
              </w:rPr>
              <w:t>Acquisition, net of cash acquired</w:t>
            </w:r>
          </w:p>
        </w:tc>
        <w:tc>
          <w:tcPr>
            <w:tcW w:w="120" w:type="dxa"/>
            <w:vAlign w:val="bottom"/>
          </w:tcPr>
          <w:p>
            <w:pPr>
              <w:spacing w:after="0"/>
              <w:rPr>
                <w:sz w:val="23"/>
                <w:szCs w:val="23"/>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(5,154)</w:t>
            </w: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22"/>
                <w:szCs w:val="22"/>
                <w:color w:val="auto"/>
              </w:rPr>
              <w:t>Proceeds from NIH Contract</w:t>
            </w:r>
          </w:p>
        </w:tc>
        <w:tc>
          <w:tcPr>
            <w:tcW w:w="12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color w:val="auto"/>
              </w:rPr>
              <w:t>2,000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22"/>
                <w:szCs w:val="22"/>
                <w:color w:val="auto"/>
              </w:rPr>
              <w:t>Proceeds from sales and maturities of investments</w:t>
            </w:r>
          </w:p>
        </w:tc>
        <w:tc>
          <w:tcPr>
            <w:tcW w:w="120" w:type="dxa"/>
            <w:vAlign w:val="bottom"/>
          </w:tcPr>
          <w:p>
            <w:pPr>
              <w:spacing w:after="0"/>
              <w:rPr>
                <w:sz w:val="23"/>
                <w:szCs w:val="23"/>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34,411</w:t>
            </w:r>
          </w:p>
        </w:tc>
        <w:tc>
          <w:tcPr>
            <w:tcW w:w="0" w:type="dxa"/>
            <w:vAlign w:val="bottom"/>
          </w:tcPr>
          <w:p>
            <w:pPr>
              <w:spacing w:after="0"/>
              <w:rPr>
                <w:sz w:val="1"/>
                <w:szCs w:val="1"/>
                <w:color w:val="auto"/>
              </w:rPr>
            </w:pPr>
          </w:p>
        </w:tc>
      </w:tr>
      <w:tr>
        <w:trPr>
          <w:trHeight w:val="274"/>
        </w:trPr>
        <w:tc>
          <w:tcPr>
            <w:tcW w:w="8420" w:type="dxa"/>
            <w:vAlign w:val="bottom"/>
          </w:tcPr>
          <w:p>
            <w:pPr>
              <w:spacing w:after="0"/>
              <w:rPr>
                <w:sz w:val="20"/>
                <w:szCs w:val="20"/>
                <w:color w:val="auto"/>
              </w:rPr>
            </w:pPr>
            <w:r>
              <w:rPr>
                <w:rFonts w:ascii="Arial" w:cs="Arial" w:eastAsia="Arial" w:hAnsi="Arial"/>
                <w:sz w:val="22"/>
                <w:szCs w:val="22"/>
                <w:color w:val="auto"/>
              </w:rPr>
              <w:t>Purchases of property and equipment</w:t>
            </w: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(11,095)</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(1,671)</w:t>
            </w:r>
          </w:p>
        </w:tc>
        <w:tc>
          <w:tcPr>
            <w:tcW w:w="0" w:type="dxa"/>
            <w:vAlign w:val="bottom"/>
          </w:tcPr>
          <w:p>
            <w:pPr>
              <w:spacing w:after="0"/>
              <w:rPr>
                <w:sz w:val="1"/>
                <w:szCs w:val="1"/>
                <w:color w:val="auto"/>
              </w:rPr>
            </w:pPr>
          </w:p>
        </w:tc>
      </w:tr>
      <w:tr>
        <w:trPr>
          <w:trHeight w:val="267"/>
        </w:trPr>
        <w:tc>
          <w:tcPr>
            <w:tcW w:w="8420" w:type="dxa"/>
            <w:vAlign w:val="bottom"/>
          </w:tcPr>
          <w:p>
            <w:pPr>
              <w:spacing w:after="0"/>
              <w:rPr>
                <w:sz w:val="20"/>
                <w:szCs w:val="20"/>
                <w:color w:val="auto"/>
              </w:rPr>
            </w:pPr>
            <w:r>
              <w:rPr>
                <w:rFonts w:ascii="Arial" w:cs="Arial" w:eastAsia="Arial" w:hAnsi="Arial"/>
                <w:sz w:val="22"/>
                <w:szCs w:val="22"/>
                <w:color w:val="auto"/>
              </w:rPr>
              <w:t>Net cash provided by (used in) investing activities</w:t>
            </w: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(9,095)</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27,586</w:t>
            </w:r>
          </w:p>
        </w:tc>
        <w:tc>
          <w:tcPr>
            <w:tcW w:w="0" w:type="dxa"/>
            <w:vAlign w:val="bottom"/>
          </w:tcPr>
          <w:p>
            <w:pPr>
              <w:spacing w:after="0"/>
              <w:rPr>
                <w:sz w:val="1"/>
                <w:szCs w:val="1"/>
                <w:color w:val="auto"/>
              </w:rPr>
            </w:pPr>
          </w:p>
        </w:tc>
      </w:tr>
      <w:tr>
        <w:trPr>
          <w:trHeight w:val="526"/>
        </w:trPr>
        <w:tc>
          <w:tcPr>
            <w:tcW w:w="8420" w:type="dxa"/>
            <w:vAlign w:val="bottom"/>
          </w:tcPr>
          <w:p>
            <w:pPr>
              <w:spacing w:after="0"/>
              <w:rPr>
                <w:sz w:val="20"/>
                <w:szCs w:val="20"/>
                <w:color w:val="auto"/>
              </w:rPr>
            </w:pPr>
            <w:r>
              <w:rPr>
                <w:rFonts w:ascii="Arial" w:cs="Arial" w:eastAsia="Arial" w:hAnsi="Arial"/>
                <w:sz w:val="22"/>
                <w:szCs w:val="22"/>
                <w:b w:val="1"/>
                <w:bCs w:val="1"/>
                <w:color w:val="auto"/>
              </w:rPr>
              <w:t>FINANCING ACTIVITIES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22"/>
                <w:szCs w:val="22"/>
                <w:color w:val="auto"/>
              </w:rPr>
              <w:t>Repayment of long-term debt</w:t>
            </w:r>
          </w:p>
        </w:tc>
        <w:tc>
          <w:tcPr>
            <w:tcW w:w="12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(501)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22"/>
                <w:szCs w:val="22"/>
                <w:color w:val="auto"/>
              </w:rPr>
              <w:t>Proceeds from (payments for) employee equity programs, net</w:t>
            </w:r>
          </w:p>
        </w:tc>
        <w:tc>
          <w:tcPr>
            <w:tcW w:w="12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(658)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383</w:t>
            </w:r>
          </w:p>
        </w:tc>
        <w:tc>
          <w:tcPr>
            <w:tcW w:w="0" w:type="dxa"/>
            <w:vAlign w:val="bottom"/>
          </w:tcPr>
          <w:p>
            <w:pPr>
              <w:spacing w:after="0"/>
              <w:rPr>
                <w:sz w:val="1"/>
                <w:szCs w:val="1"/>
                <w:color w:val="auto"/>
              </w:rPr>
            </w:pPr>
          </w:p>
        </w:tc>
      </w:tr>
      <w:tr>
        <w:trPr>
          <w:trHeight w:val="274"/>
        </w:trPr>
        <w:tc>
          <w:tcPr>
            <w:tcW w:w="8420" w:type="dxa"/>
            <w:vAlign w:val="bottom"/>
          </w:tcPr>
          <w:p>
            <w:pPr>
              <w:spacing w:after="0"/>
              <w:rPr>
                <w:sz w:val="20"/>
                <w:szCs w:val="20"/>
                <w:color w:val="auto"/>
              </w:rPr>
            </w:pPr>
            <w:r>
              <w:rPr>
                <w:rFonts w:ascii="Arial" w:cs="Arial" w:eastAsia="Arial" w:hAnsi="Arial"/>
                <w:sz w:val="22"/>
                <w:szCs w:val="22"/>
                <w:color w:val="auto"/>
              </w:rPr>
              <w:t>Payment of debt issuance costs</w:t>
            </w:r>
          </w:p>
        </w:tc>
        <w:tc>
          <w:tcPr>
            <w:tcW w:w="120" w:type="dxa"/>
            <w:vAlign w:val="bottom"/>
          </w:tcPr>
          <w:p>
            <w:pPr>
              <w:spacing w:after="0"/>
              <w:rPr>
                <w:sz w:val="23"/>
                <w:szCs w:val="23"/>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(375)</w:t>
            </w:r>
          </w:p>
        </w:tc>
        <w:tc>
          <w:tcPr>
            <w:tcW w:w="0" w:type="dxa"/>
            <w:vAlign w:val="bottom"/>
          </w:tcPr>
          <w:p>
            <w:pPr>
              <w:spacing w:after="0"/>
              <w:rPr>
                <w:sz w:val="1"/>
                <w:szCs w:val="1"/>
                <w:color w:val="auto"/>
              </w:rPr>
            </w:pPr>
          </w:p>
        </w:tc>
      </w:tr>
      <w:tr>
        <w:trPr>
          <w:trHeight w:val="267"/>
        </w:trPr>
        <w:tc>
          <w:tcPr>
            <w:tcW w:w="8420" w:type="dxa"/>
            <w:vAlign w:val="bottom"/>
          </w:tcPr>
          <w:p>
            <w:pPr>
              <w:spacing w:after="0"/>
              <w:rPr>
                <w:sz w:val="20"/>
                <w:szCs w:val="20"/>
                <w:color w:val="auto"/>
              </w:rPr>
            </w:pPr>
            <w:r>
              <w:rPr>
                <w:rFonts w:ascii="Arial" w:cs="Arial" w:eastAsia="Arial" w:hAnsi="Arial"/>
                <w:sz w:val="22"/>
                <w:szCs w:val="22"/>
                <w:color w:val="auto"/>
              </w:rPr>
              <w:t>Net cash provided by (used in) financing activities</w:t>
            </w:r>
          </w:p>
        </w:tc>
        <w:tc>
          <w:tcPr>
            <w:tcW w:w="12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22"/>
                <w:szCs w:val="22"/>
                <w:color w:val="auto"/>
              </w:rPr>
              <w:t>(1,159)</w:t>
            </w:r>
          </w:p>
        </w:tc>
        <w:tc>
          <w:tcPr>
            <w:tcW w:w="1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530"/>
        </w:trPr>
        <w:tc>
          <w:tcPr>
            <w:tcW w:w="8420" w:type="dxa"/>
            <w:vAlign w:val="bottom"/>
          </w:tcPr>
          <w:p>
            <w:pPr>
              <w:spacing w:after="0"/>
              <w:rPr>
                <w:sz w:val="20"/>
                <w:szCs w:val="20"/>
                <w:color w:val="auto"/>
              </w:rPr>
            </w:pPr>
            <w:r>
              <w:rPr>
                <w:rFonts w:ascii="Arial" w:cs="Arial" w:eastAsia="Arial" w:hAnsi="Arial"/>
                <w:sz w:val="22"/>
                <w:szCs w:val="22"/>
                <w:color w:val="auto"/>
              </w:rPr>
              <w:t>Effect of foreign exchange rate fluctuations on cash and cash equivalents</w:t>
            </w:r>
          </w:p>
        </w:tc>
        <w:tc>
          <w:tcPr>
            <w:tcW w:w="12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color w:val="auto"/>
              </w:rPr>
              <w:t>162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(205)</w:t>
            </w:r>
          </w:p>
        </w:tc>
        <w:tc>
          <w:tcPr>
            <w:tcW w:w="0" w:type="dxa"/>
            <w:vAlign w:val="bottom"/>
          </w:tcPr>
          <w:p>
            <w:pPr>
              <w:spacing w:after="0"/>
              <w:rPr>
                <w:sz w:val="1"/>
                <w:szCs w:val="1"/>
                <w:color w:val="auto"/>
              </w:rPr>
            </w:pPr>
          </w:p>
        </w:tc>
      </w:tr>
    </w:tbl>
    <w:p>
      <w:pPr>
        <w:sectPr>
          <w:pgSz w:w="11900" w:h="16928" w:orient="portrait"/>
          <w:cols w:equalWidth="0" w:num="1">
            <w:col w:w="11220"/>
          </w:cols>
          <w:pgMar w:left="340" w:top="382"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420" w:type="dxa"/>
            <w:vAlign w:val="bottom"/>
          </w:tcPr>
          <w:p>
            <w:pPr>
              <w:spacing w:after="0"/>
              <w:rPr>
                <w:sz w:val="20"/>
                <w:szCs w:val="20"/>
                <w:color w:val="auto"/>
              </w:rPr>
            </w:pPr>
            <w:r>
              <w:rPr>
                <w:rFonts w:ascii="Arial" w:cs="Arial" w:eastAsia="Arial" w:hAnsi="Arial"/>
                <w:sz w:val="22"/>
                <w:szCs w:val="22"/>
                <w:color w:val="auto"/>
              </w:rPr>
              <w:t>Net increase (decrease) in cash, cash equivalents and restricted cash</w:t>
            </w:r>
          </w:p>
        </w:tc>
        <w:tc>
          <w:tcPr>
            <w:tcW w:w="2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22"/>
                <w:szCs w:val="22"/>
                <w:color w:val="auto"/>
              </w:rPr>
              <w:t>(37,657)</w:t>
            </w: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jc w:val="right"/>
              <w:ind w:right="112"/>
              <w:spacing w:after="0"/>
              <w:rPr>
                <w:sz w:val="20"/>
                <w:szCs w:val="20"/>
                <w:color w:val="auto"/>
              </w:rPr>
            </w:pPr>
            <w:r>
              <w:rPr>
                <w:rFonts w:ascii="Arial" w:cs="Arial" w:eastAsia="Arial" w:hAnsi="Arial"/>
                <w:sz w:val="22"/>
                <w:szCs w:val="22"/>
                <w:color w:val="auto"/>
              </w:rPr>
              <w:t>20,304</w:t>
            </w:r>
          </w:p>
        </w:tc>
        <w:tc>
          <w:tcPr>
            <w:tcW w:w="0" w:type="dxa"/>
            <w:vAlign w:val="bottom"/>
          </w:tcPr>
          <w:p>
            <w:pPr>
              <w:spacing w:after="0"/>
              <w:rPr>
                <w:sz w:val="1"/>
                <w:szCs w:val="1"/>
                <w:color w:val="auto"/>
              </w:rPr>
            </w:pPr>
          </w:p>
        </w:tc>
      </w:tr>
      <w:tr>
        <w:trPr>
          <w:trHeight w:val="274"/>
        </w:trPr>
        <w:tc>
          <w:tcPr>
            <w:tcW w:w="8420" w:type="dxa"/>
            <w:vAlign w:val="bottom"/>
          </w:tcPr>
          <w:p>
            <w:pPr>
              <w:spacing w:after="0"/>
              <w:rPr>
                <w:sz w:val="20"/>
                <w:szCs w:val="20"/>
                <w:color w:val="auto"/>
              </w:rPr>
            </w:pPr>
            <w:r>
              <w:rPr>
                <w:rFonts w:ascii="Arial" w:cs="Arial" w:eastAsia="Arial" w:hAnsi="Arial"/>
                <w:sz w:val="22"/>
                <w:szCs w:val="22"/>
                <w:color w:val="auto"/>
              </w:rPr>
              <w:t>Cash, cash equivalents and restricted cash at beginning of period</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69,536</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23,736</w:t>
            </w:r>
          </w:p>
        </w:tc>
        <w:tc>
          <w:tcPr>
            <w:tcW w:w="0" w:type="dxa"/>
            <w:vAlign w:val="bottom"/>
          </w:tcPr>
          <w:p>
            <w:pPr>
              <w:spacing w:after="0"/>
              <w:rPr>
                <w:sz w:val="1"/>
                <w:szCs w:val="1"/>
                <w:color w:val="auto"/>
              </w:rPr>
            </w:pPr>
          </w:p>
        </w:tc>
      </w:tr>
      <w:tr>
        <w:trPr>
          <w:trHeight w:val="267"/>
        </w:trPr>
        <w:tc>
          <w:tcPr>
            <w:tcW w:w="8420" w:type="dxa"/>
            <w:vAlign w:val="bottom"/>
          </w:tcPr>
          <w:p>
            <w:pPr>
              <w:spacing w:after="0"/>
              <w:rPr>
                <w:sz w:val="20"/>
                <w:szCs w:val="20"/>
                <w:color w:val="auto"/>
              </w:rPr>
            </w:pPr>
            <w:r>
              <w:rPr>
                <w:rFonts w:ascii="Arial" w:cs="Arial" w:eastAsia="Arial" w:hAnsi="Arial"/>
                <w:sz w:val="22"/>
                <w:szCs w:val="22"/>
                <w:color w:val="auto"/>
              </w:rPr>
              <w:t>Cash, cash equivalents and restricted cash at end of period</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31,879</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44,040</w:t>
            </w:r>
          </w:p>
        </w:tc>
        <w:tc>
          <w:tcPr>
            <w:tcW w:w="0" w:type="dxa"/>
            <w:vAlign w:val="bottom"/>
          </w:tcPr>
          <w:p>
            <w:pPr>
              <w:spacing w:after="0"/>
              <w:rPr>
                <w:sz w:val="1"/>
                <w:szCs w:val="1"/>
                <w:color w:val="auto"/>
              </w:rPr>
            </w:pPr>
          </w:p>
        </w:tc>
      </w:tr>
      <w:tr>
        <w:trPr>
          <w:trHeight w:val="21"/>
        </w:trPr>
        <w:tc>
          <w:tcPr>
            <w:tcW w:w="8420" w:type="dxa"/>
            <w:vAlign w:val="bottom"/>
            <w:vMerge w:val="restart"/>
          </w:tcPr>
          <w:p>
            <w:pPr>
              <w:spacing w:after="0"/>
              <w:rPr>
                <w:sz w:val="20"/>
                <w:szCs w:val="20"/>
                <w:color w:val="auto"/>
              </w:rPr>
            </w:pPr>
            <w:r>
              <w:rPr>
                <w:rFonts w:ascii="Arial" w:cs="Arial" w:eastAsia="Arial" w:hAnsi="Arial"/>
                <w:sz w:val="22"/>
                <w:szCs w:val="22"/>
                <w:color w:val="auto"/>
              </w:rPr>
              <w:t>Cash and cash equivalents, restricted cash and available for sale securities consist of:</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8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22"/>
                <w:szCs w:val="22"/>
                <w:color w:val="auto"/>
              </w:rPr>
              <w:t>Cash and cash equivalents</w:t>
            </w: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30,863</w:t>
            </w:r>
          </w:p>
        </w:tc>
        <w:tc>
          <w:tcPr>
            <w:tcW w:w="100" w:type="dxa"/>
            <w:vAlign w:val="bottom"/>
          </w:tcPr>
          <w:p>
            <w:pPr>
              <w:spacing w:after="0"/>
              <w:rPr>
                <w:sz w:val="23"/>
                <w:szCs w:val="23"/>
                <w:color w:val="auto"/>
              </w:rPr>
            </w:pPr>
          </w:p>
        </w:tc>
        <w:tc>
          <w:tcPr>
            <w:tcW w:w="340" w:type="dxa"/>
            <w:vAlign w:val="bottom"/>
          </w:tcPr>
          <w:p>
            <w:pPr>
              <w:jc w:val="right"/>
              <w:ind w:right="9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112"/>
              <w:spacing w:after="0"/>
              <w:rPr>
                <w:sz w:val="20"/>
                <w:szCs w:val="20"/>
                <w:color w:val="auto"/>
              </w:rPr>
            </w:pPr>
            <w:r>
              <w:rPr>
                <w:rFonts w:ascii="Arial" w:cs="Arial" w:eastAsia="Arial" w:hAnsi="Arial"/>
                <w:sz w:val="22"/>
                <w:szCs w:val="22"/>
                <w:color w:val="auto"/>
              </w:rPr>
              <w:t>42,965</w:t>
            </w: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22"/>
                <w:szCs w:val="22"/>
                <w:color w:val="auto"/>
              </w:rPr>
              <w:t>Short-term investments</w:t>
            </w:r>
          </w:p>
        </w:tc>
        <w:tc>
          <w:tcPr>
            <w:tcW w:w="280" w:type="dxa"/>
            <w:vAlign w:val="bottom"/>
          </w:tcPr>
          <w:p>
            <w:pPr>
              <w:spacing w:after="0"/>
              <w:rPr>
                <w:sz w:val="23"/>
                <w:szCs w:val="2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22"/>
                <w:szCs w:val="22"/>
                <w:color w:val="auto"/>
              </w:rPr>
              <w:t>2,431</w:t>
            </w:r>
          </w:p>
        </w:tc>
        <w:tc>
          <w:tcPr>
            <w:tcW w:w="0" w:type="dxa"/>
            <w:vAlign w:val="bottom"/>
          </w:tcPr>
          <w:p>
            <w:pPr>
              <w:spacing w:after="0"/>
              <w:rPr>
                <w:sz w:val="1"/>
                <w:szCs w:val="1"/>
                <w:color w:val="auto"/>
              </w:rPr>
            </w:pPr>
          </w:p>
        </w:tc>
      </w:tr>
      <w:tr>
        <w:trPr>
          <w:trHeight w:val="274"/>
        </w:trPr>
        <w:tc>
          <w:tcPr>
            <w:tcW w:w="8420" w:type="dxa"/>
            <w:vAlign w:val="bottom"/>
          </w:tcPr>
          <w:p>
            <w:pPr>
              <w:spacing w:after="0"/>
              <w:rPr>
                <w:sz w:val="20"/>
                <w:szCs w:val="20"/>
                <w:color w:val="auto"/>
              </w:rPr>
            </w:pPr>
            <w:r>
              <w:rPr>
                <w:rFonts w:ascii="Arial" w:cs="Arial" w:eastAsia="Arial" w:hAnsi="Arial"/>
                <w:sz w:val="22"/>
                <w:szCs w:val="22"/>
                <w:color w:val="auto"/>
                <w:w w:val="93"/>
              </w:rPr>
              <w:t>Restricted cash (included in prepaid and other current assets, and other non-current assets)</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1,016</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1,075</w:t>
            </w:r>
          </w:p>
        </w:tc>
        <w:tc>
          <w:tcPr>
            <w:tcW w:w="0" w:type="dxa"/>
            <w:vAlign w:val="bottom"/>
          </w:tcPr>
          <w:p>
            <w:pPr>
              <w:spacing w:after="0"/>
              <w:rPr>
                <w:sz w:val="1"/>
                <w:szCs w:val="1"/>
                <w:color w:val="auto"/>
              </w:rPr>
            </w:pPr>
          </w:p>
        </w:tc>
      </w:tr>
      <w:tr>
        <w:trPr>
          <w:trHeight w:val="267"/>
        </w:trPr>
        <w:tc>
          <w:tcPr>
            <w:tcW w:w="8420" w:type="dxa"/>
            <w:vAlign w:val="bottom"/>
          </w:tcPr>
          <w:p>
            <w:pPr>
              <w:spacing w:after="0"/>
              <w:rPr>
                <w:sz w:val="20"/>
                <w:szCs w:val="20"/>
                <w:color w:val="auto"/>
              </w:rPr>
            </w:pPr>
            <w:r>
              <w:rPr>
                <w:rFonts w:ascii="Arial" w:cs="Arial" w:eastAsia="Arial" w:hAnsi="Arial"/>
                <w:sz w:val="22"/>
                <w:szCs w:val="22"/>
                <w:color w:val="auto"/>
              </w:rPr>
              <w:t>Total cash and cash equivalents, available for sale securities and restricted cash</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31,879</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46,471</w:t>
            </w:r>
          </w:p>
        </w:tc>
        <w:tc>
          <w:tcPr>
            <w:tcW w:w="0" w:type="dxa"/>
            <w:vAlign w:val="bottom"/>
          </w:tcPr>
          <w:p>
            <w:pPr>
              <w:spacing w:after="0"/>
              <w:rPr>
                <w:sz w:val="1"/>
                <w:szCs w:val="1"/>
                <w:color w:val="auto"/>
              </w:rPr>
            </w:pPr>
          </w:p>
        </w:tc>
      </w:tr>
      <w:tr>
        <w:trPr>
          <w:trHeight w:val="21"/>
        </w:trPr>
        <w:tc>
          <w:tcPr>
            <w:tcW w:w="8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RECONCILIATION OF GAAP TO NON-GAAP FINANCIAL INFORMATION</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NET LOSS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20" w:type="dxa"/>
            <w:vAlign w:val="bottom"/>
          </w:tcPr>
          <w:p>
            <w:pPr>
              <w:spacing w:after="0"/>
              <w:rPr>
                <w:sz w:val="24"/>
                <w:szCs w:val="24"/>
                <w:color w:val="auto"/>
              </w:rPr>
            </w:pPr>
          </w:p>
        </w:tc>
        <w:tc>
          <w:tcPr>
            <w:tcW w:w="3100" w:type="dxa"/>
            <w:vAlign w:val="bottom"/>
            <w:gridSpan w:val="6"/>
          </w:tcPr>
          <w:p>
            <w:pPr>
              <w:ind w:left="100"/>
              <w:spacing w:after="0"/>
              <w:rPr>
                <w:sz w:val="20"/>
                <w:szCs w:val="20"/>
                <w:color w:val="auto"/>
              </w:rPr>
            </w:pPr>
            <w:r>
              <w:rPr>
                <w:rFonts w:ascii="Arial" w:cs="Arial" w:eastAsia="Arial" w:hAnsi="Arial"/>
                <w:sz w:val="22"/>
                <w:szCs w:val="22"/>
                <w:b w:val="1"/>
                <w:bCs w:val="1"/>
                <w:color w:val="auto"/>
                <w:w w:val="95"/>
              </w:rPr>
              <w:t>Three Months Ended June 30,</w:t>
            </w:r>
          </w:p>
        </w:tc>
        <w:tc>
          <w:tcPr>
            <w:tcW w:w="180" w:type="dxa"/>
            <w:vAlign w:val="bottom"/>
          </w:tcPr>
          <w:p>
            <w:pPr>
              <w:spacing w:after="0"/>
              <w:rPr>
                <w:sz w:val="24"/>
                <w:szCs w:val="24"/>
                <w:color w:val="auto"/>
              </w:rPr>
            </w:pPr>
          </w:p>
        </w:tc>
        <w:tc>
          <w:tcPr>
            <w:tcW w:w="2820" w:type="dxa"/>
            <w:vAlign w:val="bottom"/>
            <w:gridSpan w:val="4"/>
          </w:tcPr>
          <w:p>
            <w:pPr>
              <w:jc w:val="right"/>
              <w:ind w:right="132"/>
              <w:spacing w:after="0"/>
              <w:rPr>
                <w:sz w:val="20"/>
                <w:szCs w:val="20"/>
                <w:color w:val="auto"/>
              </w:rPr>
            </w:pPr>
            <w:r>
              <w:rPr>
                <w:rFonts w:ascii="Arial" w:cs="Arial" w:eastAsia="Arial" w:hAnsi="Arial"/>
                <w:sz w:val="22"/>
                <w:szCs w:val="22"/>
                <w:b w:val="1"/>
                <w:bCs w:val="1"/>
                <w:color w:val="auto"/>
                <w:w w:val="89"/>
              </w:rPr>
              <w:t>Six Months Ended June 30,</w:t>
            </w:r>
          </w:p>
        </w:tc>
        <w:tc>
          <w:tcPr>
            <w:tcW w:w="0" w:type="dxa"/>
            <w:vAlign w:val="bottom"/>
          </w:tcPr>
          <w:p>
            <w:pPr>
              <w:spacing w:after="0"/>
              <w:rPr>
                <w:sz w:val="1"/>
                <w:szCs w:val="1"/>
                <w:color w:val="auto"/>
              </w:rPr>
            </w:pPr>
          </w:p>
        </w:tc>
      </w:tr>
      <w:tr>
        <w:trPr>
          <w:trHeight w:val="265"/>
        </w:trPr>
        <w:tc>
          <w:tcPr>
            <w:tcW w:w="512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2021</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2020</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2021</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2020</w:t>
            </w:r>
          </w:p>
        </w:tc>
        <w:tc>
          <w:tcPr>
            <w:tcW w:w="0" w:type="dxa"/>
            <w:vAlign w:val="bottom"/>
          </w:tcPr>
          <w:p>
            <w:pPr>
              <w:spacing w:after="0"/>
              <w:rPr>
                <w:sz w:val="1"/>
                <w:szCs w:val="1"/>
                <w:color w:val="auto"/>
              </w:rPr>
            </w:pPr>
          </w:p>
        </w:tc>
      </w:tr>
      <w:tr>
        <w:trPr>
          <w:trHeight w:val="526"/>
        </w:trPr>
        <w:tc>
          <w:tcPr>
            <w:tcW w:w="5120" w:type="dxa"/>
            <w:vAlign w:val="bottom"/>
          </w:tcPr>
          <w:p>
            <w:pPr>
              <w:spacing w:after="0"/>
              <w:rPr>
                <w:sz w:val="20"/>
                <w:szCs w:val="20"/>
                <w:color w:val="auto"/>
              </w:rPr>
            </w:pPr>
            <w:r>
              <w:rPr>
                <w:rFonts w:ascii="Arial" w:cs="Arial" w:eastAsia="Arial" w:hAnsi="Arial"/>
                <w:sz w:val="22"/>
                <w:szCs w:val="22"/>
                <w:color w:val="auto"/>
              </w:rPr>
              <w:t>Net loss (GAAP)</w:t>
            </w: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32"/>
              <w:spacing w:after="0"/>
              <w:rPr>
                <w:sz w:val="20"/>
                <w:szCs w:val="20"/>
                <w:color w:val="auto"/>
              </w:rPr>
            </w:pPr>
            <w:r>
              <w:rPr>
                <w:rFonts w:ascii="Arial" w:cs="Arial" w:eastAsia="Arial" w:hAnsi="Arial"/>
                <w:sz w:val="22"/>
                <w:szCs w:val="22"/>
                <w:color w:val="auto"/>
              </w:rPr>
              <w:t>(17,143)</w:t>
            </w:r>
          </w:p>
        </w:tc>
        <w:tc>
          <w:tcPr>
            <w:tcW w:w="1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52"/>
              <w:spacing w:after="0"/>
              <w:rPr>
                <w:sz w:val="20"/>
                <w:szCs w:val="20"/>
                <w:color w:val="auto"/>
              </w:rPr>
            </w:pPr>
            <w:r>
              <w:rPr>
                <w:rFonts w:ascii="Arial" w:cs="Arial" w:eastAsia="Arial" w:hAnsi="Arial"/>
                <w:sz w:val="22"/>
                <w:szCs w:val="22"/>
                <w:color w:val="auto"/>
              </w:rPr>
              <w:t>(13,015)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ind w:right="132"/>
              <w:spacing w:after="0"/>
              <w:rPr>
                <w:sz w:val="20"/>
                <w:szCs w:val="20"/>
                <w:color w:val="auto"/>
              </w:rPr>
            </w:pPr>
            <w:r>
              <w:rPr>
                <w:rFonts w:ascii="Arial" w:cs="Arial" w:eastAsia="Arial" w:hAnsi="Arial"/>
                <w:sz w:val="22"/>
                <w:szCs w:val="22"/>
                <w:color w:val="auto"/>
              </w:rPr>
              <w:t>(35,964)</w:t>
            </w:r>
          </w:p>
        </w:tc>
        <w:tc>
          <w:tcPr>
            <w:tcW w:w="1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52"/>
              <w:spacing w:after="0"/>
              <w:rPr>
                <w:sz w:val="20"/>
                <w:szCs w:val="20"/>
                <w:color w:val="auto"/>
              </w:rPr>
            </w:pPr>
            <w:r>
              <w:rPr>
                <w:rFonts w:ascii="Arial" w:cs="Arial" w:eastAsia="Arial" w:hAnsi="Arial"/>
                <w:sz w:val="22"/>
                <w:szCs w:val="22"/>
                <w:color w:val="auto"/>
              </w:rPr>
              <w:t>(28,995)</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3,741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3,634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7,418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6,000</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2,982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2,968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5,965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5,936</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917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924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1,851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2,016</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22"/>
                <w:szCs w:val="22"/>
                <w:color w:val="auto"/>
              </w:rPr>
              <w:t>Interest expense (b)</w:t>
            </w: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896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897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1,783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1,797</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148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148</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280" w:type="dxa"/>
            <w:vAlign w:val="bottom"/>
          </w:tcPr>
          <w:p>
            <w:pPr>
              <w:spacing w:after="0"/>
              <w:rPr>
                <w:sz w:val="23"/>
                <w:szCs w:val="23"/>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5120" w:type="dxa"/>
            <w:vAlign w:val="bottom"/>
          </w:tcPr>
          <w:p>
            <w:pPr>
              <w:spacing w:after="0"/>
              <w:rPr>
                <w:sz w:val="20"/>
                <w:szCs w:val="20"/>
                <w:color w:val="auto"/>
              </w:rPr>
            </w:pPr>
            <w:r>
              <w:rPr>
                <w:rFonts w:ascii="Arial" w:cs="Arial" w:eastAsia="Arial" w:hAnsi="Arial"/>
                <w:sz w:val="22"/>
                <w:szCs w:val="22"/>
                <w:color w:val="auto"/>
              </w:rPr>
              <w:t>Benefit from acquisition related income taxes (c)</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(742)</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(742)</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(1,484)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(1,484)</w:t>
            </w:r>
          </w:p>
        </w:tc>
        <w:tc>
          <w:tcPr>
            <w:tcW w:w="0" w:type="dxa"/>
            <w:vAlign w:val="bottom"/>
          </w:tcPr>
          <w:p>
            <w:pPr>
              <w:spacing w:after="0"/>
              <w:rPr>
                <w:sz w:val="1"/>
                <w:szCs w:val="1"/>
                <w:color w:val="auto"/>
              </w:rPr>
            </w:pPr>
          </w:p>
        </w:tc>
      </w:tr>
      <w:tr>
        <w:trPr>
          <w:trHeight w:val="267"/>
        </w:trPr>
        <w:tc>
          <w:tcPr>
            <w:tcW w:w="5120" w:type="dxa"/>
            <w:vAlign w:val="bottom"/>
          </w:tcPr>
          <w:p>
            <w:pPr>
              <w:spacing w:after="0"/>
              <w:rPr>
                <w:sz w:val="20"/>
                <w:szCs w:val="20"/>
                <w:color w:val="auto"/>
              </w:rPr>
            </w:pPr>
            <w:r>
              <w:rPr>
                <w:rFonts w:ascii="Arial" w:cs="Arial" w:eastAsia="Arial" w:hAnsi="Arial"/>
                <w:sz w:val="22"/>
                <w:szCs w:val="22"/>
                <w:color w:val="auto"/>
              </w:rPr>
              <w:t>Net loss (Non-GAAP)</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(9,348)</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(5,186)</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(20,421)</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(14,582)</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22"/>
                <w:szCs w:val="22"/>
                <w:color w:val="auto"/>
              </w:rPr>
              <w:t>Shares used in net loss per share calculation -</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51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vMerge w:val="restart"/>
          </w:tcPr>
          <w:p>
            <w:pPr>
              <w:jc w:val="right"/>
              <w:ind w:right="212"/>
              <w:spacing w:after="0"/>
              <w:rPr>
                <w:sz w:val="20"/>
                <w:szCs w:val="20"/>
                <w:color w:val="auto"/>
              </w:rPr>
            </w:pPr>
            <w:r>
              <w:rPr>
                <w:rFonts w:ascii="Arial" w:cs="Arial" w:eastAsia="Arial" w:hAnsi="Arial"/>
                <w:sz w:val="22"/>
                <w:szCs w:val="22"/>
                <w:color w:val="auto"/>
              </w:rPr>
              <w:t>75,452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vMerge w:val="restart"/>
          </w:tcPr>
          <w:p>
            <w:pPr>
              <w:jc w:val="right"/>
              <w:ind w:right="212"/>
              <w:spacing w:after="0"/>
              <w:rPr>
                <w:sz w:val="20"/>
                <w:szCs w:val="20"/>
                <w:color w:val="auto"/>
              </w:rPr>
            </w:pPr>
            <w:r>
              <w:rPr>
                <w:rFonts w:ascii="Arial" w:cs="Arial" w:eastAsia="Arial" w:hAnsi="Arial"/>
                <w:sz w:val="22"/>
                <w:szCs w:val="22"/>
                <w:color w:val="auto"/>
              </w:rPr>
              <w:t>70,916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vMerge w:val="restart"/>
          </w:tcPr>
          <w:p>
            <w:pPr>
              <w:jc w:val="right"/>
              <w:ind w:right="212"/>
              <w:spacing w:after="0"/>
              <w:rPr>
                <w:sz w:val="20"/>
                <w:szCs w:val="20"/>
                <w:color w:val="auto"/>
              </w:rPr>
            </w:pPr>
            <w:r>
              <w:rPr>
                <w:rFonts w:ascii="Arial" w:cs="Arial" w:eastAsia="Arial" w:hAnsi="Arial"/>
                <w:sz w:val="22"/>
                <w:szCs w:val="22"/>
                <w:color w:val="auto"/>
              </w:rPr>
              <w:t>75,084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vMerge w:val="restart"/>
          </w:tcPr>
          <w:p>
            <w:pPr>
              <w:jc w:val="right"/>
              <w:ind w:right="212"/>
              <w:spacing w:after="0"/>
              <w:rPr>
                <w:sz w:val="20"/>
                <w:szCs w:val="20"/>
                <w:color w:val="auto"/>
              </w:rPr>
            </w:pPr>
            <w:r>
              <w:rPr>
                <w:rFonts w:ascii="Arial" w:cs="Arial" w:eastAsia="Arial" w:hAnsi="Arial"/>
                <w:sz w:val="22"/>
                <w:szCs w:val="22"/>
                <w:color w:val="auto"/>
              </w:rPr>
              <w:t>70,691</w:t>
            </w:r>
          </w:p>
        </w:tc>
        <w:tc>
          <w:tcPr>
            <w:tcW w:w="0" w:type="dxa"/>
            <w:vAlign w:val="bottom"/>
          </w:tcPr>
          <w:p>
            <w:pPr>
              <w:spacing w:after="0"/>
              <w:rPr>
                <w:sz w:val="1"/>
                <w:szCs w:val="1"/>
                <w:color w:val="auto"/>
              </w:rPr>
            </w:pPr>
          </w:p>
        </w:tc>
      </w:tr>
      <w:tr>
        <w:trPr>
          <w:trHeight w:val="287"/>
        </w:trPr>
        <w:tc>
          <w:tcPr>
            <w:tcW w:w="5120" w:type="dxa"/>
            <w:vAlign w:val="bottom"/>
          </w:tcPr>
          <w:p>
            <w:pPr>
              <w:ind w:left="200"/>
              <w:spacing w:after="0"/>
              <w:rPr>
                <w:sz w:val="20"/>
                <w:szCs w:val="20"/>
                <w:color w:val="auto"/>
              </w:rPr>
            </w:pPr>
            <w:r>
              <w:rPr>
                <w:rFonts w:ascii="Arial" w:cs="Arial" w:eastAsia="Arial" w:hAnsi="Arial"/>
                <w:sz w:val="22"/>
                <w:szCs w:val="22"/>
                <w:color w:val="auto"/>
              </w:rPr>
              <w:t>basic and diluted (GAAP and Non-GAAP)</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5120" w:type="dxa"/>
            <w:vAlign w:val="bottom"/>
          </w:tcPr>
          <w:p>
            <w:pPr>
              <w:spacing w:after="0"/>
              <w:rPr>
                <w:sz w:val="20"/>
                <w:szCs w:val="20"/>
                <w:color w:val="auto"/>
              </w:rPr>
            </w:pPr>
            <w:r>
              <w:rPr>
                <w:rFonts w:ascii="Arial" w:cs="Arial" w:eastAsia="Arial" w:hAnsi="Arial"/>
                <w:sz w:val="22"/>
                <w:szCs w:val="22"/>
                <w:color w:val="auto"/>
              </w:rPr>
              <w:t>Net loss per share - basic and diluted (GAAP)</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(0.23)</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(0.18)</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(0.48)</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(0.41)</w:t>
            </w:r>
          </w:p>
        </w:tc>
        <w:tc>
          <w:tcPr>
            <w:tcW w:w="0" w:type="dxa"/>
            <w:vAlign w:val="bottom"/>
          </w:tcPr>
          <w:p>
            <w:pPr>
              <w:spacing w:after="0"/>
              <w:rPr>
                <w:sz w:val="1"/>
                <w:szCs w:val="1"/>
                <w:color w:val="auto"/>
              </w:rPr>
            </w:pPr>
          </w:p>
        </w:tc>
      </w:tr>
      <w:tr>
        <w:trPr>
          <w:trHeight w:val="21"/>
        </w:trPr>
        <w:tc>
          <w:tcPr>
            <w:tcW w:w="5120" w:type="dxa"/>
            <w:vAlign w:val="bottom"/>
            <w:vMerge w:val="restart"/>
          </w:tcPr>
          <w:p>
            <w:pPr>
              <w:spacing w:after="0"/>
              <w:rPr>
                <w:sz w:val="20"/>
                <w:szCs w:val="20"/>
                <w:color w:val="auto"/>
              </w:rPr>
            </w:pPr>
            <w:r>
              <w:rPr>
                <w:rFonts w:ascii="Arial" w:cs="Arial" w:eastAsia="Arial" w:hAnsi="Arial"/>
                <w:sz w:val="22"/>
                <w:szCs w:val="22"/>
                <w:color w:val="auto"/>
              </w:rPr>
              <w:t>Net loss per share - basic and diluted (Non-GAAP)</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120" w:type="dxa"/>
            <w:vAlign w:val="bottom"/>
            <w:vMerge w:val="continue"/>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(0.12)</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(0.07)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(0.27)</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(0.21)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PRODUCT AND SERVICE MARGIN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20" w:type="dxa"/>
            <w:vAlign w:val="bottom"/>
          </w:tcPr>
          <w:p>
            <w:pPr>
              <w:spacing w:after="0"/>
              <w:rPr>
                <w:sz w:val="24"/>
                <w:szCs w:val="24"/>
                <w:color w:val="auto"/>
              </w:rPr>
            </w:pPr>
          </w:p>
        </w:tc>
        <w:tc>
          <w:tcPr>
            <w:tcW w:w="3100" w:type="dxa"/>
            <w:vAlign w:val="bottom"/>
            <w:gridSpan w:val="8"/>
          </w:tcPr>
          <w:p>
            <w:pPr>
              <w:ind w:left="100"/>
              <w:spacing w:after="0"/>
              <w:rPr>
                <w:sz w:val="20"/>
                <w:szCs w:val="20"/>
                <w:color w:val="auto"/>
              </w:rPr>
            </w:pPr>
            <w:r>
              <w:rPr>
                <w:rFonts w:ascii="Arial" w:cs="Arial" w:eastAsia="Arial" w:hAnsi="Arial"/>
                <w:sz w:val="22"/>
                <w:szCs w:val="22"/>
                <w:b w:val="1"/>
                <w:bCs w:val="1"/>
                <w:color w:val="auto"/>
                <w:w w:val="95"/>
              </w:rPr>
              <w:t>Three Months Ended June 30,</w:t>
            </w:r>
          </w:p>
        </w:tc>
        <w:tc>
          <w:tcPr>
            <w:tcW w:w="180" w:type="dxa"/>
            <w:vAlign w:val="bottom"/>
          </w:tcPr>
          <w:p>
            <w:pPr>
              <w:spacing w:after="0"/>
              <w:rPr>
                <w:sz w:val="24"/>
                <w:szCs w:val="24"/>
                <w:color w:val="auto"/>
              </w:rPr>
            </w:pPr>
          </w:p>
        </w:tc>
        <w:tc>
          <w:tcPr>
            <w:tcW w:w="2600" w:type="dxa"/>
            <w:vAlign w:val="bottom"/>
            <w:gridSpan w:val="5"/>
          </w:tcPr>
          <w:p>
            <w:pPr>
              <w:jc w:val="right"/>
              <w:spacing w:after="0"/>
              <w:rPr>
                <w:sz w:val="20"/>
                <w:szCs w:val="20"/>
                <w:color w:val="auto"/>
              </w:rPr>
            </w:pPr>
            <w:r>
              <w:rPr>
                <w:rFonts w:ascii="Arial" w:cs="Arial" w:eastAsia="Arial" w:hAnsi="Arial"/>
                <w:sz w:val="22"/>
                <w:szCs w:val="22"/>
                <w:b w:val="1"/>
                <w:bCs w:val="1"/>
                <w:color w:val="auto"/>
                <w:w w:val="89"/>
              </w:rPr>
              <w:t>Six Months Ended June 30,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120" w:type="dxa"/>
            <w:vAlign w:val="bottom"/>
            <w:vMerge w:val="restart"/>
          </w:tcPr>
          <w:p>
            <w:pPr>
              <w:spacing w:after="0"/>
              <w:rPr>
                <w:sz w:val="20"/>
                <w:szCs w:val="20"/>
                <w:color w:val="auto"/>
              </w:rPr>
            </w:pPr>
            <w:r>
              <w:rPr>
                <w:rFonts w:ascii="Arial" w:cs="Arial" w:eastAsia="Arial" w:hAnsi="Arial"/>
                <w:sz w:val="22"/>
                <w:szCs w:val="22"/>
                <w:color w:val="auto"/>
              </w:rPr>
              <w:t>Product and service gross profit (GAAP)</w:t>
            </w:r>
          </w:p>
        </w:tc>
        <w:tc>
          <w:tcPr>
            <w:tcW w:w="32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22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2020</w:t>
            </w:r>
          </w:p>
        </w:tc>
        <w:tc>
          <w:tcPr>
            <w:tcW w:w="220" w:type="dxa"/>
            <w:vAlign w:val="bottom"/>
            <w:tcBorders>
              <w:top w:val="single" w:sz="8" w:color="auto"/>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22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w w:val="93"/>
              </w:rPr>
              <w:t>2020</w:t>
            </w:r>
          </w:p>
        </w:tc>
        <w:tc>
          <w:tcPr>
            <w:tcW w:w="22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120" w:type="dxa"/>
            <w:vAlign w:val="bottom"/>
            <w:vMerge w:val="continue"/>
          </w:tcPr>
          <w:p>
            <w:pPr>
              <w:spacing w:after="0"/>
              <w:rPr>
                <w:sz w:val="22"/>
                <w:szCs w:val="22"/>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14,657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11,825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31,918</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232"/>
              <w:spacing w:after="0"/>
              <w:rPr>
                <w:sz w:val="20"/>
                <w:szCs w:val="20"/>
                <w:color w:val="auto"/>
              </w:rPr>
            </w:pPr>
            <w:r>
              <w:rPr>
                <w:rFonts w:ascii="Arial" w:cs="Arial" w:eastAsia="Arial" w:hAnsi="Arial"/>
                <w:sz w:val="22"/>
                <w:szCs w:val="22"/>
                <w:color w:val="auto"/>
                <w:w w:val="81"/>
              </w:rPr>
              <w:t>$</w:t>
            </w:r>
          </w:p>
        </w:tc>
        <w:tc>
          <w:tcPr>
            <w:tcW w:w="760" w:type="dxa"/>
            <w:vAlign w:val="bottom"/>
          </w:tcPr>
          <w:p>
            <w:pPr>
              <w:jc w:val="right"/>
              <w:spacing w:after="0"/>
              <w:rPr>
                <w:sz w:val="20"/>
                <w:szCs w:val="20"/>
                <w:color w:val="auto"/>
              </w:rPr>
            </w:pPr>
            <w:r>
              <w:rPr>
                <w:rFonts w:ascii="Arial" w:cs="Arial" w:eastAsia="Arial" w:hAnsi="Arial"/>
                <w:sz w:val="22"/>
                <w:szCs w:val="22"/>
                <w:color w:val="auto"/>
                <w:w w:val="95"/>
              </w:rPr>
              <w:t>24,827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2,800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2,800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5,600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5,600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22"/>
                <w:szCs w:val="22"/>
                <w:color w:val="auto"/>
              </w:rPr>
              <w:t>Depreciation and amortization (d)</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393</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403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813</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796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20" w:type="dxa"/>
            <w:vAlign w:val="bottom"/>
          </w:tcPr>
          <w:p>
            <w:pPr>
              <w:spacing w:after="0"/>
              <w:rPr>
                <w:sz w:val="20"/>
                <w:szCs w:val="20"/>
                <w:color w:val="auto"/>
              </w:rPr>
            </w:pPr>
            <w:r>
              <w:rPr>
                <w:rFonts w:ascii="Arial" w:cs="Arial" w:eastAsia="Arial" w:hAnsi="Arial"/>
                <w:sz w:val="22"/>
                <w:szCs w:val="22"/>
                <w:color w:val="auto"/>
              </w:rPr>
              <w:t>Stock-based compensation expense (d)</w:t>
            </w: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128</w:t>
            </w:r>
          </w:p>
        </w:tc>
        <w:tc>
          <w:tcPr>
            <w:tcW w:w="2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108</w:t>
            </w:r>
          </w:p>
        </w:tc>
        <w:tc>
          <w:tcPr>
            <w:tcW w:w="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226</w:t>
            </w:r>
          </w:p>
        </w:tc>
        <w:tc>
          <w:tcPr>
            <w:tcW w:w="2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179</w:t>
            </w:r>
          </w:p>
        </w:tc>
        <w:tc>
          <w:tcPr>
            <w:tcW w:w="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120" w:type="dxa"/>
            <w:vAlign w:val="bottom"/>
          </w:tcPr>
          <w:p>
            <w:pPr>
              <w:spacing w:after="0"/>
              <w:rPr>
                <w:sz w:val="20"/>
                <w:szCs w:val="20"/>
                <w:color w:val="auto"/>
              </w:rPr>
            </w:pPr>
            <w:r>
              <w:rPr>
                <w:rFonts w:ascii="Arial" w:cs="Arial" w:eastAsia="Arial" w:hAnsi="Arial"/>
                <w:sz w:val="22"/>
                <w:szCs w:val="22"/>
                <w:color w:val="auto"/>
              </w:rPr>
              <w:t>Product and service gross profit (Non-GAAP)</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17,978</w:t>
            </w:r>
          </w:p>
        </w:tc>
        <w:tc>
          <w:tcPr>
            <w:tcW w:w="2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15,136</w:t>
            </w:r>
          </w:p>
        </w:tc>
        <w:tc>
          <w:tcPr>
            <w:tcW w:w="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38,557</w:t>
            </w:r>
          </w:p>
        </w:tc>
        <w:tc>
          <w:tcPr>
            <w:tcW w:w="2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5"/>
              </w:rPr>
              <w:t>31,402</w:t>
            </w:r>
          </w:p>
        </w:tc>
        <w:tc>
          <w:tcPr>
            <w:tcW w:w="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5120" w:type="dxa"/>
            <w:vAlign w:val="bottom"/>
          </w:tcPr>
          <w:p>
            <w:pPr>
              <w:spacing w:after="0"/>
              <w:rPr>
                <w:sz w:val="20"/>
                <w:szCs w:val="20"/>
                <w:color w:val="auto"/>
              </w:rPr>
            </w:pPr>
            <w:r>
              <w:rPr>
                <w:rFonts w:ascii="Arial" w:cs="Arial" w:eastAsia="Arial" w:hAnsi="Arial"/>
                <w:sz w:val="22"/>
                <w:szCs w:val="22"/>
                <w:color w:val="auto"/>
              </w:rPr>
              <w:t>Product and service margin percentage (GAAP)</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50.1</w:t>
            </w:r>
          </w:p>
        </w:tc>
        <w:tc>
          <w:tcPr>
            <w:tcW w:w="220" w:type="dxa"/>
            <w:vAlign w:val="bottom"/>
          </w:tcPr>
          <w:p>
            <w:pPr>
              <w:jc w:val="right"/>
              <w:spacing w:after="0"/>
              <w:rPr>
                <w:sz w:val="20"/>
                <w:szCs w:val="20"/>
                <w:color w:val="auto"/>
              </w:rPr>
            </w:pPr>
            <w:r>
              <w:rPr>
                <w:rFonts w:ascii="Arial" w:cs="Arial" w:eastAsia="Arial" w:hAnsi="Arial"/>
                <w:sz w:val="22"/>
                <w:szCs w:val="22"/>
                <w:color w:val="auto"/>
                <w:w w:val="91"/>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52.5</w:t>
            </w:r>
          </w:p>
        </w:tc>
        <w:tc>
          <w:tcPr>
            <w:tcW w:w="220" w:type="dxa"/>
            <w:vAlign w:val="bottom"/>
          </w:tcPr>
          <w:p>
            <w:pPr>
              <w:jc w:val="right"/>
              <w:spacing w:after="0"/>
              <w:rPr>
                <w:sz w:val="20"/>
                <w:szCs w:val="20"/>
                <w:color w:val="auto"/>
              </w:rPr>
            </w:pPr>
            <w:r>
              <w:rPr>
                <w:rFonts w:ascii="Arial" w:cs="Arial" w:eastAsia="Arial" w:hAnsi="Arial"/>
                <w:sz w:val="22"/>
                <w:szCs w:val="22"/>
                <w:color w:val="auto"/>
                <w:w w:val="91"/>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53.0</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53.1</w:t>
            </w:r>
          </w:p>
        </w:tc>
        <w:tc>
          <w:tcPr>
            <w:tcW w:w="220" w:type="dxa"/>
            <w:vAlign w:val="bottom"/>
          </w:tcPr>
          <w:p>
            <w:pPr>
              <w:jc w:val="right"/>
              <w:spacing w:after="0"/>
              <w:rPr>
                <w:sz w:val="20"/>
                <w:szCs w:val="20"/>
                <w:color w:val="auto"/>
              </w:rPr>
            </w:pPr>
            <w:r>
              <w:rPr>
                <w:rFonts w:ascii="Arial" w:cs="Arial" w:eastAsia="Arial" w:hAnsi="Arial"/>
                <w:sz w:val="22"/>
                <w:szCs w:val="22"/>
                <w:color w:val="auto"/>
                <w:w w:val="91"/>
              </w:rPr>
              <w:t>%</w:t>
            </w:r>
          </w:p>
        </w:tc>
        <w:tc>
          <w:tcPr>
            <w:tcW w:w="0" w:type="dxa"/>
            <w:vAlign w:val="bottom"/>
          </w:tcPr>
          <w:p>
            <w:pPr>
              <w:spacing w:after="0"/>
              <w:rPr>
                <w:sz w:val="1"/>
                <w:szCs w:val="1"/>
                <w:color w:val="auto"/>
              </w:rPr>
            </w:pPr>
          </w:p>
        </w:tc>
      </w:tr>
      <w:tr>
        <w:trPr>
          <w:trHeight w:val="274"/>
        </w:trPr>
        <w:tc>
          <w:tcPr>
            <w:tcW w:w="5120" w:type="dxa"/>
            <w:vAlign w:val="bottom"/>
          </w:tcPr>
          <w:p>
            <w:pPr>
              <w:spacing w:after="0"/>
              <w:rPr>
                <w:sz w:val="20"/>
                <w:szCs w:val="20"/>
                <w:color w:val="auto"/>
              </w:rPr>
            </w:pPr>
            <w:r>
              <w:rPr>
                <w:rFonts w:ascii="Arial" w:cs="Arial" w:eastAsia="Arial" w:hAnsi="Arial"/>
                <w:sz w:val="22"/>
                <w:szCs w:val="22"/>
                <w:color w:val="auto"/>
                <w:w w:val="99"/>
              </w:rPr>
              <w:t>Product and service margin percentage (Non-GAAP)</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61.5</w:t>
            </w:r>
          </w:p>
        </w:tc>
        <w:tc>
          <w:tcPr>
            <w:tcW w:w="220" w:type="dxa"/>
            <w:vAlign w:val="bottom"/>
          </w:tcPr>
          <w:p>
            <w:pPr>
              <w:jc w:val="right"/>
              <w:spacing w:after="0"/>
              <w:rPr>
                <w:sz w:val="20"/>
                <w:szCs w:val="20"/>
                <w:color w:val="auto"/>
              </w:rPr>
            </w:pPr>
            <w:r>
              <w:rPr>
                <w:rFonts w:ascii="Arial" w:cs="Arial" w:eastAsia="Arial" w:hAnsi="Arial"/>
                <w:sz w:val="22"/>
                <w:szCs w:val="22"/>
                <w:color w:val="auto"/>
                <w:w w:val="91"/>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67.1</w:t>
            </w:r>
          </w:p>
        </w:tc>
        <w:tc>
          <w:tcPr>
            <w:tcW w:w="220" w:type="dxa"/>
            <w:vAlign w:val="bottom"/>
          </w:tcPr>
          <w:p>
            <w:pPr>
              <w:jc w:val="right"/>
              <w:spacing w:after="0"/>
              <w:rPr>
                <w:sz w:val="20"/>
                <w:szCs w:val="20"/>
                <w:color w:val="auto"/>
              </w:rPr>
            </w:pPr>
            <w:r>
              <w:rPr>
                <w:rFonts w:ascii="Arial" w:cs="Arial" w:eastAsia="Arial" w:hAnsi="Arial"/>
                <w:sz w:val="22"/>
                <w:szCs w:val="22"/>
                <w:color w:val="auto"/>
                <w:w w:val="91"/>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64.0</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67.2</w:t>
            </w:r>
          </w:p>
        </w:tc>
        <w:tc>
          <w:tcPr>
            <w:tcW w:w="220" w:type="dxa"/>
            <w:vAlign w:val="bottom"/>
          </w:tcPr>
          <w:p>
            <w:pPr>
              <w:jc w:val="right"/>
              <w:spacing w:after="0"/>
              <w:rPr>
                <w:sz w:val="20"/>
                <w:szCs w:val="20"/>
                <w:color w:val="auto"/>
              </w:rPr>
            </w:pPr>
            <w:r>
              <w:rPr>
                <w:rFonts w:ascii="Arial" w:cs="Arial" w:eastAsia="Arial" w:hAnsi="Arial"/>
                <w:sz w:val="22"/>
                <w:szCs w:val="22"/>
                <w:color w:val="auto"/>
                <w:w w:val="91"/>
              </w:rPr>
              <w:t>%</w:t>
            </w:r>
          </w:p>
        </w:tc>
        <w:tc>
          <w:tcPr>
            <w:tcW w:w="0" w:type="dxa"/>
            <w:vAlign w:val="bottom"/>
          </w:tcPr>
          <w:p>
            <w:pPr>
              <w:spacing w:after="0"/>
              <w:rPr>
                <w:sz w:val="1"/>
                <w:szCs w:val="1"/>
                <w:color w:val="auto"/>
              </w:rPr>
            </w:pPr>
          </w:p>
        </w:tc>
      </w:tr>
      <w:tr>
        <w:trPr>
          <w:trHeight w:val="810"/>
        </w:trPr>
        <w:tc>
          <w:tcPr>
            <w:tcW w:w="10240" w:type="dxa"/>
            <w:vAlign w:val="bottom"/>
            <w:gridSpan w:val="14"/>
          </w:tcPr>
          <w:p>
            <w:pPr>
              <w:ind w:left="1020"/>
              <w:spacing w:after="0"/>
              <w:rPr>
                <w:sz w:val="20"/>
                <w:szCs w:val="20"/>
                <w:color w:val="auto"/>
              </w:rPr>
            </w:pPr>
            <w:r>
              <w:rPr>
                <w:rFonts w:ascii="Arial" w:cs="Arial" w:eastAsia="Arial" w:hAnsi="Arial"/>
                <w:sz w:val="22"/>
                <w:szCs w:val="22"/>
                <w:b w:val="1"/>
                <w:bCs w:val="1"/>
                <w:color w:val="auto"/>
                <w:w w:val="99"/>
              </w:rPr>
              <w:t>ITEMIZED RECONCILIATION BETWEEN GAAP AND NON-GAAP OPERATING EXPENSES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5120" w:type="dxa"/>
            <w:vAlign w:val="bottom"/>
          </w:tcPr>
          <w:p>
            <w:pPr>
              <w:spacing w:after="0"/>
              <w:rPr>
                <w:sz w:val="24"/>
                <w:szCs w:val="24"/>
                <w:color w:val="auto"/>
              </w:rPr>
            </w:pPr>
          </w:p>
        </w:tc>
        <w:tc>
          <w:tcPr>
            <w:tcW w:w="3100" w:type="dxa"/>
            <w:vAlign w:val="bottom"/>
            <w:gridSpan w:val="8"/>
          </w:tcPr>
          <w:p>
            <w:pPr>
              <w:ind w:left="100"/>
              <w:spacing w:after="0"/>
              <w:rPr>
                <w:sz w:val="20"/>
                <w:szCs w:val="20"/>
                <w:color w:val="auto"/>
              </w:rPr>
            </w:pPr>
            <w:r>
              <w:rPr>
                <w:rFonts w:ascii="Arial" w:cs="Arial" w:eastAsia="Arial" w:hAnsi="Arial"/>
                <w:sz w:val="22"/>
                <w:szCs w:val="22"/>
                <w:b w:val="1"/>
                <w:bCs w:val="1"/>
                <w:color w:val="auto"/>
                <w:w w:val="95"/>
              </w:rPr>
              <w:t>Three Months Ended June 30,</w:t>
            </w:r>
          </w:p>
        </w:tc>
        <w:tc>
          <w:tcPr>
            <w:tcW w:w="180" w:type="dxa"/>
            <w:vAlign w:val="bottom"/>
          </w:tcPr>
          <w:p>
            <w:pPr>
              <w:spacing w:after="0"/>
              <w:rPr>
                <w:sz w:val="24"/>
                <w:szCs w:val="24"/>
                <w:color w:val="auto"/>
              </w:rPr>
            </w:pPr>
          </w:p>
        </w:tc>
        <w:tc>
          <w:tcPr>
            <w:tcW w:w="2600" w:type="dxa"/>
            <w:vAlign w:val="bottom"/>
            <w:gridSpan w:val="5"/>
          </w:tcPr>
          <w:p>
            <w:pPr>
              <w:jc w:val="right"/>
              <w:spacing w:after="0"/>
              <w:rPr>
                <w:sz w:val="20"/>
                <w:szCs w:val="20"/>
                <w:color w:val="auto"/>
              </w:rPr>
            </w:pPr>
            <w:r>
              <w:rPr>
                <w:rFonts w:ascii="Arial" w:cs="Arial" w:eastAsia="Arial" w:hAnsi="Arial"/>
                <w:sz w:val="22"/>
                <w:szCs w:val="22"/>
                <w:b w:val="1"/>
                <w:bCs w:val="1"/>
                <w:color w:val="auto"/>
                <w:w w:val="89"/>
              </w:rPr>
              <w:t>Six Months Ended June 30,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120" w:type="dxa"/>
            <w:vAlign w:val="bottom"/>
            <w:vMerge w:val="restart"/>
          </w:tcPr>
          <w:p>
            <w:pPr>
              <w:spacing w:after="0"/>
              <w:rPr>
                <w:sz w:val="20"/>
                <w:szCs w:val="20"/>
                <w:color w:val="auto"/>
              </w:rPr>
            </w:pPr>
            <w:r>
              <w:rPr>
                <w:rFonts w:ascii="Arial" w:cs="Arial" w:eastAsia="Arial" w:hAnsi="Arial"/>
                <w:sz w:val="22"/>
                <w:szCs w:val="22"/>
                <w:color w:val="auto"/>
              </w:rPr>
              <w:t>Operating expenses (GAAP)</w:t>
            </w:r>
          </w:p>
        </w:tc>
        <w:tc>
          <w:tcPr>
            <w:tcW w:w="32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22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2020</w:t>
            </w:r>
          </w:p>
        </w:tc>
        <w:tc>
          <w:tcPr>
            <w:tcW w:w="220" w:type="dxa"/>
            <w:vAlign w:val="bottom"/>
            <w:tcBorders>
              <w:top w:val="single" w:sz="8" w:color="auto"/>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22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w w:val="93"/>
              </w:rPr>
              <w:t>2020</w:t>
            </w:r>
          </w:p>
        </w:tc>
        <w:tc>
          <w:tcPr>
            <w:tcW w:w="22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120" w:type="dxa"/>
            <w:vAlign w:val="bottom"/>
            <w:vMerge w:val="continue"/>
          </w:tcPr>
          <w:p>
            <w:pPr>
              <w:spacing w:after="0"/>
              <w:rPr>
                <w:sz w:val="22"/>
                <w:szCs w:val="22"/>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33,689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29,064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72,050</w:t>
            </w:r>
          </w:p>
        </w:tc>
        <w:tc>
          <w:tcPr>
            <w:tcW w:w="800" w:type="dxa"/>
            <w:vAlign w:val="bottom"/>
            <w:gridSpan w:val="3"/>
          </w:tcPr>
          <w:p>
            <w:pPr>
              <w:jc w:val="right"/>
              <w:ind w:right="232"/>
              <w:spacing w:after="0"/>
              <w:rPr>
                <w:sz w:val="20"/>
                <w:szCs w:val="20"/>
                <w:color w:val="auto"/>
              </w:rPr>
            </w:pPr>
            <w:r>
              <w:rPr>
                <w:rFonts w:ascii="Arial" w:cs="Arial" w:eastAsia="Arial" w:hAnsi="Arial"/>
                <w:sz w:val="22"/>
                <w:szCs w:val="22"/>
                <w:color w:val="auto"/>
              </w:rPr>
              <w:t>$</w:t>
            </w:r>
          </w:p>
        </w:tc>
        <w:tc>
          <w:tcPr>
            <w:tcW w:w="760" w:type="dxa"/>
            <w:vAlign w:val="bottom"/>
          </w:tcPr>
          <w:p>
            <w:pPr>
              <w:jc w:val="right"/>
              <w:spacing w:after="0"/>
              <w:rPr>
                <w:sz w:val="20"/>
                <w:szCs w:val="20"/>
                <w:color w:val="auto"/>
              </w:rPr>
            </w:pPr>
            <w:r>
              <w:rPr>
                <w:rFonts w:ascii="Arial" w:cs="Arial" w:eastAsia="Arial" w:hAnsi="Arial"/>
                <w:sz w:val="22"/>
                <w:szCs w:val="22"/>
                <w:color w:val="auto"/>
                <w:w w:val="95"/>
              </w:rPr>
              <w:t>60,458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120" w:type="dxa"/>
            <w:vAlign w:val="bottom"/>
          </w:tcPr>
          <w:p>
            <w:pPr>
              <w:spacing w:after="0"/>
              <w:rPr>
                <w:sz w:val="20"/>
                <w:szCs w:val="20"/>
                <w:color w:val="auto"/>
              </w:rPr>
            </w:pPr>
            <w:r>
              <w:rPr>
                <w:rFonts w:ascii="Arial" w:cs="Arial" w:eastAsia="Arial" w:hAnsi="Arial"/>
                <w:sz w:val="22"/>
                <w:szCs w:val="22"/>
                <w:color w:val="auto"/>
              </w:rPr>
              <w:t>Stock-based compensation expense (e)</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(3,613)</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(3,526)</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(7,192)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(5,821)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33"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12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320" w:type="dxa"/>
            <w:vAlign w:val="bottom"/>
          </w:tcPr>
          <w:p>
            <w:pPr>
              <w:spacing w:after="0"/>
              <w:rPr>
                <w:sz w:val="23"/>
                <w:szCs w:val="23"/>
                <w:color w:val="auto"/>
              </w:rPr>
            </w:pPr>
          </w:p>
        </w:tc>
        <w:tc>
          <w:tcPr>
            <w:tcW w:w="1120" w:type="dxa"/>
            <w:vAlign w:val="bottom"/>
          </w:tcPr>
          <w:p>
            <w:pPr>
              <w:jc w:val="right"/>
              <w:ind w:right="132"/>
              <w:spacing w:after="0"/>
              <w:rPr>
                <w:sz w:val="20"/>
                <w:szCs w:val="20"/>
                <w:color w:val="auto"/>
              </w:rPr>
            </w:pPr>
            <w:r>
              <w:rPr>
                <w:rFonts w:ascii="Arial" w:cs="Arial" w:eastAsia="Arial" w:hAnsi="Arial"/>
                <w:sz w:val="22"/>
                <w:szCs w:val="22"/>
                <w:color w:val="auto"/>
              </w:rPr>
              <w:t>(707)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(689)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32"/>
              <w:spacing w:after="0"/>
              <w:rPr>
                <w:sz w:val="20"/>
                <w:szCs w:val="20"/>
                <w:color w:val="auto"/>
              </w:rPr>
            </w:pPr>
            <w:r>
              <w:rPr>
                <w:rFonts w:ascii="Arial" w:cs="Arial" w:eastAsia="Arial" w:hAnsi="Arial"/>
                <w:sz w:val="22"/>
                <w:szCs w:val="22"/>
                <w:color w:val="auto"/>
              </w:rPr>
              <w:t>(1,404)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(1,556)</w:t>
            </w:r>
          </w:p>
        </w:tc>
      </w:tr>
      <w:tr>
        <w:trPr>
          <w:trHeight w:val="274"/>
        </w:trPr>
        <w:tc>
          <w:tcPr>
            <w:tcW w:w="5120" w:type="dxa"/>
            <w:vAlign w:val="bottom"/>
          </w:tcPr>
          <w:p>
            <w:pPr>
              <w:spacing w:after="0"/>
              <w:rPr>
                <w:sz w:val="20"/>
                <w:szCs w:val="20"/>
                <w:color w:val="auto"/>
              </w:rPr>
            </w:pPr>
            <w:r>
              <w:rPr>
                <w:rFonts w:ascii="Arial" w:cs="Arial" w:eastAsia="Arial" w:hAnsi="Arial"/>
                <w:sz w:val="22"/>
                <w:szCs w:val="22"/>
                <w:color w:val="auto"/>
              </w:rPr>
              <w:t>Loss on disposal of property and equipment (e)</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(148)</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(148)</w:t>
            </w:r>
          </w:p>
        </w:tc>
      </w:tr>
      <w:tr>
        <w:trPr>
          <w:trHeight w:val="267"/>
        </w:trPr>
        <w:tc>
          <w:tcPr>
            <w:tcW w:w="5120" w:type="dxa"/>
            <w:vAlign w:val="bottom"/>
          </w:tcPr>
          <w:p>
            <w:pPr>
              <w:spacing w:after="0"/>
              <w:rPr>
                <w:sz w:val="20"/>
                <w:szCs w:val="20"/>
                <w:color w:val="auto"/>
              </w:rPr>
            </w:pPr>
            <w:r>
              <w:rPr>
                <w:rFonts w:ascii="Arial" w:cs="Arial" w:eastAsia="Arial" w:hAnsi="Arial"/>
                <w:sz w:val="22"/>
                <w:szCs w:val="22"/>
                <w:color w:val="auto"/>
              </w:rPr>
              <w:t>Operating expenses (Non-GAAP)</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29,368</w:t>
            </w:r>
          </w:p>
        </w:tc>
        <w:tc>
          <w:tcPr>
            <w:tcW w:w="120" w:type="dxa"/>
            <w:vAlign w:val="bottom"/>
          </w:tcPr>
          <w:p>
            <w:pPr>
              <w:spacing w:after="0"/>
              <w:rPr>
                <w:sz w:val="23"/>
                <w:szCs w:val="23"/>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24,701</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63,453</w:t>
            </w:r>
          </w:p>
        </w:tc>
        <w:tc>
          <w:tcPr>
            <w:tcW w:w="120" w:type="dxa"/>
            <w:vAlign w:val="bottom"/>
          </w:tcPr>
          <w:p>
            <w:pPr>
              <w:spacing w:after="0"/>
              <w:rPr>
                <w:sz w:val="23"/>
                <w:szCs w:val="23"/>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52,933</w:t>
            </w: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LOSS FROM OPERATIONS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20" w:type="dxa"/>
            <w:vAlign w:val="bottom"/>
          </w:tcPr>
          <w:p>
            <w:pPr>
              <w:spacing w:after="0"/>
              <w:rPr>
                <w:sz w:val="24"/>
                <w:szCs w:val="24"/>
                <w:color w:val="auto"/>
              </w:rPr>
            </w:pPr>
          </w:p>
        </w:tc>
        <w:tc>
          <w:tcPr>
            <w:tcW w:w="3100" w:type="dxa"/>
            <w:vAlign w:val="bottom"/>
            <w:gridSpan w:val="6"/>
          </w:tcPr>
          <w:p>
            <w:pPr>
              <w:ind w:left="100"/>
              <w:spacing w:after="0"/>
              <w:rPr>
                <w:sz w:val="20"/>
                <w:szCs w:val="20"/>
                <w:color w:val="auto"/>
              </w:rPr>
            </w:pPr>
            <w:r>
              <w:rPr>
                <w:rFonts w:ascii="Arial" w:cs="Arial" w:eastAsia="Arial" w:hAnsi="Arial"/>
                <w:sz w:val="22"/>
                <w:szCs w:val="22"/>
                <w:b w:val="1"/>
                <w:bCs w:val="1"/>
                <w:color w:val="auto"/>
                <w:w w:val="95"/>
              </w:rPr>
              <w:t>Three Months Ended June 30,</w:t>
            </w:r>
          </w:p>
        </w:tc>
        <w:tc>
          <w:tcPr>
            <w:tcW w:w="180" w:type="dxa"/>
            <w:vAlign w:val="bottom"/>
          </w:tcPr>
          <w:p>
            <w:pPr>
              <w:spacing w:after="0"/>
              <w:rPr>
                <w:sz w:val="24"/>
                <w:szCs w:val="24"/>
                <w:color w:val="auto"/>
              </w:rPr>
            </w:pPr>
          </w:p>
        </w:tc>
        <w:tc>
          <w:tcPr>
            <w:tcW w:w="2820" w:type="dxa"/>
            <w:vAlign w:val="bottom"/>
            <w:gridSpan w:val="4"/>
          </w:tcPr>
          <w:p>
            <w:pPr>
              <w:jc w:val="right"/>
              <w:ind w:right="132"/>
              <w:spacing w:after="0"/>
              <w:rPr>
                <w:sz w:val="20"/>
                <w:szCs w:val="20"/>
                <w:color w:val="auto"/>
              </w:rPr>
            </w:pPr>
            <w:r>
              <w:rPr>
                <w:rFonts w:ascii="Arial" w:cs="Arial" w:eastAsia="Arial" w:hAnsi="Arial"/>
                <w:sz w:val="22"/>
                <w:szCs w:val="22"/>
                <w:b w:val="1"/>
                <w:bCs w:val="1"/>
                <w:color w:val="auto"/>
                <w:w w:val="89"/>
              </w:rPr>
              <w:t>Six Months Ended June 30,</w:t>
            </w:r>
          </w:p>
        </w:tc>
        <w:tc>
          <w:tcPr>
            <w:tcW w:w="0" w:type="dxa"/>
            <w:vAlign w:val="bottom"/>
          </w:tcPr>
          <w:p>
            <w:pPr>
              <w:spacing w:after="0"/>
              <w:rPr>
                <w:sz w:val="1"/>
                <w:szCs w:val="1"/>
                <w:color w:val="auto"/>
              </w:rPr>
            </w:pPr>
          </w:p>
        </w:tc>
      </w:tr>
      <w:tr>
        <w:trPr>
          <w:trHeight w:val="265"/>
        </w:trPr>
        <w:tc>
          <w:tcPr>
            <w:tcW w:w="5120" w:type="dxa"/>
            <w:vAlign w:val="bottom"/>
            <w:vMerge w:val="restart"/>
          </w:tcPr>
          <w:p>
            <w:pPr>
              <w:spacing w:after="0"/>
              <w:rPr>
                <w:sz w:val="20"/>
                <w:szCs w:val="20"/>
                <w:color w:val="auto"/>
              </w:rPr>
            </w:pPr>
            <w:r>
              <w:rPr>
                <w:rFonts w:ascii="Arial" w:cs="Arial" w:eastAsia="Arial" w:hAnsi="Arial"/>
                <w:sz w:val="22"/>
                <w:szCs w:val="22"/>
                <w:color w:val="auto"/>
              </w:rPr>
              <w:t>Loss from operations (GAAP)</w:t>
            </w:r>
          </w:p>
        </w:tc>
        <w:tc>
          <w:tcPr>
            <w:tcW w:w="28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2021</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2020</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2021</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2020</w:t>
            </w:r>
          </w:p>
        </w:tc>
        <w:tc>
          <w:tcPr>
            <w:tcW w:w="0" w:type="dxa"/>
            <w:vAlign w:val="bottom"/>
          </w:tcPr>
          <w:p>
            <w:pPr>
              <w:spacing w:after="0"/>
              <w:rPr>
                <w:sz w:val="1"/>
                <w:szCs w:val="1"/>
                <w:color w:val="auto"/>
              </w:rPr>
            </w:pPr>
          </w:p>
        </w:tc>
      </w:tr>
      <w:tr>
        <w:trPr>
          <w:trHeight w:val="256"/>
        </w:trPr>
        <w:tc>
          <w:tcPr>
            <w:tcW w:w="5120" w:type="dxa"/>
            <w:vAlign w:val="bottom"/>
            <w:vMerge w:val="continue"/>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32"/>
              <w:spacing w:after="0"/>
              <w:rPr>
                <w:sz w:val="20"/>
                <w:szCs w:val="20"/>
                <w:color w:val="auto"/>
              </w:rPr>
            </w:pPr>
            <w:r>
              <w:rPr>
                <w:rFonts w:ascii="Arial" w:cs="Arial" w:eastAsia="Arial" w:hAnsi="Arial"/>
                <w:sz w:val="22"/>
                <w:szCs w:val="22"/>
                <w:color w:val="auto"/>
              </w:rPr>
              <w:t>(17,268)</w:t>
            </w:r>
          </w:p>
        </w:tc>
        <w:tc>
          <w:tcPr>
            <w:tcW w:w="12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52"/>
              <w:spacing w:after="0"/>
              <w:rPr>
                <w:sz w:val="20"/>
                <w:szCs w:val="20"/>
                <w:color w:val="auto"/>
              </w:rPr>
            </w:pPr>
            <w:r>
              <w:rPr>
                <w:rFonts w:ascii="Arial" w:cs="Arial" w:eastAsia="Arial" w:hAnsi="Arial"/>
                <w:sz w:val="22"/>
                <w:szCs w:val="22"/>
                <w:color w:val="auto"/>
              </w:rPr>
              <w:t>(13,726)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ind w:right="132"/>
              <w:spacing w:after="0"/>
              <w:rPr>
                <w:sz w:val="20"/>
                <w:szCs w:val="20"/>
                <w:color w:val="auto"/>
              </w:rPr>
            </w:pPr>
            <w:r>
              <w:rPr>
                <w:rFonts w:ascii="Arial" w:cs="Arial" w:eastAsia="Arial" w:hAnsi="Arial"/>
                <w:sz w:val="22"/>
                <w:szCs w:val="22"/>
                <w:color w:val="auto"/>
              </w:rPr>
              <w:t>(36,588)</w:t>
            </w:r>
          </w:p>
        </w:tc>
        <w:tc>
          <w:tcPr>
            <w:tcW w:w="12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52"/>
              <w:spacing w:after="0"/>
              <w:rPr>
                <w:sz w:val="20"/>
                <w:szCs w:val="20"/>
                <w:color w:val="auto"/>
              </w:rPr>
            </w:pPr>
            <w:r>
              <w:rPr>
                <w:rFonts w:ascii="Arial" w:cs="Arial" w:eastAsia="Arial" w:hAnsi="Arial"/>
                <w:sz w:val="22"/>
                <w:szCs w:val="22"/>
                <w:color w:val="auto"/>
              </w:rPr>
              <w:t>(28,668)</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3,741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3,634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7,418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6,000</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2,982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2,968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5,965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5,936</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917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924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1,851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12"/>
              <w:spacing w:after="0"/>
              <w:rPr>
                <w:sz w:val="20"/>
                <w:szCs w:val="20"/>
                <w:color w:val="auto"/>
              </w:rPr>
            </w:pPr>
            <w:r>
              <w:rPr>
                <w:rFonts w:ascii="Arial" w:cs="Arial" w:eastAsia="Arial" w:hAnsi="Arial"/>
                <w:sz w:val="22"/>
                <w:szCs w:val="22"/>
                <w:color w:val="auto"/>
              </w:rPr>
              <w:t>2,016</w:t>
            </w:r>
          </w:p>
        </w:tc>
        <w:tc>
          <w:tcPr>
            <w:tcW w:w="0" w:type="dxa"/>
            <w:vAlign w:val="bottom"/>
          </w:tcPr>
          <w:p>
            <w:pPr>
              <w:spacing w:after="0"/>
              <w:rPr>
                <w:sz w:val="1"/>
                <w:szCs w:val="1"/>
                <w:color w:val="auto"/>
              </w:rPr>
            </w:pPr>
          </w:p>
        </w:tc>
      </w:tr>
      <w:tr>
        <w:trPr>
          <w:trHeight w:val="274"/>
        </w:trPr>
        <w:tc>
          <w:tcPr>
            <w:tcW w:w="5120" w:type="dxa"/>
            <w:vAlign w:val="bottom"/>
          </w:tcPr>
          <w:p>
            <w:pPr>
              <w:spacing w:after="0"/>
              <w:rPr>
                <w:sz w:val="20"/>
                <w:szCs w:val="20"/>
                <w:color w:val="auto"/>
              </w:rPr>
            </w:pPr>
            <w:r>
              <w:rPr>
                <w:rFonts w:ascii="Arial" w:cs="Arial" w:eastAsia="Arial" w:hAnsi="Arial"/>
                <w:sz w:val="22"/>
                <w:szCs w:val="22"/>
                <w:color w:val="auto"/>
              </w:rPr>
              <w:t>Loss on disposal of property and equipment (e)</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148</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148</w:t>
            </w:r>
          </w:p>
        </w:tc>
        <w:tc>
          <w:tcPr>
            <w:tcW w:w="0" w:type="dxa"/>
            <w:vAlign w:val="bottom"/>
          </w:tcPr>
          <w:p>
            <w:pPr>
              <w:spacing w:after="0"/>
              <w:rPr>
                <w:sz w:val="1"/>
                <w:szCs w:val="1"/>
                <w:color w:val="auto"/>
              </w:rPr>
            </w:pPr>
          </w:p>
        </w:tc>
      </w:tr>
      <w:tr>
        <w:trPr>
          <w:trHeight w:val="267"/>
        </w:trPr>
        <w:tc>
          <w:tcPr>
            <w:tcW w:w="5120" w:type="dxa"/>
            <w:vAlign w:val="bottom"/>
          </w:tcPr>
          <w:p>
            <w:pPr>
              <w:spacing w:after="0"/>
              <w:rPr>
                <w:sz w:val="20"/>
                <w:szCs w:val="20"/>
                <w:color w:val="auto"/>
              </w:rPr>
            </w:pPr>
            <w:r>
              <w:rPr>
                <w:rFonts w:ascii="Arial" w:cs="Arial" w:eastAsia="Arial" w:hAnsi="Arial"/>
                <w:sz w:val="22"/>
                <w:szCs w:val="22"/>
                <w:color w:val="auto"/>
              </w:rPr>
              <w:t>Loss from operations (Non-GAAP)</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(9,627)</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(6,052)</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(21,353)</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(14,568)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amortization of developed technology in connection with the DVS and InstruNor acquisitions</w:t>
      </w:r>
    </w:p>
    <w:p>
      <w:pPr>
        <w:spacing w:after="0" w:line="21" w:lineRule="exact"/>
        <w:rPr>
          <w:rFonts w:ascii="Arial" w:cs="Arial" w:eastAsia="Arial" w:hAnsi="Arial"/>
          <w:sz w:val="22"/>
          <w:szCs w:val="22"/>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interest expense, primarily on convertible debt</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the tax impact on the purchase of intangible assets in connection with the DVS acquisition</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expense associated with cost of product revenue</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expense associated with research and development, selling, general and administrative activities</w:t>
      </w:r>
    </w:p>
    <w:sectPr>
      <w:pgSz w:w="11900" w:h="16838" w:orient="portrait"/>
      <w:cols w:equalWidth="0" w:num="1">
        <w:col w:w="11220"/>
      </w:cols>
      <w:pgMar w:left="34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2021-08-05T16:17:27Z</dcterms:created>
  <dcterms:modified xsi:type="dcterms:W3CDTF">2021-08-05T16:17:27Z</dcterms:modified>
</cp:coreProperties>
</file>