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STATES</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13G</w:t>
      </w:r>
    </w:p>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Under the Securities Exchange Act of 1934</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(Amendment No. )*</w:t>
      </w:r>
    </w:p>
    <w:p>
      <w:pPr>
        <w:spacing w:after="0" w:line="38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Fluidigm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40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40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40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40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2" w:lineRule="exact"/>
        <w:rPr>
          <w:sz w:val="24"/>
          <w:szCs w:val="24"/>
          <w:color w:val="auto"/>
        </w:rPr>
      </w:pPr>
    </w:p>
    <w:p>
      <w:pPr>
        <w:jc w:val="both"/>
        <w:ind w:left="1300" w:right="8620" w:firstLine="5"/>
        <w:spacing w:after="0" w:line="563" w:lineRule="auto"/>
        <w:tabs>
          <w:tab w:leader="none" w:pos="1702"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[_] Rule 13d-1(c)</w:t>
      </w:r>
    </w:p>
    <w:p>
      <w:pPr>
        <w:spacing w:after="0" w:line="1"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[_]  Rule 13d-1(d)</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_________</w:t>
      </w:r>
    </w:p>
    <w:p>
      <w:pPr>
        <w:spacing w:after="0" w:line="11" w:lineRule="exact"/>
        <w:rPr>
          <w:sz w:val="24"/>
          <w:szCs w:val="24"/>
          <w:color w:val="auto"/>
        </w:rPr>
      </w:pPr>
    </w:p>
    <w:p>
      <w:pPr>
        <w:ind w:left="660" w:right="180" w:hanging="652"/>
        <w:spacing w:after="0" w:line="28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rFonts w:ascii="Arial" w:cs="Arial" w:eastAsia="Arial" w:hAnsi="Arial"/>
          <w:sz w:val="17"/>
          <w:szCs w:val="17"/>
          <w:color w:val="auto"/>
        </w:rPr>
      </w:pPr>
    </w:p>
    <w:p>
      <w:pPr>
        <w:ind w:left="660"/>
        <w:spacing w:after="0" w:line="248" w:lineRule="auto"/>
        <w:rPr>
          <w:rFonts w:ascii="Arial" w:cs="Arial" w:eastAsia="Arial" w:hAnsi="Arial"/>
          <w:sz w:val="17"/>
          <w:szCs w:val="17"/>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53"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4"/>
        </w:trPr>
        <w:tc>
          <w:tcPr>
            <w:tcW w:w="1540" w:type="dxa"/>
            <w:vAlign w:val="bottom"/>
          </w:tcPr>
          <w:p>
            <w:pPr>
              <w:spacing w:after="0"/>
              <w:rPr>
                <w:sz w:val="20"/>
                <w:szCs w:val="20"/>
                <w:color w:val="auto"/>
              </w:rPr>
            </w:pPr>
            <w:r>
              <w:rPr>
                <w:rFonts w:ascii="Arial" w:cs="Arial" w:eastAsia="Arial" w:hAnsi="Arial"/>
                <w:sz w:val="18"/>
                <w:szCs w:val="18"/>
                <w:color w:val="auto"/>
              </w:rPr>
              <w:t>CUSIP No.</w:t>
            </w:r>
          </w:p>
        </w:tc>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34385P108</w:t>
            </w:r>
          </w:p>
        </w:tc>
      </w:tr>
    </w:tbl>
    <w:p>
      <w:pPr>
        <w:spacing w:after="0" w:line="188" w:lineRule="exact"/>
        <w:rPr>
          <w:sz w:val="20"/>
          <w:szCs w:val="20"/>
          <w:color w:val="auto"/>
        </w:rPr>
      </w:pPr>
    </w:p>
    <w:p>
      <w:pPr>
        <w:ind w:left="940" w:hanging="932"/>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PERSONS: Scopia Capital Management LP</w:t>
      </w:r>
    </w:p>
    <w:p>
      <w:pPr>
        <w:spacing w:after="0" w:line="225" w:lineRule="exact"/>
        <w:rPr>
          <w:rFonts w:ascii="Arial" w:cs="Arial" w:eastAsia="Arial" w:hAnsi="Arial"/>
          <w:sz w:val="18"/>
          <w:szCs w:val="18"/>
          <w:color w:val="auto"/>
        </w:rPr>
      </w:pPr>
    </w:p>
    <w:p>
      <w:pPr>
        <w:ind w:left="940" w:hanging="932"/>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2"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(a) [_]</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40" w:hanging="932"/>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40" w:right="6160" w:hanging="932"/>
        <w:spacing w:after="0" w:line="528"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372" w:lineRule="exact"/>
        <w:rPr>
          <w:sz w:val="20"/>
          <w:szCs w:val="20"/>
          <w:color w:val="auto"/>
        </w:rPr>
      </w:pPr>
    </w:p>
    <w:p>
      <w:pPr>
        <w:ind w:left="940" w:right="7960" w:hanging="932"/>
        <w:spacing w:after="0" w:line="501"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VOTING POWER 0</w:t>
      </w:r>
    </w:p>
    <w:p>
      <w:pPr>
        <w:ind w:left="940" w:right="7700" w:hanging="932"/>
        <w:spacing w:after="0" w:line="501"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VOTING POWER 1,508,120</w:t>
      </w:r>
    </w:p>
    <w:p>
      <w:pPr>
        <w:ind w:left="940" w:right="7560" w:hanging="932"/>
        <w:spacing w:after="0" w:line="501"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40" w:right="7280" w:hanging="932"/>
        <w:spacing w:after="0" w:line="501"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DISPOSITIVE POWER 1,508,120</w:t>
      </w:r>
    </w:p>
    <w:p>
      <w:pPr>
        <w:ind w:left="940" w:right="3260" w:hanging="932"/>
        <w:spacing w:after="0" w:line="493"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1,508,120</w:t>
      </w:r>
    </w:p>
    <w:p>
      <w:pPr>
        <w:ind w:left="940" w:hanging="932"/>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[_]</w:t>
      </w:r>
    </w:p>
    <w:p>
      <w:pPr>
        <w:spacing w:after="0" w:line="200" w:lineRule="exact"/>
        <w:rPr>
          <w:sz w:val="20"/>
          <w:szCs w:val="20"/>
          <w:color w:val="auto"/>
        </w:rPr>
      </w:pPr>
    </w:p>
    <w:p>
      <w:pPr>
        <w:spacing w:after="0" w:line="227" w:lineRule="exact"/>
        <w:rPr>
          <w:sz w:val="20"/>
          <w:szCs w:val="20"/>
          <w:color w:val="auto"/>
        </w:rPr>
      </w:pPr>
    </w:p>
    <w:p>
      <w:pPr>
        <w:ind w:left="940" w:right="4760" w:hanging="932"/>
        <w:spacing w:after="0" w:line="501"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5.24%</w:t>
      </w:r>
    </w:p>
    <w:p>
      <w:pPr>
        <w:ind w:left="940" w:right="5480" w:hanging="932"/>
        <w:spacing w:after="0" w:line="528"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 PN,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328" w:right="8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4"/>
        </w:trPr>
        <w:tc>
          <w:tcPr>
            <w:tcW w:w="1540" w:type="dxa"/>
            <w:vAlign w:val="bottom"/>
          </w:tcPr>
          <w:p>
            <w:pPr>
              <w:spacing w:after="0"/>
              <w:rPr>
                <w:sz w:val="20"/>
                <w:szCs w:val="20"/>
                <w:color w:val="auto"/>
              </w:rPr>
            </w:pPr>
            <w:r>
              <w:rPr>
                <w:rFonts w:ascii="Arial" w:cs="Arial" w:eastAsia="Arial" w:hAnsi="Arial"/>
                <w:sz w:val="18"/>
                <w:szCs w:val="18"/>
                <w:color w:val="auto"/>
              </w:rPr>
              <w:t>CUSIP No.</w:t>
            </w:r>
          </w:p>
        </w:tc>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34385P108</w:t>
            </w:r>
          </w:p>
        </w:tc>
      </w:tr>
    </w:tbl>
    <w:p>
      <w:pPr>
        <w:spacing w:after="0" w:line="188" w:lineRule="exact"/>
        <w:rPr>
          <w:sz w:val="20"/>
          <w:szCs w:val="20"/>
          <w:color w:val="auto"/>
        </w:rPr>
      </w:pPr>
    </w:p>
    <w:p>
      <w:pPr>
        <w:ind w:left="940" w:hanging="932"/>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REPORTING PERSONS: Scopia Management, Inc.</w:t>
      </w:r>
    </w:p>
    <w:p>
      <w:pPr>
        <w:spacing w:after="0" w:line="225" w:lineRule="exact"/>
        <w:rPr>
          <w:rFonts w:ascii="Arial" w:cs="Arial" w:eastAsia="Arial" w:hAnsi="Arial"/>
          <w:sz w:val="18"/>
          <w:szCs w:val="18"/>
          <w:color w:val="auto"/>
        </w:rPr>
      </w:pPr>
    </w:p>
    <w:p>
      <w:pPr>
        <w:ind w:left="940" w:hanging="932"/>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2"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(a) [_]</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40" w:hanging="932"/>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40" w:hanging="932"/>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40" w:right="7960" w:hanging="932"/>
        <w:spacing w:after="0" w:line="501"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VOTING POWER 0</w:t>
      </w:r>
    </w:p>
    <w:p>
      <w:pPr>
        <w:ind w:left="940" w:right="7700" w:hanging="932"/>
        <w:spacing w:after="0" w:line="501"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VOTING POWER 1,508,120</w:t>
      </w:r>
    </w:p>
    <w:p>
      <w:pPr>
        <w:ind w:left="940" w:right="7560" w:hanging="932"/>
        <w:spacing w:after="0" w:line="501"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40" w:right="7280" w:hanging="932"/>
        <w:spacing w:after="0" w:line="501"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DISPOSITIVE POWER 1,508,120</w:t>
      </w:r>
    </w:p>
    <w:p>
      <w:pPr>
        <w:ind w:left="940" w:right="3260" w:hanging="932"/>
        <w:spacing w:after="0" w:line="493"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1,508,120</w:t>
      </w:r>
    </w:p>
    <w:p>
      <w:pPr>
        <w:ind w:left="940" w:hanging="932"/>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[_]</w:t>
      </w:r>
    </w:p>
    <w:p>
      <w:pPr>
        <w:spacing w:after="0" w:line="200" w:lineRule="exact"/>
        <w:rPr>
          <w:sz w:val="20"/>
          <w:szCs w:val="20"/>
          <w:color w:val="auto"/>
        </w:rPr>
      </w:pPr>
    </w:p>
    <w:p>
      <w:pPr>
        <w:spacing w:after="0" w:line="227" w:lineRule="exact"/>
        <w:rPr>
          <w:sz w:val="20"/>
          <w:szCs w:val="20"/>
          <w:color w:val="auto"/>
        </w:rPr>
      </w:pPr>
    </w:p>
    <w:p>
      <w:pPr>
        <w:ind w:left="940" w:right="4760" w:hanging="932"/>
        <w:spacing w:after="0" w:line="501"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 5.24%</w:t>
      </w:r>
    </w:p>
    <w:p>
      <w:pPr>
        <w:ind w:left="940" w:right="5480" w:hanging="932"/>
        <w:spacing w:after="0" w:line="528"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328" w:right="8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4"/>
        </w:trPr>
        <w:tc>
          <w:tcPr>
            <w:tcW w:w="1540" w:type="dxa"/>
            <w:vAlign w:val="bottom"/>
          </w:tcPr>
          <w:p>
            <w:pPr>
              <w:spacing w:after="0"/>
              <w:rPr>
                <w:sz w:val="20"/>
                <w:szCs w:val="20"/>
                <w:color w:val="auto"/>
              </w:rPr>
            </w:pPr>
            <w:r>
              <w:rPr>
                <w:rFonts w:ascii="Arial" w:cs="Arial" w:eastAsia="Arial" w:hAnsi="Arial"/>
                <w:sz w:val="18"/>
                <w:szCs w:val="18"/>
                <w:color w:val="auto"/>
              </w:rPr>
              <w:t>CUSIP No.</w:t>
            </w:r>
          </w:p>
        </w:tc>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34385P108</w:t>
            </w:r>
          </w:p>
        </w:tc>
      </w:tr>
    </w:tbl>
    <w:p>
      <w:pPr>
        <w:spacing w:after="0" w:line="188" w:lineRule="exact"/>
        <w:rPr>
          <w:sz w:val="20"/>
          <w:szCs w:val="20"/>
          <w:color w:val="auto"/>
        </w:rPr>
      </w:pPr>
    </w:p>
    <w:p>
      <w:pPr>
        <w:ind w:left="940" w:hanging="932"/>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PERSONS: Matthew Sirovich</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40" w:hanging="932"/>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2"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(a) [_]</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40" w:hanging="932"/>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40" w:hanging="932"/>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40" w:right="7960" w:hanging="932"/>
        <w:spacing w:after="0" w:line="501"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 VOTING POWER 0</w:t>
      </w:r>
    </w:p>
    <w:p>
      <w:pPr>
        <w:ind w:left="940" w:right="7700" w:hanging="932"/>
        <w:spacing w:after="0" w:line="501"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SHARED VOTING POWER 1,508,120</w:t>
      </w:r>
    </w:p>
    <w:p>
      <w:pPr>
        <w:ind w:left="940" w:right="7560" w:hanging="932"/>
        <w:spacing w:after="0" w:line="501"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40" w:right="7280" w:hanging="932"/>
        <w:spacing w:after="0" w:line="501"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SHARED DISPOSITIVE POWER 1,508,120</w:t>
      </w:r>
    </w:p>
    <w:p>
      <w:pPr>
        <w:ind w:left="940" w:right="3260" w:hanging="932"/>
        <w:spacing w:after="0" w:line="493"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1,508,120</w:t>
      </w:r>
    </w:p>
    <w:p>
      <w:pPr>
        <w:ind w:left="940" w:hanging="932"/>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[_]</w:t>
      </w:r>
    </w:p>
    <w:p>
      <w:pPr>
        <w:spacing w:after="0" w:line="200" w:lineRule="exact"/>
        <w:rPr>
          <w:sz w:val="20"/>
          <w:szCs w:val="20"/>
          <w:color w:val="auto"/>
        </w:rPr>
      </w:pPr>
    </w:p>
    <w:p>
      <w:pPr>
        <w:spacing w:after="0" w:line="227" w:lineRule="exact"/>
        <w:rPr>
          <w:sz w:val="20"/>
          <w:szCs w:val="20"/>
          <w:color w:val="auto"/>
        </w:rPr>
      </w:pPr>
    </w:p>
    <w:p>
      <w:pPr>
        <w:ind w:left="940" w:right="4760" w:hanging="932"/>
        <w:spacing w:after="0" w:line="501"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 5.24%</w:t>
      </w:r>
    </w:p>
    <w:p>
      <w:pPr>
        <w:ind w:left="940" w:right="5480" w:hanging="932"/>
        <w:spacing w:after="0" w:line="528"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328" w:right="8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4"/>
        </w:trPr>
        <w:tc>
          <w:tcPr>
            <w:tcW w:w="1540" w:type="dxa"/>
            <w:vAlign w:val="bottom"/>
          </w:tcPr>
          <w:p>
            <w:pPr>
              <w:spacing w:after="0"/>
              <w:rPr>
                <w:sz w:val="20"/>
                <w:szCs w:val="20"/>
                <w:color w:val="auto"/>
              </w:rPr>
            </w:pPr>
            <w:r>
              <w:rPr>
                <w:rFonts w:ascii="Arial" w:cs="Arial" w:eastAsia="Arial" w:hAnsi="Arial"/>
                <w:sz w:val="18"/>
                <w:szCs w:val="18"/>
                <w:color w:val="auto"/>
              </w:rPr>
              <w:t>CUSIP No.</w:t>
            </w:r>
          </w:p>
        </w:tc>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34385P108</w:t>
            </w:r>
          </w:p>
        </w:tc>
      </w:tr>
    </w:tbl>
    <w:p>
      <w:pPr>
        <w:spacing w:after="0" w:line="188" w:lineRule="exact"/>
        <w:rPr>
          <w:sz w:val="20"/>
          <w:szCs w:val="20"/>
          <w:color w:val="auto"/>
        </w:rPr>
      </w:pPr>
    </w:p>
    <w:p>
      <w:pPr>
        <w:ind w:left="940" w:hanging="932"/>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REPORTING PERSONS: Jeremy Mindich</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40" w:hanging="932"/>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2"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(a) [_]</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40" w:hanging="932"/>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40" w:hanging="932"/>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40" w:right="7960" w:hanging="932"/>
        <w:spacing w:after="0" w:line="501"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 VOTING POWER 0</w:t>
      </w:r>
    </w:p>
    <w:p>
      <w:pPr>
        <w:ind w:left="940" w:right="7700" w:hanging="932"/>
        <w:spacing w:after="0" w:line="501"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SHARED VOTING POWER 1,508,120</w:t>
      </w:r>
    </w:p>
    <w:p>
      <w:pPr>
        <w:ind w:left="940" w:right="7560" w:hanging="932"/>
        <w:spacing w:after="0" w:line="501"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40" w:right="7280" w:hanging="932"/>
        <w:spacing w:after="0" w:line="501"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SHARED DISPOSITIVE POWER 1,508,120</w:t>
      </w:r>
    </w:p>
    <w:p>
      <w:pPr>
        <w:ind w:left="940" w:right="3260" w:hanging="932"/>
        <w:spacing w:after="0" w:line="493"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1,508,120</w:t>
      </w:r>
    </w:p>
    <w:p>
      <w:pPr>
        <w:ind w:left="940" w:hanging="932"/>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[_]</w:t>
      </w:r>
    </w:p>
    <w:p>
      <w:pPr>
        <w:spacing w:after="0" w:line="200" w:lineRule="exact"/>
        <w:rPr>
          <w:sz w:val="20"/>
          <w:szCs w:val="20"/>
          <w:color w:val="auto"/>
        </w:rPr>
      </w:pPr>
    </w:p>
    <w:p>
      <w:pPr>
        <w:spacing w:after="0" w:line="227" w:lineRule="exact"/>
        <w:rPr>
          <w:sz w:val="20"/>
          <w:szCs w:val="20"/>
          <w:color w:val="auto"/>
        </w:rPr>
      </w:pPr>
    </w:p>
    <w:p>
      <w:pPr>
        <w:ind w:left="940" w:right="4760" w:hanging="932"/>
        <w:spacing w:after="0" w:line="501" w:lineRule="auto"/>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(9) 5.24%</w:t>
      </w:r>
    </w:p>
    <w:p>
      <w:pPr>
        <w:ind w:left="940" w:right="5480" w:hanging="932"/>
        <w:spacing w:after="0" w:line="528" w:lineRule="auto"/>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328" w:right="8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4"/>
        </w:trPr>
        <w:tc>
          <w:tcPr>
            <w:tcW w:w="1000" w:type="dxa"/>
            <w:vAlign w:val="bottom"/>
          </w:tcPr>
          <w:p>
            <w:pPr>
              <w:spacing w:after="0"/>
              <w:rPr>
                <w:sz w:val="20"/>
                <w:szCs w:val="20"/>
                <w:color w:val="auto"/>
              </w:rPr>
            </w:pPr>
            <w:r>
              <w:rPr>
                <w:rFonts w:ascii="Arial" w:cs="Arial" w:eastAsia="Arial" w:hAnsi="Arial"/>
                <w:sz w:val="18"/>
                <w:szCs w:val="18"/>
                <w:color w:val="auto"/>
              </w:rPr>
              <w:t>CUSIP No.</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34385P108</w:t>
            </w:r>
          </w:p>
        </w:tc>
        <w:tc>
          <w:tcPr>
            <w:tcW w:w="7260" w:type="dxa"/>
            <w:vAlign w:val="bottom"/>
            <w:gridSpan w:val="3"/>
          </w:tcPr>
          <w:p>
            <w:pPr>
              <w:spacing w:after="0"/>
              <w:rPr>
                <w:sz w:val="19"/>
                <w:szCs w:val="19"/>
                <w:color w:val="auto"/>
              </w:rPr>
            </w:pPr>
          </w:p>
        </w:tc>
      </w:tr>
      <w:tr>
        <w:trPr>
          <w:trHeight w:val="419"/>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520" w:type="dxa"/>
            <w:vAlign w:val="bottom"/>
          </w:tcPr>
          <w:p>
            <w:pPr>
              <w:ind w:left="160"/>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Name of Issuer:</w:t>
            </w:r>
          </w:p>
        </w:tc>
      </w:tr>
      <w:tr>
        <w:trPr>
          <w:trHeight w:val="426"/>
        </w:trPr>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Fluidigm Corporation</w:t>
            </w:r>
          </w:p>
        </w:tc>
        <w:tc>
          <w:tcPr>
            <w:tcW w:w="1160" w:type="dxa"/>
            <w:vAlign w:val="bottom"/>
            <w:gridSpan w:val="2"/>
          </w:tcPr>
          <w:p>
            <w:pPr>
              <w:spacing w:after="0"/>
              <w:rPr>
                <w:sz w:val="24"/>
                <w:szCs w:val="24"/>
                <w:color w:val="auto"/>
              </w:rPr>
            </w:pPr>
          </w:p>
        </w:tc>
      </w:tr>
      <w:tr>
        <w:trPr>
          <w:trHeight w:val="419"/>
        </w:trPr>
        <w:tc>
          <w:tcPr>
            <w:tcW w:w="100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(b).</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404"/>
        </w:trPr>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700 Shoreline Court, Suite 100</w:t>
            </w:r>
          </w:p>
        </w:tc>
      </w:tr>
      <w:tr>
        <w:trPr>
          <w:trHeight w:val="224"/>
        </w:trPr>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South San Francisco, CA 94080</w:t>
            </w:r>
          </w:p>
        </w:tc>
        <w:tc>
          <w:tcPr>
            <w:tcW w:w="1160" w:type="dxa"/>
            <w:vAlign w:val="bottom"/>
            <w:gridSpan w:val="2"/>
          </w:tcPr>
          <w:p>
            <w:pPr>
              <w:spacing w:after="0"/>
              <w:rPr>
                <w:sz w:val="19"/>
                <w:szCs w:val="19"/>
                <w:color w:val="auto"/>
              </w:rPr>
            </w:pPr>
          </w:p>
        </w:tc>
      </w:tr>
      <w:tr>
        <w:trPr>
          <w:trHeight w:val="41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520" w:type="dxa"/>
            <w:vAlign w:val="bottom"/>
          </w:tcPr>
          <w:p>
            <w:pPr>
              <w:ind w:left="160"/>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Name of Person Filing:</w:t>
            </w:r>
          </w:p>
        </w:tc>
      </w:tr>
      <w:tr>
        <w:trPr>
          <w:trHeight w:val="404"/>
        </w:trPr>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Scopia Capital Management LP</w:t>
            </w:r>
          </w:p>
        </w:tc>
      </w:tr>
      <w:tr>
        <w:trPr>
          <w:trHeight w:val="203"/>
        </w:trPr>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40" w:type="dxa"/>
            <w:vAlign w:val="bottom"/>
            <w:gridSpan w:val="4"/>
          </w:tcPr>
          <w:p>
            <w:pPr>
              <w:spacing w:after="0" w:line="202" w:lineRule="exact"/>
              <w:rPr>
                <w:sz w:val="20"/>
                <w:szCs w:val="20"/>
                <w:color w:val="auto"/>
              </w:rPr>
            </w:pPr>
            <w:r>
              <w:rPr>
                <w:rFonts w:ascii="Arial" w:cs="Arial" w:eastAsia="Arial" w:hAnsi="Arial"/>
                <w:sz w:val="18"/>
                <w:szCs w:val="18"/>
                <w:color w:val="auto"/>
              </w:rPr>
              <w:t>Scopia Management, Inc.</w:t>
            </w:r>
          </w:p>
        </w:tc>
      </w:tr>
      <w:tr>
        <w:trPr>
          <w:trHeight w:val="203"/>
        </w:trPr>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40" w:type="dxa"/>
            <w:vAlign w:val="bottom"/>
            <w:gridSpan w:val="4"/>
          </w:tcPr>
          <w:p>
            <w:pPr>
              <w:spacing w:after="0" w:line="202" w:lineRule="exact"/>
              <w:rPr>
                <w:sz w:val="20"/>
                <w:szCs w:val="20"/>
                <w:color w:val="auto"/>
              </w:rPr>
            </w:pPr>
            <w:r>
              <w:rPr>
                <w:rFonts w:ascii="Arial" w:cs="Arial" w:eastAsia="Arial" w:hAnsi="Arial"/>
                <w:sz w:val="18"/>
                <w:szCs w:val="18"/>
                <w:color w:val="auto"/>
              </w:rPr>
              <w:t>Matthew Sirovich</w:t>
            </w:r>
          </w:p>
        </w:tc>
      </w:tr>
      <w:tr>
        <w:trPr>
          <w:trHeight w:val="230"/>
        </w:trPr>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Jeremy Mindich</w:t>
            </w:r>
          </w:p>
        </w:tc>
      </w:tr>
      <w:tr>
        <w:trPr>
          <w:trHeight w:val="405"/>
        </w:trPr>
        <w:tc>
          <w:tcPr>
            <w:tcW w:w="100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(b).</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Address or Principal Business Office or, if None, Residence:</w:t>
            </w:r>
          </w:p>
        </w:tc>
      </w:tr>
      <w:tr>
        <w:trPr>
          <w:trHeight w:val="395"/>
        </w:trPr>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Scopia Capital Management LP</w:t>
            </w:r>
          </w:p>
        </w:tc>
      </w:tr>
      <w:tr>
        <w:trPr>
          <w:trHeight w:val="212"/>
        </w:trPr>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40" w:type="dxa"/>
            <w:vAlign w:val="bottom"/>
            <w:gridSpan w:val="4"/>
          </w:tcPr>
          <w:p>
            <w:pPr>
              <w:spacing w:after="0" w:line="212" w:lineRule="exact"/>
              <w:rPr>
                <w:sz w:val="20"/>
                <w:szCs w:val="20"/>
                <w:color w:val="auto"/>
              </w:rPr>
            </w:pPr>
            <w:r>
              <w:rPr>
                <w:rFonts w:ascii="Arial" w:cs="Arial" w:eastAsia="Arial" w:hAnsi="Arial"/>
                <w:sz w:val="15"/>
                <w:szCs w:val="15"/>
                <w:color w:val="auto"/>
              </w:rPr>
              <w:t>152 West 57</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Street, 33</w:t>
            </w:r>
            <w:r>
              <w:rPr>
                <w:rFonts w:ascii="Arial" w:cs="Arial" w:eastAsia="Arial" w:hAnsi="Arial"/>
                <w:sz w:val="24"/>
                <w:szCs w:val="24"/>
                <w:color w:val="auto"/>
                <w:vertAlign w:val="superscript"/>
              </w:rPr>
              <w:t>rd</w:t>
            </w:r>
            <w:r>
              <w:rPr>
                <w:rFonts w:ascii="Arial" w:cs="Arial" w:eastAsia="Arial" w:hAnsi="Arial"/>
                <w:sz w:val="15"/>
                <w:szCs w:val="15"/>
                <w:color w:val="auto"/>
              </w:rPr>
              <w:t xml:space="preserve"> Floor</w:t>
            </w:r>
          </w:p>
        </w:tc>
      </w:tr>
      <w:tr>
        <w:trPr>
          <w:trHeight w:val="230"/>
        </w:trPr>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New York, NY 10019</w:t>
            </w:r>
          </w:p>
        </w:tc>
      </w:tr>
      <w:tr>
        <w:trPr>
          <w:trHeight w:val="377"/>
        </w:trPr>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Scopia Management, Inc.</w:t>
            </w:r>
          </w:p>
        </w:tc>
      </w:tr>
      <w:tr>
        <w:trPr>
          <w:trHeight w:val="203"/>
        </w:trPr>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40" w:type="dxa"/>
            <w:vAlign w:val="bottom"/>
            <w:gridSpan w:val="4"/>
          </w:tcPr>
          <w:p>
            <w:pPr>
              <w:spacing w:after="0" w:line="202" w:lineRule="exact"/>
              <w:rPr>
                <w:sz w:val="20"/>
                <w:szCs w:val="20"/>
                <w:color w:val="auto"/>
              </w:rPr>
            </w:pPr>
            <w:r>
              <w:rPr>
                <w:rFonts w:ascii="Arial" w:cs="Arial" w:eastAsia="Arial" w:hAnsi="Arial"/>
                <w:sz w:val="18"/>
                <w:szCs w:val="18"/>
                <w:color w:val="auto"/>
              </w:rPr>
              <w:t>Matthew Sirovich</w:t>
            </w:r>
          </w:p>
        </w:tc>
      </w:tr>
      <w:tr>
        <w:trPr>
          <w:trHeight w:val="203"/>
        </w:trPr>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40" w:type="dxa"/>
            <w:vAlign w:val="bottom"/>
            <w:gridSpan w:val="4"/>
          </w:tcPr>
          <w:p>
            <w:pPr>
              <w:spacing w:after="0" w:line="202" w:lineRule="exact"/>
              <w:rPr>
                <w:sz w:val="20"/>
                <w:szCs w:val="20"/>
                <w:color w:val="auto"/>
              </w:rPr>
            </w:pPr>
            <w:r>
              <w:rPr>
                <w:rFonts w:ascii="Arial" w:cs="Arial" w:eastAsia="Arial" w:hAnsi="Arial"/>
                <w:sz w:val="18"/>
                <w:szCs w:val="18"/>
                <w:color w:val="auto"/>
              </w:rPr>
              <w:t>Jeremy Mindich</w:t>
            </w:r>
          </w:p>
        </w:tc>
      </w:tr>
      <w:tr>
        <w:trPr>
          <w:trHeight w:val="193"/>
        </w:trPr>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40" w:type="dxa"/>
            <w:vAlign w:val="bottom"/>
            <w:gridSpan w:val="4"/>
          </w:tcPr>
          <w:p>
            <w:pPr>
              <w:spacing w:after="0" w:line="193" w:lineRule="exact"/>
              <w:rPr>
                <w:sz w:val="20"/>
                <w:szCs w:val="20"/>
                <w:color w:val="auto"/>
              </w:rPr>
            </w:pPr>
            <w:r>
              <w:rPr>
                <w:rFonts w:ascii="Arial" w:cs="Arial" w:eastAsia="Arial" w:hAnsi="Arial"/>
                <w:sz w:val="18"/>
                <w:szCs w:val="18"/>
                <w:color w:val="auto"/>
              </w:rPr>
              <w:t>c/o Scopia Capital Management LP</w:t>
            </w:r>
          </w:p>
        </w:tc>
      </w:tr>
      <w:tr>
        <w:trPr>
          <w:trHeight w:val="212"/>
        </w:trPr>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40" w:type="dxa"/>
            <w:vAlign w:val="bottom"/>
            <w:gridSpan w:val="4"/>
          </w:tcPr>
          <w:p>
            <w:pPr>
              <w:spacing w:after="0" w:line="212" w:lineRule="exact"/>
              <w:rPr>
                <w:sz w:val="20"/>
                <w:szCs w:val="20"/>
                <w:color w:val="auto"/>
              </w:rPr>
            </w:pPr>
            <w:r>
              <w:rPr>
                <w:rFonts w:ascii="Arial" w:cs="Arial" w:eastAsia="Arial" w:hAnsi="Arial"/>
                <w:sz w:val="15"/>
                <w:szCs w:val="15"/>
                <w:color w:val="auto"/>
              </w:rPr>
              <w:t>152 West 57</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Street, 33</w:t>
            </w:r>
            <w:r>
              <w:rPr>
                <w:rFonts w:ascii="Arial" w:cs="Arial" w:eastAsia="Arial" w:hAnsi="Arial"/>
                <w:sz w:val="24"/>
                <w:szCs w:val="24"/>
                <w:color w:val="auto"/>
                <w:vertAlign w:val="superscript"/>
              </w:rPr>
              <w:t>rd</w:t>
            </w:r>
            <w:r>
              <w:rPr>
                <w:rFonts w:ascii="Arial" w:cs="Arial" w:eastAsia="Arial" w:hAnsi="Arial"/>
                <w:sz w:val="15"/>
                <w:szCs w:val="15"/>
                <w:color w:val="auto"/>
              </w:rPr>
              <w:t xml:space="preserve"> Floor</w:t>
            </w:r>
          </w:p>
        </w:tc>
      </w:tr>
      <w:tr>
        <w:trPr>
          <w:trHeight w:val="224"/>
        </w:trPr>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New York, NY 10019</w:t>
            </w:r>
          </w:p>
        </w:tc>
        <w:tc>
          <w:tcPr>
            <w:tcW w:w="1100" w:type="dxa"/>
            <w:vAlign w:val="bottom"/>
          </w:tcPr>
          <w:p>
            <w:pPr>
              <w:spacing w:after="0"/>
              <w:rPr>
                <w:sz w:val="19"/>
                <w:szCs w:val="19"/>
                <w:color w:val="auto"/>
              </w:rPr>
            </w:pPr>
          </w:p>
        </w:tc>
      </w:tr>
      <w:tr>
        <w:trPr>
          <w:trHeight w:val="419"/>
        </w:trPr>
        <w:tc>
          <w:tcPr>
            <w:tcW w:w="100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(c).</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Citizenship:</w:t>
            </w:r>
          </w:p>
        </w:tc>
      </w:tr>
      <w:tr>
        <w:trPr>
          <w:trHeight w:val="404"/>
        </w:trPr>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Scopia Capital Management LP – Delaware limited partnership</w:t>
            </w:r>
          </w:p>
        </w:tc>
      </w:tr>
      <w:tr>
        <w:trPr>
          <w:trHeight w:val="203"/>
        </w:trPr>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40" w:type="dxa"/>
            <w:vAlign w:val="bottom"/>
            <w:gridSpan w:val="4"/>
          </w:tcPr>
          <w:p>
            <w:pPr>
              <w:spacing w:after="0" w:line="202" w:lineRule="exact"/>
              <w:rPr>
                <w:sz w:val="20"/>
                <w:szCs w:val="20"/>
                <w:color w:val="auto"/>
              </w:rPr>
            </w:pPr>
            <w:r>
              <w:rPr>
                <w:rFonts w:ascii="Arial" w:cs="Arial" w:eastAsia="Arial" w:hAnsi="Arial"/>
                <w:sz w:val="18"/>
                <w:szCs w:val="18"/>
                <w:color w:val="auto"/>
              </w:rPr>
              <w:t>Scopia Management, Inc. – New York corporation</w:t>
            </w:r>
          </w:p>
        </w:tc>
      </w:tr>
      <w:tr>
        <w:trPr>
          <w:trHeight w:val="203"/>
        </w:trPr>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40" w:type="dxa"/>
            <w:vAlign w:val="bottom"/>
            <w:gridSpan w:val="4"/>
          </w:tcPr>
          <w:p>
            <w:pPr>
              <w:spacing w:after="0" w:line="202" w:lineRule="exact"/>
              <w:rPr>
                <w:sz w:val="20"/>
                <w:szCs w:val="20"/>
                <w:color w:val="auto"/>
              </w:rPr>
            </w:pPr>
            <w:r>
              <w:rPr>
                <w:rFonts w:ascii="Arial" w:cs="Arial" w:eastAsia="Arial" w:hAnsi="Arial"/>
                <w:sz w:val="18"/>
                <w:szCs w:val="18"/>
                <w:color w:val="auto"/>
              </w:rPr>
              <w:t>Matthew Sirovich – United States citizen</w:t>
            </w:r>
          </w:p>
        </w:tc>
      </w:tr>
      <w:tr>
        <w:trPr>
          <w:trHeight w:val="224"/>
        </w:trPr>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Jeremy Mindich - United States citizen</w:t>
            </w:r>
          </w:p>
        </w:tc>
        <w:tc>
          <w:tcPr>
            <w:tcW w:w="1100" w:type="dxa"/>
            <w:vAlign w:val="bottom"/>
          </w:tcPr>
          <w:p>
            <w:pPr>
              <w:spacing w:after="0"/>
              <w:rPr>
                <w:sz w:val="19"/>
                <w:szCs w:val="19"/>
                <w:color w:val="auto"/>
              </w:rPr>
            </w:pPr>
          </w:p>
        </w:tc>
      </w:tr>
      <w:tr>
        <w:trPr>
          <w:trHeight w:val="419"/>
        </w:trPr>
        <w:tc>
          <w:tcPr>
            <w:tcW w:w="100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(d).</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Title of Class of Securities:</w:t>
            </w:r>
          </w:p>
        </w:tc>
      </w:tr>
      <w:tr>
        <w:trPr>
          <w:trHeight w:val="426"/>
        </w:trPr>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Common Stock, $0.001 par value</w:t>
            </w:r>
          </w:p>
        </w:tc>
        <w:tc>
          <w:tcPr>
            <w:tcW w:w="1100" w:type="dxa"/>
            <w:vAlign w:val="bottom"/>
          </w:tcPr>
          <w:p>
            <w:pPr>
              <w:spacing w:after="0"/>
              <w:rPr>
                <w:sz w:val="24"/>
                <w:szCs w:val="24"/>
                <w:color w:val="auto"/>
              </w:rPr>
            </w:pPr>
          </w:p>
        </w:tc>
      </w:tr>
      <w:tr>
        <w:trPr>
          <w:trHeight w:val="419"/>
        </w:trPr>
        <w:tc>
          <w:tcPr>
            <w:tcW w:w="100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(e).</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CUSIP Number:</w:t>
            </w:r>
          </w:p>
        </w:tc>
      </w:tr>
      <w:tr>
        <w:trPr>
          <w:trHeight w:val="426"/>
        </w:trPr>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34385P108</w:t>
            </w:r>
          </w:p>
        </w:tc>
        <w:tc>
          <w:tcPr>
            <w:tcW w:w="1100" w:type="dxa"/>
            <w:vAlign w:val="bottom"/>
          </w:tcPr>
          <w:p>
            <w:pPr>
              <w:spacing w:after="0"/>
              <w:rPr>
                <w:sz w:val="24"/>
                <w:szCs w:val="24"/>
                <w:color w:val="auto"/>
              </w:rPr>
            </w:pPr>
          </w:p>
        </w:tc>
      </w:tr>
      <w:tr>
        <w:trPr>
          <w:trHeight w:val="419"/>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10420" w:type="dxa"/>
            <w:vAlign w:val="bottom"/>
            <w:gridSpan w:val="7"/>
          </w:tcPr>
          <w:p>
            <w:pPr>
              <w:ind w:left="220"/>
              <w:spacing w:after="0"/>
              <w:rPr>
                <w:sz w:val="20"/>
                <w:szCs w:val="20"/>
                <w:color w:val="auto"/>
              </w:rPr>
            </w:pPr>
            <w:r>
              <w:rPr>
                <w:rFonts w:ascii="Arial" w:cs="Arial" w:eastAsia="Arial" w:hAnsi="Arial"/>
                <w:sz w:val="18"/>
                <w:szCs w:val="18"/>
                <w:color w:val="auto"/>
              </w:rPr>
              <w:t>If this statement is filed pursuant to §§.240.13d-1(b) or 240.13d-2(b), or (c), check whether the person filing is a:</w:t>
            </w:r>
          </w:p>
        </w:tc>
      </w:tr>
      <w:tr>
        <w:trPr>
          <w:trHeight w:val="405"/>
        </w:trPr>
        <w:tc>
          <w:tcPr>
            <w:tcW w:w="100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(a)</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[_]</w:t>
            </w:r>
          </w:p>
        </w:tc>
        <w:tc>
          <w:tcPr>
            <w:tcW w:w="9440" w:type="dxa"/>
            <w:vAlign w:val="bottom"/>
            <w:gridSpan w:val="4"/>
          </w:tcPr>
          <w:p>
            <w:pPr>
              <w:ind w:left="28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432"/>
        </w:trPr>
        <w:tc>
          <w:tcPr>
            <w:tcW w:w="100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(b)</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[_]</w:t>
            </w:r>
          </w:p>
        </w:tc>
        <w:tc>
          <w:tcPr>
            <w:tcW w:w="9440" w:type="dxa"/>
            <w:vAlign w:val="bottom"/>
            <w:gridSpan w:val="4"/>
          </w:tcPr>
          <w:p>
            <w:pPr>
              <w:ind w:left="280"/>
              <w:spacing w:after="0"/>
              <w:rPr>
                <w:sz w:val="20"/>
                <w:szCs w:val="20"/>
                <w:color w:val="auto"/>
              </w:rPr>
            </w:pPr>
            <w:r>
              <w:rPr>
                <w:rFonts w:ascii="Arial" w:cs="Arial" w:eastAsia="Arial" w:hAnsi="Arial"/>
                <w:sz w:val="18"/>
                <w:szCs w:val="18"/>
                <w:color w:val="auto"/>
              </w:rPr>
              <w:t>Bank as defined in section 3(a)(6) of the Act (15 U.S.C. 78c).</w:t>
            </w:r>
          </w:p>
        </w:tc>
      </w:tr>
      <w:tr>
        <w:trPr>
          <w:trHeight w:val="432"/>
        </w:trPr>
        <w:tc>
          <w:tcPr>
            <w:tcW w:w="100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(c)</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[_]</w:t>
            </w:r>
          </w:p>
        </w:tc>
        <w:tc>
          <w:tcPr>
            <w:tcW w:w="9440" w:type="dxa"/>
            <w:vAlign w:val="bottom"/>
            <w:gridSpan w:val="4"/>
          </w:tcPr>
          <w:p>
            <w:pPr>
              <w:ind w:left="280"/>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432"/>
        </w:trPr>
        <w:tc>
          <w:tcPr>
            <w:tcW w:w="100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(d)</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[_]</w:t>
            </w:r>
          </w:p>
        </w:tc>
        <w:tc>
          <w:tcPr>
            <w:tcW w:w="9440" w:type="dxa"/>
            <w:vAlign w:val="bottom"/>
            <w:gridSpan w:val="4"/>
          </w:tcPr>
          <w:p>
            <w:pPr>
              <w:ind w:left="280"/>
              <w:spacing w:after="0"/>
              <w:rPr>
                <w:sz w:val="20"/>
                <w:szCs w:val="20"/>
                <w:color w:val="auto"/>
              </w:rPr>
            </w:pPr>
            <w:r>
              <w:rPr>
                <w:rFonts w:ascii="Arial" w:cs="Arial" w:eastAsia="Arial" w:hAnsi="Arial"/>
                <w:sz w:val="18"/>
                <w:szCs w:val="18"/>
                <w:color w:val="auto"/>
              </w:rPr>
              <w:t>Investment company registered under section 8 of the Investment Company Act of 1940 (15 U.S.C. 80a-8).</w:t>
            </w:r>
          </w:p>
        </w:tc>
      </w:tr>
      <w:tr>
        <w:trPr>
          <w:trHeight w:val="432"/>
        </w:trPr>
        <w:tc>
          <w:tcPr>
            <w:tcW w:w="100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(e)</w:t>
            </w:r>
          </w:p>
        </w:tc>
        <w:tc>
          <w:tcPr>
            <w:tcW w:w="100" w:type="dxa"/>
            <w:vAlign w:val="bottom"/>
          </w:tcPr>
          <w:p>
            <w:pPr>
              <w:spacing w:after="0"/>
              <w:rPr>
                <w:sz w:val="24"/>
                <w:szCs w:val="24"/>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[X]</w:t>
            </w:r>
          </w:p>
        </w:tc>
        <w:tc>
          <w:tcPr>
            <w:tcW w:w="9440" w:type="dxa"/>
            <w:vAlign w:val="bottom"/>
            <w:gridSpan w:val="4"/>
          </w:tcPr>
          <w:p>
            <w:pPr>
              <w:ind w:left="280"/>
              <w:spacing w:after="0"/>
              <w:rPr>
                <w:sz w:val="20"/>
                <w:szCs w:val="20"/>
                <w:color w:val="auto"/>
              </w:rPr>
            </w:pPr>
            <w:r>
              <w:rPr>
                <w:rFonts w:ascii="Arial" w:cs="Arial" w:eastAsia="Arial" w:hAnsi="Arial"/>
                <w:sz w:val="18"/>
                <w:szCs w:val="18"/>
                <w:color w:val="auto"/>
              </w:rPr>
              <w:t>An investment adviser in accordance with § 240.13d-1(b)(1)(ii)(E);</w:t>
            </w:r>
          </w:p>
        </w:tc>
      </w:tr>
      <w:tr>
        <w:trPr>
          <w:trHeight w:val="432"/>
        </w:trPr>
        <w:tc>
          <w:tcPr>
            <w:tcW w:w="100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(f)</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[_]</w:t>
            </w:r>
          </w:p>
        </w:tc>
        <w:tc>
          <w:tcPr>
            <w:tcW w:w="9440" w:type="dxa"/>
            <w:vAlign w:val="bottom"/>
            <w:gridSpan w:val="4"/>
          </w:tcPr>
          <w:p>
            <w:pPr>
              <w:ind w:left="280"/>
              <w:spacing w:after="0"/>
              <w:rPr>
                <w:sz w:val="20"/>
                <w:szCs w:val="20"/>
                <w:color w:val="auto"/>
              </w:rPr>
            </w:pPr>
            <w:r>
              <w:rPr>
                <w:rFonts w:ascii="Arial" w:cs="Arial" w:eastAsia="Arial" w:hAnsi="Arial"/>
                <w:sz w:val="18"/>
                <w:szCs w:val="18"/>
                <w:color w:val="auto"/>
              </w:rPr>
              <w:t>An employee benefit plan or endowment fund in accordance with § 240.13d-1(b)(1)(ii)(F);</w:t>
            </w:r>
          </w:p>
        </w:tc>
      </w:tr>
      <w:tr>
        <w:trPr>
          <w:trHeight w:val="432"/>
        </w:trPr>
        <w:tc>
          <w:tcPr>
            <w:tcW w:w="100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(g)</w:t>
            </w:r>
          </w:p>
        </w:tc>
        <w:tc>
          <w:tcPr>
            <w:tcW w:w="100" w:type="dxa"/>
            <w:vAlign w:val="bottom"/>
          </w:tcPr>
          <w:p>
            <w:pPr>
              <w:spacing w:after="0"/>
              <w:rPr>
                <w:sz w:val="24"/>
                <w:szCs w:val="24"/>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[X]</w:t>
            </w:r>
          </w:p>
        </w:tc>
        <w:tc>
          <w:tcPr>
            <w:tcW w:w="9440" w:type="dxa"/>
            <w:vAlign w:val="bottom"/>
            <w:gridSpan w:val="4"/>
          </w:tcPr>
          <w:p>
            <w:pPr>
              <w:ind w:left="280"/>
              <w:spacing w:after="0"/>
              <w:rPr>
                <w:sz w:val="20"/>
                <w:szCs w:val="20"/>
                <w:color w:val="auto"/>
              </w:rPr>
            </w:pPr>
            <w:r>
              <w:rPr>
                <w:rFonts w:ascii="Arial" w:cs="Arial" w:eastAsia="Arial" w:hAnsi="Arial"/>
                <w:sz w:val="18"/>
                <w:szCs w:val="18"/>
                <w:color w:val="auto"/>
              </w:rPr>
              <w:t>A parent holding company or control person in accordance with §240.13d-1(b)(1)(ii)(G);</w:t>
            </w:r>
          </w:p>
        </w:tc>
      </w:tr>
      <w:tr>
        <w:trPr>
          <w:trHeight w:val="432"/>
        </w:trPr>
        <w:tc>
          <w:tcPr>
            <w:tcW w:w="100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(h)</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[_]</w:t>
            </w:r>
          </w:p>
        </w:tc>
        <w:tc>
          <w:tcPr>
            <w:tcW w:w="9440" w:type="dxa"/>
            <w:vAlign w:val="bottom"/>
            <w:gridSpan w:val="4"/>
          </w:tcPr>
          <w:p>
            <w:pPr>
              <w:ind w:left="280"/>
              <w:spacing w:after="0"/>
              <w:rPr>
                <w:sz w:val="20"/>
                <w:szCs w:val="20"/>
                <w:color w:val="auto"/>
              </w:rPr>
            </w:pPr>
            <w:r>
              <w:rPr>
                <w:rFonts w:ascii="Arial" w:cs="Arial" w:eastAsia="Arial" w:hAnsi="Arial"/>
                <w:sz w:val="18"/>
                <w:szCs w:val="18"/>
                <w:color w:val="auto"/>
              </w:rPr>
              <w:t>A savings association as defined in Section 3(b) of the Federal Deposit Insurance Act (12 U.S.C.1813);</w:t>
            </w:r>
          </w:p>
        </w:tc>
      </w:tr>
      <w:tr>
        <w:trPr>
          <w:trHeight w:val="404"/>
        </w:trPr>
        <w:tc>
          <w:tcPr>
            <w:tcW w:w="100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(i)</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[_]</w:t>
            </w:r>
          </w:p>
        </w:tc>
        <w:tc>
          <w:tcPr>
            <w:tcW w:w="9440" w:type="dxa"/>
            <w:vAlign w:val="bottom"/>
            <w:gridSpan w:val="4"/>
          </w:tcPr>
          <w:p>
            <w:pPr>
              <w:ind w:left="280"/>
              <w:spacing w:after="0"/>
              <w:rPr>
                <w:sz w:val="20"/>
                <w:szCs w:val="20"/>
                <w:color w:val="auto"/>
              </w:rPr>
            </w:pPr>
            <w:r>
              <w:rPr>
                <w:rFonts w:ascii="Arial" w:cs="Arial" w:eastAsia="Arial" w:hAnsi="Arial"/>
                <w:sz w:val="18"/>
                <w:szCs w:val="18"/>
                <w:color w:val="auto"/>
                <w:w w:val="98"/>
              </w:rPr>
              <w:t>A church plan that is excluded from the definition of an investment company under section 3(c)(14) of the Investment</w:t>
            </w:r>
          </w:p>
        </w:tc>
      </w:tr>
      <w:tr>
        <w:trPr>
          <w:trHeight w:val="230"/>
        </w:trPr>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40" w:type="dxa"/>
            <w:vAlign w:val="bottom"/>
            <w:gridSpan w:val="4"/>
          </w:tcPr>
          <w:p>
            <w:pPr>
              <w:ind w:left="280"/>
              <w:spacing w:after="0"/>
              <w:rPr>
                <w:sz w:val="20"/>
                <w:szCs w:val="20"/>
                <w:color w:val="auto"/>
              </w:rPr>
            </w:pPr>
            <w:r>
              <w:rPr>
                <w:rFonts w:ascii="Arial" w:cs="Arial" w:eastAsia="Arial" w:hAnsi="Arial"/>
                <w:sz w:val="18"/>
                <w:szCs w:val="18"/>
                <w:color w:val="auto"/>
              </w:rPr>
              <w:t>Company Act of 1940 (15 U.S.C. 80a-3);</w:t>
            </w:r>
          </w:p>
        </w:tc>
      </w:tr>
      <w:tr>
        <w:trPr>
          <w:trHeight w:val="419"/>
        </w:trPr>
        <w:tc>
          <w:tcPr>
            <w:tcW w:w="100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(j)</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[_]</w:t>
            </w:r>
          </w:p>
        </w:tc>
        <w:tc>
          <w:tcPr>
            <w:tcW w:w="9440" w:type="dxa"/>
            <w:vAlign w:val="bottom"/>
            <w:gridSpan w:val="4"/>
          </w:tcPr>
          <w:p>
            <w:pPr>
              <w:ind w:left="280"/>
              <w:spacing w:after="0"/>
              <w:rPr>
                <w:sz w:val="20"/>
                <w:szCs w:val="20"/>
                <w:color w:val="auto"/>
              </w:rPr>
            </w:pPr>
            <w:r>
              <w:rPr>
                <w:rFonts w:ascii="Arial" w:cs="Arial" w:eastAsia="Arial" w:hAnsi="Arial"/>
                <w:sz w:val="18"/>
                <w:szCs w:val="18"/>
                <w:color w:val="auto"/>
              </w:rPr>
              <w:t>A non-U.S. institution in accordance with §240.13d-1(b)(1)(ii)(J);</w:t>
            </w:r>
          </w:p>
        </w:tc>
      </w:tr>
      <w:tr>
        <w:trPr>
          <w:trHeight w:val="404"/>
        </w:trPr>
        <w:tc>
          <w:tcPr>
            <w:tcW w:w="100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(k)</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[_]</w:t>
            </w:r>
          </w:p>
        </w:tc>
        <w:tc>
          <w:tcPr>
            <w:tcW w:w="9440" w:type="dxa"/>
            <w:vAlign w:val="bottom"/>
            <w:gridSpan w:val="4"/>
          </w:tcPr>
          <w:p>
            <w:pPr>
              <w:ind w:left="280"/>
              <w:spacing w:after="0"/>
              <w:rPr>
                <w:sz w:val="20"/>
                <w:szCs w:val="20"/>
                <w:color w:val="auto"/>
              </w:rPr>
            </w:pPr>
            <w:r>
              <w:rPr>
                <w:rFonts w:ascii="Arial" w:cs="Arial" w:eastAsia="Arial" w:hAnsi="Arial"/>
                <w:sz w:val="18"/>
                <w:szCs w:val="18"/>
                <w:color w:val="auto"/>
                <w:w w:val="94"/>
              </w:rPr>
              <w:t>Group, in accordance with §240.13d-1(b)(1)(ii)(K). If filing as a non-U.S. institution in accordance with §240.13d-1(b)(1)(ii)</w:t>
            </w:r>
          </w:p>
        </w:tc>
      </w:tr>
      <w:tr>
        <w:trPr>
          <w:trHeight w:val="230"/>
        </w:trPr>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40" w:type="dxa"/>
            <w:vAlign w:val="bottom"/>
            <w:gridSpan w:val="4"/>
          </w:tcPr>
          <w:p>
            <w:pPr>
              <w:ind w:left="280"/>
              <w:spacing w:after="0"/>
              <w:rPr>
                <w:sz w:val="20"/>
                <w:szCs w:val="20"/>
                <w:color w:val="auto"/>
              </w:rPr>
            </w:pPr>
            <w:r>
              <w:rPr>
                <w:rFonts w:ascii="Arial" w:cs="Arial" w:eastAsia="Arial" w:hAnsi="Arial"/>
                <w:sz w:val="18"/>
                <w:szCs w:val="18"/>
                <w:color w:val="auto"/>
              </w:rPr>
              <w:t>(J), please specify the type of institution:</w:t>
            </w:r>
          </w:p>
        </w:tc>
      </w:tr>
      <w:tr>
        <w:trPr>
          <w:trHeight w:val="169"/>
        </w:trPr>
        <w:tc>
          <w:tcPr>
            <w:tcW w:w="10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6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530" w:right="239" w:bottom="508"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00" w:type="dxa"/>
            <w:vAlign w:val="bottom"/>
          </w:tcPr>
          <w:p>
            <w:pPr>
              <w:spacing w:after="0"/>
              <w:rPr>
                <w:sz w:val="20"/>
                <w:szCs w:val="20"/>
                <w:color w:val="auto"/>
              </w:rPr>
            </w:pPr>
            <w:r>
              <w:rPr>
                <w:rFonts w:ascii="Arial" w:cs="Arial" w:eastAsia="Arial" w:hAnsi="Arial"/>
                <w:sz w:val="18"/>
                <w:szCs w:val="18"/>
                <w:color w:val="auto"/>
              </w:rPr>
              <w:t>CUSIP No.</w:t>
            </w:r>
          </w:p>
        </w:tc>
        <w:tc>
          <w:tcPr>
            <w:tcW w:w="620" w:type="dxa"/>
            <w:vAlign w:val="bottom"/>
          </w:tcPr>
          <w:p>
            <w:pPr>
              <w:spacing w:after="0"/>
              <w:rPr>
                <w:sz w:val="19"/>
                <w:szCs w:val="19"/>
                <w:color w:val="auto"/>
              </w:rPr>
            </w:pPr>
          </w:p>
        </w:tc>
        <w:tc>
          <w:tcPr>
            <w:tcW w:w="9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86"/>
              </w:rPr>
              <w:t>34385P108</w:t>
            </w:r>
          </w:p>
        </w:tc>
        <w:tc>
          <w:tcPr>
            <w:tcW w:w="1580" w:type="dxa"/>
            <w:vAlign w:val="bottom"/>
            <w:tcBorders>
              <w:bottom w:val="single" w:sz="8" w:color="auto"/>
            </w:tcBorders>
          </w:tcPr>
          <w:p>
            <w:pPr>
              <w:spacing w:after="0"/>
              <w:rPr>
                <w:sz w:val="19"/>
                <w:szCs w:val="19"/>
                <w:color w:val="auto"/>
              </w:rPr>
            </w:pPr>
          </w:p>
        </w:tc>
        <w:tc>
          <w:tcPr>
            <w:tcW w:w="47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19"/>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580" w:type="dxa"/>
            <w:vAlign w:val="bottom"/>
            <w:gridSpan w:val="3"/>
          </w:tcPr>
          <w:p>
            <w:pPr>
              <w:ind w:left="160"/>
              <w:spacing w:after="0"/>
              <w:rPr>
                <w:sz w:val="20"/>
                <w:szCs w:val="20"/>
                <w:color w:val="auto"/>
              </w:rPr>
            </w:pPr>
            <w:r>
              <w:rPr>
                <w:rFonts w:ascii="Arial" w:cs="Arial" w:eastAsia="Arial" w:hAnsi="Arial"/>
                <w:sz w:val="18"/>
                <w:szCs w:val="18"/>
                <w:color w:val="auto"/>
              </w:rPr>
              <w:t>Ownership.</w:t>
            </w:r>
          </w:p>
        </w:tc>
        <w:tc>
          <w:tcPr>
            <w:tcW w:w="1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19"/>
        </w:trPr>
        <w:tc>
          <w:tcPr>
            <w:tcW w:w="1000" w:type="dxa"/>
            <w:vAlign w:val="bottom"/>
          </w:tcPr>
          <w:p>
            <w:pPr>
              <w:spacing w:after="0"/>
              <w:rPr>
                <w:sz w:val="24"/>
                <w:szCs w:val="24"/>
                <w:color w:val="auto"/>
              </w:rPr>
            </w:pPr>
          </w:p>
        </w:tc>
        <w:tc>
          <w:tcPr>
            <w:tcW w:w="10420" w:type="dxa"/>
            <w:vAlign w:val="bottom"/>
            <w:gridSpan w:val="7"/>
          </w:tcPr>
          <w:p>
            <w:pPr>
              <w:ind w:left="160"/>
              <w:spacing w:after="0"/>
              <w:rPr>
                <w:sz w:val="20"/>
                <w:szCs w:val="20"/>
                <w:color w:val="auto"/>
              </w:rPr>
            </w:pPr>
            <w:r>
              <w:rPr>
                <w:rFonts w:ascii="Arial" w:cs="Arial" w:eastAsia="Arial" w:hAnsi="Arial"/>
                <w:sz w:val="18"/>
                <w:szCs w:val="18"/>
                <w:color w:val="auto"/>
                <w:w w:val="92"/>
              </w:rPr>
              <w:t>Provide the following information regarding the aggregate number and percentage of the class of securities of the issuer identified in Item 1.</w:t>
            </w:r>
          </w:p>
        </w:tc>
      </w:tr>
      <w:tr>
        <w:trPr>
          <w:trHeight w:val="432"/>
        </w:trPr>
        <w:tc>
          <w:tcPr>
            <w:tcW w:w="1000" w:type="dxa"/>
            <w:vAlign w:val="bottom"/>
          </w:tcPr>
          <w:p>
            <w:pPr>
              <w:spacing w:after="0"/>
              <w:rPr>
                <w:sz w:val="24"/>
                <w:szCs w:val="24"/>
                <w:color w:val="auto"/>
              </w:rPr>
            </w:pPr>
          </w:p>
        </w:tc>
        <w:tc>
          <w:tcPr>
            <w:tcW w:w="7900" w:type="dxa"/>
            <w:vAlign w:val="bottom"/>
            <w:gridSpan w:val="5"/>
          </w:tcPr>
          <w:p>
            <w:pPr>
              <w:ind w:left="160"/>
              <w:spacing w:after="0"/>
              <w:rPr>
                <w:sz w:val="20"/>
                <w:szCs w:val="20"/>
                <w:color w:val="auto"/>
              </w:rPr>
            </w:pPr>
            <w:r>
              <w:rPr>
                <w:rFonts w:ascii="Arial" w:cs="Arial" w:eastAsia="Arial" w:hAnsi="Arial"/>
                <w:sz w:val="18"/>
                <w:szCs w:val="18"/>
                <w:color w:val="auto"/>
              </w:rPr>
              <w:t>Scopia Capital Management LP</w:t>
            </w:r>
          </w:p>
        </w:tc>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19"/>
        </w:trPr>
        <w:tc>
          <w:tcPr>
            <w:tcW w:w="100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(a)</w:t>
            </w:r>
          </w:p>
        </w:tc>
        <w:tc>
          <w:tcPr>
            <w:tcW w:w="36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Amount beneficially owned:</w:t>
            </w:r>
          </w:p>
        </w:tc>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26"/>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540" w:type="dxa"/>
            <w:vAlign w:val="bottom"/>
            <w:gridSpan w:val="3"/>
          </w:tcPr>
          <w:p>
            <w:pPr>
              <w:ind w:left="360"/>
              <w:spacing w:after="0"/>
              <w:rPr>
                <w:sz w:val="20"/>
                <w:szCs w:val="20"/>
                <w:color w:val="auto"/>
              </w:rPr>
            </w:pPr>
            <w:r>
              <w:rPr>
                <w:rFonts w:ascii="Arial" w:cs="Arial" w:eastAsia="Arial" w:hAnsi="Arial"/>
                <w:sz w:val="18"/>
                <w:szCs w:val="18"/>
                <w:color w:val="auto"/>
              </w:rPr>
              <w:t>1,508,120</w:t>
            </w:r>
          </w:p>
        </w:tc>
        <w:tc>
          <w:tcPr>
            <w:tcW w:w="47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19"/>
        </w:trPr>
        <w:tc>
          <w:tcPr>
            <w:tcW w:w="100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(b)</w:t>
            </w:r>
          </w:p>
        </w:tc>
        <w:tc>
          <w:tcPr>
            <w:tcW w:w="360" w:type="dxa"/>
            <w:vAlign w:val="bottom"/>
          </w:tcPr>
          <w:p>
            <w:pPr>
              <w:spacing w:after="0"/>
              <w:rPr>
                <w:sz w:val="24"/>
                <w:szCs w:val="24"/>
                <w:color w:val="auto"/>
              </w:rPr>
            </w:pPr>
          </w:p>
        </w:tc>
        <w:tc>
          <w:tcPr>
            <w:tcW w:w="69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Percent of class:</w:t>
            </w:r>
          </w:p>
        </w:tc>
        <w:tc>
          <w:tcPr>
            <w:tcW w:w="20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426"/>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5.24%</w:t>
            </w:r>
          </w:p>
        </w:tc>
        <w:tc>
          <w:tcPr>
            <w:tcW w:w="1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19"/>
        </w:trPr>
        <w:tc>
          <w:tcPr>
            <w:tcW w:w="100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(c)</w:t>
            </w:r>
          </w:p>
        </w:tc>
        <w:tc>
          <w:tcPr>
            <w:tcW w:w="360" w:type="dxa"/>
            <w:vAlign w:val="bottom"/>
          </w:tcPr>
          <w:p>
            <w:pPr>
              <w:spacing w:after="0"/>
              <w:rPr>
                <w:sz w:val="24"/>
                <w:szCs w:val="24"/>
                <w:color w:val="auto"/>
              </w:rPr>
            </w:pPr>
          </w:p>
        </w:tc>
        <w:tc>
          <w:tcPr>
            <w:tcW w:w="69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Number of shares as to which the person has:</w:t>
            </w:r>
          </w:p>
        </w:tc>
        <w:tc>
          <w:tcPr>
            <w:tcW w:w="20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405"/>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(i)</w:t>
            </w:r>
          </w:p>
        </w:tc>
        <w:tc>
          <w:tcPr>
            <w:tcW w:w="6320" w:type="dxa"/>
            <w:vAlign w:val="bottom"/>
            <w:gridSpan w:val="2"/>
          </w:tcPr>
          <w:p>
            <w:pPr>
              <w:ind w:left="120"/>
              <w:spacing w:after="0"/>
              <w:rPr>
                <w:sz w:val="20"/>
                <w:szCs w:val="20"/>
                <w:color w:val="auto"/>
              </w:rPr>
            </w:pPr>
            <w:r>
              <w:rPr>
                <w:rFonts w:ascii="Arial" w:cs="Arial" w:eastAsia="Arial" w:hAnsi="Arial"/>
                <w:sz w:val="18"/>
                <w:szCs w:val="18"/>
                <w:color w:val="auto"/>
              </w:rPr>
              <w:t>Sole power to vote or to direct the vote</w:t>
            </w:r>
          </w:p>
        </w:tc>
        <w:tc>
          <w:tcPr>
            <w:tcW w:w="252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r>
      <w:tr>
        <w:trPr>
          <w:trHeight w:val="27"/>
        </w:trPr>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320" w:type="dxa"/>
            <w:vAlign w:val="bottom"/>
            <w:gridSpan w:val="2"/>
          </w:tcPr>
          <w:p>
            <w:pPr>
              <w:spacing w:after="0"/>
              <w:rPr>
                <w:sz w:val="2"/>
                <w:szCs w:val="2"/>
                <w:color w:val="auto"/>
              </w:rPr>
            </w:pPr>
          </w:p>
        </w:tc>
        <w:tc>
          <w:tcPr>
            <w:tcW w:w="208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r>
      <w:tr>
        <w:trPr>
          <w:trHeight w:val="621"/>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(ii)</w:t>
            </w:r>
          </w:p>
        </w:tc>
        <w:tc>
          <w:tcPr>
            <w:tcW w:w="6320" w:type="dxa"/>
            <w:vAlign w:val="bottom"/>
            <w:gridSpan w:val="2"/>
          </w:tcPr>
          <w:p>
            <w:pPr>
              <w:ind w:left="120"/>
              <w:spacing w:after="0"/>
              <w:rPr>
                <w:sz w:val="20"/>
                <w:szCs w:val="20"/>
                <w:color w:val="auto"/>
              </w:rPr>
            </w:pPr>
            <w:r>
              <w:rPr>
                <w:rFonts w:ascii="Arial" w:cs="Arial" w:eastAsia="Arial" w:hAnsi="Arial"/>
                <w:sz w:val="18"/>
                <w:szCs w:val="18"/>
                <w:color w:val="auto"/>
              </w:rPr>
              <w:t>Shared power to vote or to direct the vote</w:t>
            </w:r>
          </w:p>
        </w:tc>
        <w:tc>
          <w:tcPr>
            <w:tcW w:w="2520" w:type="dxa"/>
            <w:vAlign w:val="bottom"/>
            <w:gridSpan w:val="2"/>
          </w:tcPr>
          <w:p>
            <w:pPr>
              <w:jc w:val="right"/>
              <w:ind w:right="380"/>
              <w:spacing w:after="0"/>
              <w:rPr>
                <w:sz w:val="20"/>
                <w:szCs w:val="20"/>
                <w:color w:val="auto"/>
              </w:rPr>
            </w:pPr>
            <w:r>
              <w:rPr>
                <w:rFonts w:ascii="Arial" w:cs="Arial" w:eastAsia="Arial" w:hAnsi="Arial"/>
                <w:sz w:val="18"/>
                <w:szCs w:val="18"/>
                <w:color w:val="auto"/>
              </w:rPr>
              <w:t>1,508,120,</w:t>
            </w:r>
          </w:p>
        </w:tc>
      </w:tr>
      <w:tr>
        <w:trPr>
          <w:trHeight w:val="27"/>
        </w:trPr>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320" w:type="dxa"/>
            <w:vAlign w:val="bottom"/>
            <w:gridSpan w:val="2"/>
          </w:tcPr>
          <w:p>
            <w:pPr>
              <w:spacing w:after="0"/>
              <w:rPr>
                <w:sz w:val="2"/>
                <w:szCs w:val="2"/>
                <w:color w:val="auto"/>
              </w:rPr>
            </w:pPr>
          </w:p>
        </w:tc>
        <w:tc>
          <w:tcPr>
            <w:tcW w:w="208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r>
      <w:tr>
        <w:trPr>
          <w:trHeight w:val="621"/>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(iii)</w:t>
            </w:r>
          </w:p>
        </w:tc>
        <w:tc>
          <w:tcPr>
            <w:tcW w:w="6320" w:type="dxa"/>
            <w:vAlign w:val="bottom"/>
            <w:gridSpan w:val="2"/>
          </w:tcPr>
          <w:p>
            <w:pPr>
              <w:ind w:left="120"/>
              <w:spacing w:after="0"/>
              <w:rPr>
                <w:sz w:val="20"/>
                <w:szCs w:val="20"/>
                <w:color w:val="auto"/>
              </w:rPr>
            </w:pPr>
            <w:r>
              <w:rPr>
                <w:rFonts w:ascii="Arial" w:cs="Arial" w:eastAsia="Arial" w:hAnsi="Arial"/>
                <w:sz w:val="18"/>
                <w:szCs w:val="18"/>
                <w:color w:val="auto"/>
              </w:rPr>
              <w:t>Sole power to dispose or to direct the disposition of</w:t>
            </w:r>
          </w:p>
        </w:tc>
        <w:tc>
          <w:tcPr>
            <w:tcW w:w="252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r>
      <w:tr>
        <w:trPr>
          <w:trHeight w:val="27"/>
        </w:trPr>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320" w:type="dxa"/>
            <w:vAlign w:val="bottom"/>
            <w:gridSpan w:val="2"/>
          </w:tcPr>
          <w:p>
            <w:pPr>
              <w:spacing w:after="0"/>
              <w:rPr>
                <w:sz w:val="2"/>
                <w:szCs w:val="2"/>
                <w:color w:val="auto"/>
              </w:rPr>
            </w:pPr>
          </w:p>
        </w:tc>
        <w:tc>
          <w:tcPr>
            <w:tcW w:w="208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r>
      <w:tr>
        <w:trPr>
          <w:trHeight w:val="621"/>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(iv)</w:t>
            </w:r>
          </w:p>
        </w:tc>
        <w:tc>
          <w:tcPr>
            <w:tcW w:w="6320" w:type="dxa"/>
            <w:vAlign w:val="bottom"/>
            <w:gridSpan w:val="2"/>
          </w:tcPr>
          <w:p>
            <w:pPr>
              <w:ind w:left="120"/>
              <w:spacing w:after="0"/>
              <w:rPr>
                <w:sz w:val="20"/>
                <w:szCs w:val="20"/>
                <w:color w:val="auto"/>
              </w:rPr>
            </w:pPr>
            <w:r>
              <w:rPr>
                <w:rFonts w:ascii="Arial" w:cs="Arial" w:eastAsia="Arial" w:hAnsi="Arial"/>
                <w:sz w:val="18"/>
                <w:szCs w:val="18"/>
                <w:color w:val="auto"/>
              </w:rPr>
              <w:t>Shared power to dispose or to direct the disposition of</w:t>
            </w:r>
          </w:p>
        </w:tc>
        <w:tc>
          <w:tcPr>
            <w:tcW w:w="2520" w:type="dxa"/>
            <w:vAlign w:val="bottom"/>
            <w:gridSpan w:val="2"/>
          </w:tcPr>
          <w:p>
            <w:pPr>
              <w:jc w:val="right"/>
              <w:ind w:right="380"/>
              <w:spacing w:after="0"/>
              <w:rPr>
                <w:sz w:val="20"/>
                <w:szCs w:val="20"/>
                <w:color w:val="auto"/>
              </w:rPr>
            </w:pPr>
            <w:r>
              <w:rPr>
                <w:rFonts w:ascii="Arial" w:cs="Arial" w:eastAsia="Arial" w:hAnsi="Arial"/>
                <w:sz w:val="18"/>
                <w:szCs w:val="18"/>
                <w:color w:val="auto"/>
              </w:rPr>
              <w:t>1,508,120.</w:t>
            </w:r>
          </w:p>
        </w:tc>
      </w:tr>
      <w:tr>
        <w:trPr>
          <w:trHeight w:val="27"/>
        </w:trPr>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0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980" w:right="7380" w:hanging="824"/>
        <w:spacing w:after="0" w:line="501"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beneficially owned: 1,508,120</w:t>
      </w:r>
    </w:p>
    <w:p>
      <w:pPr>
        <w:ind w:left="1980" w:hanging="824"/>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5.24%</w:t>
      </w:r>
    </w:p>
    <w:p>
      <w:pPr>
        <w:spacing w:after="0" w:line="225" w:lineRule="exact"/>
        <w:rPr>
          <w:rFonts w:ascii="Arial" w:cs="Arial" w:eastAsia="Arial" w:hAnsi="Arial"/>
          <w:sz w:val="18"/>
          <w:szCs w:val="18"/>
          <w:color w:val="auto"/>
        </w:rPr>
      </w:pPr>
    </w:p>
    <w:p>
      <w:pPr>
        <w:ind w:left="1980" w:hanging="824"/>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-816610</wp:posOffset>
            </wp:positionV>
            <wp:extent cx="59944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94400" cy="1714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-267335</wp:posOffset>
            </wp:positionV>
            <wp:extent cx="59944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94400"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80" w:type="dxa"/>
            <w:vAlign w:val="bottom"/>
          </w:tcPr>
          <w:p>
            <w:pPr>
              <w:ind w:left="1980"/>
              <w:spacing w:after="0"/>
              <w:rPr>
                <w:sz w:val="20"/>
                <w:szCs w:val="20"/>
                <w:color w:val="auto"/>
              </w:rPr>
            </w:pPr>
            <w:r>
              <w:rPr>
                <w:rFonts w:ascii="Arial" w:cs="Arial" w:eastAsia="Arial" w:hAnsi="Arial"/>
                <w:sz w:val="18"/>
                <w:szCs w:val="18"/>
                <w:color w:val="auto"/>
              </w:rPr>
              <w:t>(i)</w:t>
            </w:r>
          </w:p>
        </w:tc>
        <w:tc>
          <w:tcPr>
            <w:tcW w:w="6420" w:type="dxa"/>
            <w:vAlign w:val="bottom"/>
          </w:tcPr>
          <w:p>
            <w:pPr>
              <w:ind w:left="220"/>
              <w:spacing w:after="0"/>
              <w:rPr>
                <w:sz w:val="20"/>
                <w:szCs w:val="20"/>
                <w:color w:val="auto"/>
              </w:rPr>
            </w:pPr>
            <w:r>
              <w:rPr>
                <w:rFonts w:ascii="Arial" w:cs="Arial" w:eastAsia="Arial" w:hAnsi="Arial"/>
                <w:sz w:val="18"/>
                <w:szCs w:val="18"/>
                <w:color w:val="auto"/>
              </w:rPr>
              <w:t>Sole power to vote or to direct the vote</w:t>
            </w:r>
          </w:p>
        </w:tc>
        <w:tc>
          <w:tcPr>
            <w:tcW w:w="252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r>
      <w:tr>
        <w:trPr>
          <w:trHeight w:val="27"/>
        </w:trPr>
        <w:tc>
          <w:tcPr>
            <w:tcW w:w="24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10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r>
      <w:tr>
        <w:trPr>
          <w:trHeight w:val="621"/>
        </w:trPr>
        <w:tc>
          <w:tcPr>
            <w:tcW w:w="2480" w:type="dxa"/>
            <w:vAlign w:val="bottom"/>
          </w:tcPr>
          <w:p>
            <w:pPr>
              <w:ind w:left="1980"/>
              <w:spacing w:after="0"/>
              <w:rPr>
                <w:sz w:val="20"/>
                <w:szCs w:val="20"/>
                <w:color w:val="auto"/>
              </w:rPr>
            </w:pPr>
            <w:r>
              <w:rPr>
                <w:rFonts w:ascii="Arial" w:cs="Arial" w:eastAsia="Arial" w:hAnsi="Arial"/>
                <w:sz w:val="18"/>
                <w:szCs w:val="18"/>
                <w:color w:val="auto"/>
              </w:rPr>
              <w:t>(ii)</w:t>
            </w:r>
          </w:p>
        </w:tc>
        <w:tc>
          <w:tcPr>
            <w:tcW w:w="6420" w:type="dxa"/>
            <w:vAlign w:val="bottom"/>
          </w:tcPr>
          <w:p>
            <w:pPr>
              <w:ind w:left="220"/>
              <w:spacing w:after="0"/>
              <w:rPr>
                <w:sz w:val="20"/>
                <w:szCs w:val="20"/>
                <w:color w:val="auto"/>
              </w:rPr>
            </w:pPr>
            <w:r>
              <w:rPr>
                <w:rFonts w:ascii="Arial" w:cs="Arial" w:eastAsia="Arial" w:hAnsi="Arial"/>
                <w:sz w:val="18"/>
                <w:szCs w:val="18"/>
                <w:color w:val="auto"/>
              </w:rPr>
              <w:t>Shared power to vote or to direct the vote</w:t>
            </w:r>
          </w:p>
        </w:tc>
        <w:tc>
          <w:tcPr>
            <w:tcW w:w="2520" w:type="dxa"/>
            <w:vAlign w:val="bottom"/>
            <w:gridSpan w:val="2"/>
          </w:tcPr>
          <w:p>
            <w:pPr>
              <w:jc w:val="right"/>
              <w:ind w:right="380"/>
              <w:spacing w:after="0"/>
              <w:rPr>
                <w:sz w:val="20"/>
                <w:szCs w:val="20"/>
                <w:color w:val="auto"/>
              </w:rPr>
            </w:pPr>
            <w:r>
              <w:rPr>
                <w:rFonts w:ascii="Arial" w:cs="Arial" w:eastAsia="Arial" w:hAnsi="Arial"/>
                <w:sz w:val="18"/>
                <w:szCs w:val="18"/>
                <w:color w:val="auto"/>
              </w:rPr>
              <w:t>1,508,120,</w:t>
            </w:r>
          </w:p>
        </w:tc>
      </w:tr>
      <w:tr>
        <w:trPr>
          <w:trHeight w:val="27"/>
        </w:trPr>
        <w:tc>
          <w:tcPr>
            <w:tcW w:w="24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10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r>
      <w:tr>
        <w:trPr>
          <w:trHeight w:val="621"/>
        </w:trPr>
        <w:tc>
          <w:tcPr>
            <w:tcW w:w="2480" w:type="dxa"/>
            <w:vAlign w:val="bottom"/>
          </w:tcPr>
          <w:p>
            <w:pPr>
              <w:ind w:left="1980"/>
              <w:spacing w:after="0"/>
              <w:rPr>
                <w:sz w:val="20"/>
                <w:szCs w:val="20"/>
                <w:color w:val="auto"/>
              </w:rPr>
            </w:pPr>
            <w:r>
              <w:rPr>
                <w:rFonts w:ascii="Arial" w:cs="Arial" w:eastAsia="Arial" w:hAnsi="Arial"/>
                <w:sz w:val="18"/>
                <w:szCs w:val="18"/>
                <w:color w:val="auto"/>
              </w:rPr>
              <w:t>(iii)</w:t>
            </w:r>
          </w:p>
        </w:tc>
        <w:tc>
          <w:tcPr>
            <w:tcW w:w="6420" w:type="dxa"/>
            <w:vAlign w:val="bottom"/>
          </w:tcPr>
          <w:p>
            <w:pPr>
              <w:ind w:left="220"/>
              <w:spacing w:after="0"/>
              <w:rPr>
                <w:sz w:val="20"/>
                <w:szCs w:val="20"/>
                <w:color w:val="auto"/>
              </w:rPr>
            </w:pPr>
            <w:r>
              <w:rPr>
                <w:rFonts w:ascii="Arial" w:cs="Arial" w:eastAsia="Arial" w:hAnsi="Arial"/>
                <w:sz w:val="18"/>
                <w:szCs w:val="18"/>
                <w:color w:val="auto"/>
              </w:rPr>
              <w:t>Sole power to dispose or to direct the disposition of</w:t>
            </w:r>
          </w:p>
        </w:tc>
        <w:tc>
          <w:tcPr>
            <w:tcW w:w="252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r>
      <w:tr>
        <w:trPr>
          <w:trHeight w:val="27"/>
        </w:trPr>
        <w:tc>
          <w:tcPr>
            <w:tcW w:w="24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10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r>
      <w:tr>
        <w:trPr>
          <w:trHeight w:val="628"/>
        </w:trPr>
        <w:tc>
          <w:tcPr>
            <w:tcW w:w="2480" w:type="dxa"/>
            <w:vAlign w:val="bottom"/>
          </w:tcPr>
          <w:p>
            <w:pPr>
              <w:ind w:left="1980"/>
              <w:spacing w:after="0"/>
              <w:rPr>
                <w:sz w:val="20"/>
                <w:szCs w:val="20"/>
                <w:color w:val="auto"/>
              </w:rPr>
            </w:pPr>
            <w:r>
              <w:rPr>
                <w:rFonts w:ascii="Arial" w:cs="Arial" w:eastAsia="Arial" w:hAnsi="Arial"/>
                <w:sz w:val="18"/>
                <w:szCs w:val="18"/>
                <w:color w:val="auto"/>
              </w:rPr>
              <w:t>(iv)</w:t>
            </w:r>
          </w:p>
        </w:tc>
        <w:tc>
          <w:tcPr>
            <w:tcW w:w="6420" w:type="dxa"/>
            <w:vAlign w:val="bottom"/>
          </w:tcPr>
          <w:p>
            <w:pPr>
              <w:ind w:left="220"/>
              <w:spacing w:after="0"/>
              <w:rPr>
                <w:sz w:val="20"/>
                <w:szCs w:val="20"/>
                <w:color w:val="auto"/>
              </w:rPr>
            </w:pPr>
            <w:r>
              <w:rPr>
                <w:rFonts w:ascii="Arial" w:cs="Arial" w:eastAsia="Arial" w:hAnsi="Arial"/>
                <w:sz w:val="18"/>
                <w:szCs w:val="18"/>
                <w:color w:val="auto"/>
              </w:rPr>
              <w:t>Shared power to dispose or to direct the disposition of</w:t>
            </w:r>
          </w:p>
        </w:tc>
        <w:tc>
          <w:tcPr>
            <w:tcW w:w="2520" w:type="dxa"/>
            <w:vAlign w:val="bottom"/>
            <w:gridSpan w:val="2"/>
          </w:tcPr>
          <w:p>
            <w:pPr>
              <w:jc w:val="right"/>
              <w:ind w:right="380"/>
              <w:spacing w:after="0"/>
              <w:rPr>
                <w:sz w:val="20"/>
                <w:szCs w:val="20"/>
                <w:color w:val="auto"/>
              </w:rPr>
            </w:pPr>
            <w:r>
              <w:rPr>
                <w:rFonts w:ascii="Arial" w:cs="Arial" w:eastAsia="Arial" w:hAnsi="Arial"/>
                <w:sz w:val="18"/>
                <w:szCs w:val="18"/>
                <w:color w:val="auto"/>
              </w:rPr>
              <w:t>1,508,120.</w:t>
            </w:r>
          </w:p>
        </w:tc>
      </w:tr>
      <w:tr>
        <w:trPr>
          <w:trHeight w:val="385"/>
        </w:trPr>
        <w:tc>
          <w:tcPr>
            <w:tcW w:w="248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2100" w:type="dxa"/>
            <w:vAlign w:val="bottom"/>
            <w:tcBorders>
              <w:top w:val="single" w:sz="8" w:color="auto"/>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28" w:right="239" w:bottom="1440" w:gutter="0" w:footer="0" w:header="0"/>
        </w:sectPr>
      </w:pPr>
    </w:p>
    <w:bookmarkStart w:id="7" w:name="page8"/>
    <w:bookmarkEnd w:id="7"/>
    <w:p>
      <w:pPr>
        <w:ind w:left="1160"/>
        <w:spacing w:after="0"/>
        <w:rPr>
          <w:sz w:val="20"/>
          <w:szCs w:val="20"/>
          <w:color w:val="auto"/>
        </w:rPr>
      </w:pPr>
      <w:r>
        <w:rPr>
          <w:rFonts w:ascii="Arial" w:cs="Arial" w:eastAsia="Arial" w:hAnsi="Arial"/>
          <w:sz w:val="18"/>
          <w:szCs w:val="18"/>
          <w:color w:val="auto"/>
        </w:rPr>
        <w:t>Matthew Sirovich</w:t>
      </w:r>
    </w:p>
    <w:p>
      <w:pPr>
        <w:spacing w:after="0" w:line="212" w:lineRule="exact"/>
        <w:rPr>
          <w:sz w:val="20"/>
          <w:szCs w:val="20"/>
          <w:color w:val="auto"/>
        </w:rPr>
      </w:pPr>
    </w:p>
    <w:p>
      <w:pPr>
        <w:ind w:left="1980" w:right="7380" w:hanging="824"/>
        <w:spacing w:after="0" w:line="501"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 beneficially owned: 1,508,120</w:t>
      </w:r>
    </w:p>
    <w:p>
      <w:pPr>
        <w:ind w:left="1980" w:hanging="824"/>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5.24%</w:t>
      </w:r>
    </w:p>
    <w:p>
      <w:pPr>
        <w:spacing w:after="0" w:line="225" w:lineRule="exact"/>
        <w:rPr>
          <w:rFonts w:ascii="Arial" w:cs="Arial" w:eastAsia="Arial" w:hAnsi="Arial"/>
          <w:sz w:val="18"/>
          <w:szCs w:val="18"/>
          <w:color w:val="auto"/>
        </w:rPr>
      </w:pPr>
    </w:p>
    <w:p>
      <w:pPr>
        <w:ind w:left="1980" w:hanging="824"/>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-816610</wp:posOffset>
            </wp:positionV>
            <wp:extent cx="599440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94400" cy="1714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-267335</wp:posOffset>
            </wp:positionV>
            <wp:extent cx="599440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94400" cy="17145"/>
                    </a:xfrm>
                    <a:prstGeom prst="rect">
                      <a:avLst/>
                    </a:prstGeom>
                    <a:noFill/>
                  </pic:spPr>
                </pic:pic>
              </a:graphicData>
            </a:graphic>
          </wp:anchor>
        </w:drawing>
      </w:r>
    </w:p>
    <w:p>
      <w:pPr>
        <w:spacing w:after="0" w:line="192" w:lineRule="exact"/>
        <w:rPr>
          <w:sz w:val="20"/>
          <w:szCs w:val="20"/>
          <w:color w:val="auto"/>
        </w:rPr>
      </w:pPr>
    </w:p>
    <w:tbl>
      <w:tblPr>
        <w:tblLayout w:type="fixed"/>
        <w:tblInd w:w="1980" w:type="dxa"/>
        <w:tblCellMar>
          <w:top w:w="0" w:type="dxa"/>
          <w:left w:w="0" w:type="dxa"/>
          <w:bottom w:w="0" w:type="dxa"/>
          <w:right w:w="0" w:type="dxa"/>
        </w:tblCellMar>
      </w:tblPr>
      <w:tr>
        <w:trPr>
          <w:trHeight w:val="217"/>
        </w:trPr>
        <w:tc>
          <w:tcPr>
            <w:tcW w:w="500" w:type="dxa"/>
            <w:vAlign w:val="bottom"/>
          </w:tcPr>
          <w:p>
            <w:pPr>
              <w:spacing w:after="0"/>
              <w:rPr>
                <w:sz w:val="20"/>
                <w:szCs w:val="20"/>
                <w:color w:val="auto"/>
              </w:rPr>
            </w:pPr>
            <w:r>
              <w:rPr>
                <w:rFonts w:ascii="Arial" w:cs="Arial" w:eastAsia="Arial" w:hAnsi="Arial"/>
                <w:sz w:val="18"/>
                <w:szCs w:val="18"/>
                <w:color w:val="auto"/>
              </w:rPr>
              <w:t>(i)</w:t>
            </w:r>
          </w:p>
        </w:tc>
        <w:tc>
          <w:tcPr>
            <w:tcW w:w="6420" w:type="dxa"/>
            <w:vAlign w:val="bottom"/>
          </w:tcPr>
          <w:p>
            <w:pPr>
              <w:ind w:left="220"/>
              <w:spacing w:after="0"/>
              <w:rPr>
                <w:sz w:val="20"/>
                <w:szCs w:val="20"/>
                <w:color w:val="auto"/>
              </w:rPr>
            </w:pPr>
            <w:r>
              <w:rPr>
                <w:rFonts w:ascii="Arial" w:cs="Arial" w:eastAsia="Arial" w:hAnsi="Arial"/>
                <w:sz w:val="18"/>
                <w:szCs w:val="18"/>
                <w:color w:val="auto"/>
              </w:rPr>
              <w:t>Sole power to vote or to direct the vote</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50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08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r>
      <w:tr>
        <w:trPr>
          <w:trHeight w:val="621"/>
        </w:trPr>
        <w:tc>
          <w:tcPr>
            <w:tcW w:w="500" w:type="dxa"/>
            <w:vAlign w:val="bottom"/>
          </w:tcPr>
          <w:p>
            <w:pPr>
              <w:spacing w:after="0"/>
              <w:rPr>
                <w:sz w:val="20"/>
                <w:szCs w:val="20"/>
                <w:color w:val="auto"/>
              </w:rPr>
            </w:pPr>
            <w:r>
              <w:rPr>
                <w:rFonts w:ascii="Arial" w:cs="Arial" w:eastAsia="Arial" w:hAnsi="Arial"/>
                <w:sz w:val="18"/>
                <w:szCs w:val="18"/>
                <w:color w:val="auto"/>
              </w:rPr>
              <w:t>(ii)</w:t>
            </w:r>
          </w:p>
        </w:tc>
        <w:tc>
          <w:tcPr>
            <w:tcW w:w="6420" w:type="dxa"/>
            <w:vAlign w:val="bottom"/>
          </w:tcPr>
          <w:p>
            <w:pPr>
              <w:ind w:left="220"/>
              <w:spacing w:after="0"/>
              <w:rPr>
                <w:sz w:val="20"/>
                <w:szCs w:val="20"/>
                <w:color w:val="auto"/>
              </w:rPr>
            </w:pPr>
            <w:r>
              <w:rPr>
                <w:rFonts w:ascii="Arial" w:cs="Arial" w:eastAsia="Arial" w:hAnsi="Arial"/>
                <w:sz w:val="18"/>
                <w:szCs w:val="18"/>
                <w:color w:val="auto"/>
              </w:rPr>
              <w:t>Shared power to vote or to direct the vote</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1,508,120,</w:t>
            </w:r>
          </w:p>
        </w:tc>
      </w:tr>
      <w:tr>
        <w:trPr>
          <w:trHeight w:val="27"/>
        </w:trPr>
        <w:tc>
          <w:tcPr>
            <w:tcW w:w="50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08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r>
      <w:tr>
        <w:trPr>
          <w:trHeight w:val="621"/>
        </w:trPr>
        <w:tc>
          <w:tcPr>
            <w:tcW w:w="500" w:type="dxa"/>
            <w:vAlign w:val="bottom"/>
          </w:tcPr>
          <w:p>
            <w:pPr>
              <w:spacing w:after="0"/>
              <w:rPr>
                <w:sz w:val="20"/>
                <w:szCs w:val="20"/>
                <w:color w:val="auto"/>
              </w:rPr>
            </w:pPr>
            <w:r>
              <w:rPr>
                <w:rFonts w:ascii="Arial" w:cs="Arial" w:eastAsia="Arial" w:hAnsi="Arial"/>
                <w:sz w:val="18"/>
                <w:szCs w:val="18"/>
                <w:color w:val="auto"/>
              </w:rPr>
              <w:t>(iii)</w:t>
            </w:r>
          </w:p>
        </w:tc>
        <w:tc>
          <w:tcPr>
            <w:tcW w:w="6420" w:type="dxa"/>
            <w:vAlign w:val="bottom"/>
          </w:tcPr>
          <w:p>
            <w:pPr>
              <w:ind w:left="220"/>
              <w:spacing w:after="0"/>
              <w:rPr>
                <w:sz w:val="20"/>
                <w:szCs w:val="20"/>
                <w:color w:val="auto"/>
              </w:rPr>
            </w:pPr>
            <w:r>
              <w:rPr>
                <w:rFonts w:ascii="Arial" w:cs="Arial" w:eastAsia="Arial" w:hAnsi="Arial"/>
                <w:sz w:val="18"/>
                <w:szCs w:val="18"/>
                <w:color w:val="auto"/>
              </w:rPr>
              <w:t>Sole power to dispose or to direct the disposition of</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50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08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r>
      <w:tr>
        <w:trPr>
          <w:trHeight w:val="621"/>
        </w:trPr>
        <w:tc>
          <w:tcPr>
            <w:tcW w:w="500" w:type="dxa"/>
            <w:vAlign w:val="bottom"/>
          </w:tcPr>
          <w:p>
            <w:pPr>
              <w:spacing w:after="0"/>
              <w:rPr>
                <w:sz w:val="20"/>
                <w:szCs w:val="20"/>
                <w:color w:val="auto"/>
              </w:rPr>
            </w:pPr>
            <w:r>
              <w:rPr>
                <w:rFonts w:ascii="Arial" w:cs="Arial" w:eastAsia="Arial" w:hAnsi="Arial"/>
                <w:sz w:val="18"/>
                <w:szCs w:val="18"/>
                <w:color w:val="auto"/>
              </w:rPr>
              <w:t>(iv)</w:t>
            </w:r>
          </w:p>
        </w:tc>
        <w:tc>
          <w:tcPr>
            <w:tcW w:w="6420" w:type="dxa"/>
            <w:vAlign w:val="bottom"/>
          </w:tcPr>
          <w:p>
            <w:pPr>
              <w:ind w:left="220"/>
              <w:spacing w:after="0"/>
              <w:rPr>
                <w:sz w:val="20"/>
                <w:szCs w:val="20"/>
                <w:color w:val="auto"/>
              </w:rPr>
            </w:pPr>
            <w:r>
              <w:rPr>
                <w:rFonts w:ascii="Arial" w:cs="Arial" w:eastAsia="Arial" w:hAnsi="Arial"/>
                <w:sz w:val="18"/>
                <w:szCs w:val="18"/>
                <w:color w:val="auto"/>
              </w:rPr>
              <w:t>Shared power to dispose or to direct the disposition of</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1,508,120.</w:t>
            </w:r>
          </w:p>
        </w:tc>
      </w:tr>
      <w:tr>
        <w:trPr>
          <w:trHeight w:val="27"/>
        </w:trPr>
        <w:tc>
          <w:tcPr>
            <w:tcW w:w="50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980" w:right="7380" w:hanging="824"/>
        <w:spacing w:after="0" w:line="501"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beneficially owned: 1,508,120</w:t>
      </w:r>
    </w:p>
    <w:p>
      <w:pPr>
        <w:ind w:left="1980" w:hanging="824"/>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5.24%</w:t>
      </w:r>
    </w:p>
    <w:p>
      <w:pPr>
        <w:spacing w:after="0" w:line="225" w:lineRule="exact"/>
        <w:rPr>
          <w:rFonts w:ascii="Arial" w:cs="Arial" w:eastAsia="Arial" w:hAnsi="Arial"/>
          <w:sz w:val="18"/>
          <w:szCs w:val="18"/>
          <w:color w:val="auto"/>
        </w:rPr>
      </w:pPr>
    </w:p>
    <w:p>
      <w:pPr>
        <w:ind w:left="1980" w:hanging="824"/>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-816610</wp:posOffset>
            </wp:positionV>
            <wp:extent cx="599440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94400" cy="1714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-267335</wp:posOffset>
            </wp:positionV>
            <wp:extent cx="599440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94400"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80" w:type="dxa"/>
            <w:vAlign w:val="bottom"/>
          </w:tcPr>
          <w:p>
            <w:pPr>
              <w:ind w:left="1980"/>
              <w:spacing w:after="0"/>
              <w:rPr>
                <w:sz w:val="20"/>
                <w:szCs w:val="20"/>
                <w:color w:val="auto"/>
              </w:rPr>
            </w:pPr>
            <w:r>
              <w:rPr>
                <w:rFonts w:ascii="Arial" w:cs="Arial" w:eastAsia="Arial" w:hAnsi="Arial"/>
                <w:sz w:val="18"/>
                <w:szCs w:val="18"/>
                <w:color w:val="auto"/>
              </w:rPr>
              <w:t>(i)</w:t>
            </w:r>
          </w:p>
        </w:tc>
        <w:tc>
          <w:tcPr>
            <w:tcW w:w="6420" w:type="dxa"/>
            <w:vAlign w:val="bottom"/>
          </w:tcPr>
          <w:p>
            <w:pPr>
              <w:ind w:left="220"/>
              <w:spacing w:after="0"/>
              <w:rPr>
                <w:sz w:val="20"/>
                <w:szCs w:val="20"/>
                <w:color w:val="auto"/>
              </w:rPr>
            </w:pPr>
            <w:r>
              <w:rPr>
                <w:rFonts w:ascii="Arial" w:cs="Arial" w:eastAsia="Arial" w:hAnsi="Arial"/>
                <w:sz w:val="18"/>
                <w:szCs w:val="18"/>
                <w:color w:val="auto"/>
              </w:rPr>
              <w:t>Sole power to vote or to direct the vote</w:t>
            </w:r>
          </w:p>
        </w:tc>
        <w:tc>
          <w:tcPr>
            <w:tcW w:w="252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r>
      <w:tr>
        <w:trPr>
          <w:trHeight w:val="27"/>
        </w:trPr>
        <w:tc>
          <w:tcPr>
            <w:tcW w:w="24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10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r>
      <w:tr>
        <w:trPr>
          <w:trHeight w:val="621"/>
        </w:trPr>
        <w:tc>
          <w:tcPr>
            <w:tcW w:w="2480" w:type="dxa"/>
            <w:vAlign w:val="bottom"/>
          </w:tcPr>
          <w:p>
            <w:pPr>
              <w:ind w:left="1980"/>
              <w:spacing w:after="0"/>
              <w:rPr>
                <w:sz w:val="20"/>
                <w:szCs w:val="20"/>
                <w:color w:val="auto"/>
              </w:rPr>
            </w:pPr>
            <w:r>
              <w:rPr>
                <w:rFonts w:ascii="Arial" w:cs="Arial" w:eastAsia="Arial" w:hAnsi="Arial"/>
                <w:sz w:val="18"/>
                <w:szCs w:val="18"/>
                <w:color w:val="auto"/>
              </w:rPr>
              <w:t>(ii)</w:t>
            </w:r>
          </w:p>
        </w:tc>
        <w:tc>
          <w:tcPr>
            <w:tcW w:w="6420" w:type="dxa"/>
            <w:vAlign w:val="bottom"/>
          </w:tcPr>
          <w:p>
            <w:pPr>
              <w:ind w:left="220"/>
              <w:spacing w:after="0"/>
              <w:rPr>
                <w:sz w:val="20"/>
                <w:szCs w:val="20"/>
                <w:color w:val="auto"/>
              </w:rPr>
            </w:pPr>
            <w:r>
              <w:rPr>
                <w:rFonts w:ascii="Arial" w:cs="Arial" w:eastAsia="Arial" w:hAnsi="Arial"/>
                <w:sz w:val="18"/>
                <w:szCs w:val="18"/>
                <w:color w:val="auto"/>
              </w:rPr>
              <w:t>Shared power to vote or to direct the vote</w:t>
            </w:r>
          </w:p>
        </w:tc>
        <w:tc>
          <w:tcPr>
            <w:tcW w:w="2520" w:type="dxa"/>
            <w:vAlign w:val="bottom"/>
            <w:gridSpan w:val="2"/>
          </w:tcPr>
          <w:p>
            <w:pPr>
              <w:jc w:val="right"/>
              <w:ind w:right="380"/>
              <w:spacing w:after="0"/>
              <w:rPr>
                <w:sz w:val="20"/>
                <w:szCs w:val="20"/>
                <w:color w:val="auto"/>
              </w:rPr>
            </w:pPr>
            <w:r>
              <w:rPr>
                <w:rFonts w:ascii="Arial" w:cs="Arial" w:eastAsia="Arial" w:hAnsi="Arial"/>
                <w:sz w:val="18"/>
                <w:szCs w:val="18"/>
                <w:color w:val="auto"/>
              </w:rPr>
              <w:t>1,508,120,</w:t>
            </w:r>
          </w:p>
        </w:tc>
      </w:tr>
      <w:tr>
        <w:trPr>
          <w:trHeight w:val="27"/>
        </w:trPr>
        <w:tc>
          <w:tcPr>
            <w:tcW w:w="24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10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r>
      <w:tr>
        <w:trPr>
          <w:trHeight w:val="621"/>
        </w:trPr>
        <w:tc>
          <w:tcPr>
            <w:tcW w:w="2480" w:type="dxa"/>
            <w:vAlign w:val="bottom"/>
          </w:tcPr>
          <w:p>
            <w:pPr>
              <w:ind w:left="1980"/>
              <w:spacing w:after="0"/>
              <w:rPr>
                <w:sz w:val="20"/>
                <w:szCs w:val="20"/>
                <w:color w:val="auto"/>
              </w:rPr>
            </w:pPr>
            <w:r>
              <w:rPr>
                <w:rFonts w:ascii="Arial" w:cs="Arial" w:eastAsia="Arial" w:hAnsi="Arial"/>
                <w:sz w:val="18"/>
                <w:szCs w:val="18"/>
                <w:color w:val="auto"/>
              </w:rPr>
              <w:t>(iii)</w:t>
            </w:r>
          </w:p>
        </w:tc>
        <w:tc>
          <w:tcPr>
            <w:tcW w:w="6420" w:type="dxa"/>
            <w:vAlign w:val="bottom"/>
          </w:tcPr>
          <w:p>
            <w:pPr>
              <w:ind w:left="220"/>
              <w:spacing w:after="0"/>
              <w:rPr>
                <w:sz w:val="20"/>
                <w:szCs w:val="20"/>
                <w:color w:val="auto"/>
              </w:rPr>
            </w:pPr>
            <w:r>
              <w:rPr>
                <w:rFonts w:ascii="Arial" w:cs="Arial" w:eastAsia="Arial" w:hAnsi="Arial"/>
                <w:sz w:val="18"/>
                <w:szCs w:val="18"/>
                <w:color w:val="auto"/>
              </w:rPr>
              <w:t>Sole power to dispose or to direct the disposition of</w:t>
            </w:r>
          </w:p>
        </w:tc>
        <w:tc>
          <w:tcPr>
            <w:tcW w:w="252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r>
      <w:tr>
        <w:trPr>
          <w:trHeight w:val="27"/>
        </w:trPr>
        <w:tc>
          <w:tcPr>
            <w:tcW w:w="24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10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r>
      <w:tr>
        <w:trPr>
          <w:trHeight w:val="628"/>
        </w:trPr>
        <w:tc>
          <w:tcPr>
            <w:tcW w:w="2480" w:type="dxa"/>
            <w:vAlign w:val="bottom"/>
          </w:tcPr>
          <w:p>
            <w:pPr>
              <w:ind w:left="1980"/>
              <w:spacing w:after="0"/>
              <w:rPr>
                <w:sz w:val="20"/>
                <w:szCs w:val="20"/>
                <w:color w:val="auto"/>
              </w:rPr>
            </w:pPr>
            <w:r>
              <w:rPr>
                <w:rFonts w:ascii="Arial" w:cs="Arial" w:eastAsia="Arial" w:hAnsi="Arial"/>
                <w:sz w:val="18"/>
                <w:szCs w:val="18"/>
                <w:color w:val="auto"/>
              </w:rPr>
              <w:t>(iv)</w:t>
            </w:r>
          </w:p>
        </w:tc>
        <w:tc>
          <w:tcPr>
            <w:tcW w:w="6420" w:type="dxa"/>
            <w:vAlign w:val="bottom"/>
          </w:tcPr>
          <w:p>
            <w:pPr>
              <w:ind w:left="220"/>
              <w:spacing w:after="0"/>
              <w:rPr>
                <w:sz w:val="20"/>
                <w:szCs w:val="20"/>
                <w:color w:val="auto"/>
              </w:rPr>
            </w:pPr>
            <w:r>
              <w:rPr>
                <w:rFonts w:ascii="Arial" w:cs="Arial" w:eastAsia="Arial" w:hAnsi="Arial"/>
                <w:sz w:val="18"/>
                <w:szCs w:val="18"/>
                <w:color w:val="auto"/>
              </w:rPr>
              <w:t>Shared power to dispose or to direct the disposition of</w:t>
            </w:r>
          </w:p>
        </w:tc>
        <w:tc>
          <w:tcPr>
            <w:tcW w:w="2520" w:type="dxa"/>
            <w:vAlign w:val="bottom"/>
            <w:gridSpan w:val="2"/>
          </w:tcPr>
          <w:p>
            <w:pPr>
              <w:jc w:val="right"/>
              <w:ind w:right="380"/>
              <w:spacing w:after="0"/>
              <w:rPr>
                <w:sz w:val="20"/>
                <w:szCs w:val="20"/>
                <w:color w:val="auto"/>
              </w:rPr>
            </w:pPr>
            <w:r>
              <w:rPr>
                <w:rFonts w:ascii="Arial" w:cs="Arial" w:eastAsia="Arial" w:hAnsi="Arial"/>
                <w:sz w:val="18"/>
                <w:szCs w:val="18"/>
                <w:color w:val="auto"/>
              </w:rPr>
              <w:t>1,508,120.</w:t>
            </w:r>
          </w:p>
        </w:tc>
      </w:tr>
      <w:tr>
        <w:trPr>
          <w:trHeight w:val="385"/>
        </w:trPr>
        <w:tc>
          <w:tcPr>
            <w:tcW w:w="248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2100" w:type="dxa"/>
            <w:vAlign w:val="bottom"/>
            <w:tcBorders>
              <w:top w:val="single" w:sz="8" w:color="auto"/>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30" w:right="239" w:bottom="1440" w:gutter="0" w:footer="0" w:header="0"/>
        </w:sectPr>
      </w:pPr>
    </w:p>
    <w:bookmarkStart w:id="8" w:name="page9"/>
    <w:bookmarkEnd w:id="8"/>
    <w:p>
      <w:pPr>
        <w:spacing w:after="0"/>
        <w:tabs>
          <w:tab w:leader="none" w:pos="114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198" w:lineRule="exact"/>
        <w:rPr>
          <w:sz w:val="20"/>
          <w:szCs w:val="20"/>
          <w:color w:val="auto"/>
        </w:rPr>
      </w:pPr>
    </w:p>
    <w:p>
      <w:pPr>
        <w:ind w:left="1160" w:right="220"/>
        <w:spacing w:after="0" w:line="262"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6350</wp:posOffset>
            </wp:positionV>
            <wp:extent cx="65087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08750" cy="17145"/>
                    </a:xfrm>
                    <a:prstGeom prst="rect">
                      <a:avLst/>
                    </a:prstGeom>
                    <a:noFill/>
                  </pic:spPr>
                </pic:pic>
              </a:graphicData>
            </a:graphic>
          </wp:anchor>
        </w:drawing>
      </w:r>
    </w:p>
    <w:p>
      <w:pPr>
        <w:spacing w:after="0" w:line="20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98" w:lineRule="exact"/>
        <w:rPr>
          <w:sz w:val="20"/>
          <w:szCs w:val="20"/>
          <w:color w:val="auto"/>
        </w:rPr>
      </w:pPr>
    </w:p>
    <w:p>
      <w:pPr>
        <w:jc w:val="both"/>
        <w:ind w:left="1160"/>
        <w:spacing w:after="0" w:line="263"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70" w:lineRule="exact"/>
        <w:rPr>
          <w:sz w:val="20"/>
          <w:szCs w:val="20"/>
          <w:color w:val="auto"/>
        </w:rPr>
      </w:pPr>
    </w:p>
    <w:p>
      <w:pPr>
        <w:jc w:val="both"/>
        <w:ind w:left="1160"/>
        <w:spacing w:after="0" w:line="262" w:lineRule="auto"/>
        <w:rPr>
          <w:sz w:val="20"/>
          <w:szCs w:val="20"/>
          <w:color w:val="auto"/>
        </w:rPr>
      </w:pPr>
      <w:r>
        <w:rPr>
          <w:rFonts w:ascii="Arial" w:cs="Arial" w:eastAsia="Arial" w:hAnsi="Arial"/>
          <w:sz w:val="18"/>
          <w:szCs w:val="18"/>
          <w:color w:val="auto"/>
        </w:rPr>
        <w:t>All securities reported in this Schedule 13G are owned by advisory clients of Scopia Capital Management LP. None of such advisory clients individually own more than 5% of the Issuer's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-19685</wp:posOffset>
            </wp:positionV>
            <wp:extent cx="65087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08750" cy="17145"/>
                    </a:xfrm>
                    <a:prstGeom prst="rect">
                      <a:avLst/>
                    </a:prstGeom>
                    <a:noFill/>
                  </pic:spPr>
                </pic:pic>
              </a:graphicData>
            </a:graphic>
          </wp:anchor>
        </w:drawing>
      </w:r>
    </w:p>
    <w:p>
      <w:pPr>
        <w:spacing w:after="0" w:line="176" w:lineRule="exact"/>
        <w:rPr>
          <w:sz w:val="20"/>
          <w:szCs w:val="20"/>
          <w:color w:val="auto"/>
        </w:rPr>
      </w:pPr>
    </w:p>
    <w:p>
      <w:pPr>
        <w:ind w:left="1160" w:right="540" w:hanging="1160"/>
        <w:spacing w:after="0" w:line="262" w:lineRule="auto"/>
        <w:tabs>
          <w:tab w:leader="none" w:pos="114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69" w:lineRule="exact"/>
        <w:rPr>
          <w:sz w:val="20"/>
          <w:szCs w:val="20"/>
          <w:color w:val="auto"/>
        </w:rPr>
      </w:pPr>
    </w:p>
    <w:p>
      <w:pPr>
        <w:jc w:val="both"/>
        <w:ind w:left="1160" w:right="20"/>
        <w:spacing w:after="0" w:line="262" w:lineRule="auto"/>
        <w:rPr>
          <w:sz w:val="20"/>
          <w:szCs w:val="20"/>
          <w:color w:val="auto"/>
        </w:rPr>
      </w:pPr>
      <w:r>
        <w:rPr>
          <w:rFonts w:ascii="Arial" w:cs="Arial" w:eastAsia="Arial" w:hAnsi="Arial"/>
          <w:sz w:val="18"/>
          <w:szCs w:val="18"/>
          <w:color w:val="auto"/>
        </w:rPr>
        <w:t>If a parent holding company or Control person has filed this schedule, pursuant to Rule 13d-1(b) (1) (ii)(G), so indicate under Item 3(g) and attach an exhibit stating the identity and the Item 3 classification of the relevant subsidiary.</w:t>
      </w:r>
    </w:p>
    <w:p>
      <w:pPr>
        <w:spacing w:after="0" w:line="16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Please see Exhibit B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6350</wp:posOffset>
            </wp:positionV>
            <wp:extent cx="65087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0875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98" w:lineRule="exact"/>
        <w:rPr>
          <w:sz w:val="20"/>
          <w:szCs w:val="20"/>
          <w:color w:val="auto"/>
        </w:rPr>
      </w:pPr>
    </w:p>
    <w:p>
      <w:pPr>
        <w:jc w:val="both"/>
        <w:ind w:left="1160"/>
        <w:spacing w:after="0" w:line="248" w:lineRule="auto"/>
        <w:rPr>
          <w:sz w:val="20"/>
          <w:szCs w:val="20"/>
          <w:color w:val="auto"/>
        </w:rPr>
      </w:pPr>
      <w:r>
        <w:rPr>
          <w:rFonts w:ascii="Arial" w:cs="Arial" w:eastAsia="Arial" w:hAnsi="Arial"/>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 240.13d-1(c) or §§ 240.13d-1(d), attach an exhibit stating the identity of each member of the group.</w:t>
      </w:r>
    </w:p>
    <w:p>
      <w:pPr>
        <w:spacing w:after="0" w:line="18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6350</wp:posOffset>
            </wp:positionV>
            <wp:extent cx="65087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0875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12" w:lineRule="exact"/>
        <w:rPr>
          <w:sz w:val="20"/>
          <w:szCs w:val="20"/>
          <w:color w:val="auto"/>
        </w:rPr>
      </w:pPr>
    </w:p>
    <w:p>
      <w:pPr>
        <w:jc w:val="both"/>
        <w:ind w:left="1160"/>
        <w:spacing w:after="0" w:line="291" w:lineRule="auto"/>
        <w:rPr>
          <w:sz w:val="20"/>
          <w:szCs w:val="20"/>
          <w:color w:val="auto"/>
        </w:rPr>
      </w:pPr>
      <w:r>
        <w:rPr>
          <w:rFonts w:ascii="Arial" w:cs="Arial" w:eastAsia="Arial" w:hAnsi="Arial"/>
          <w:sz w:val="17"/>
          <w:szCs w:val="17"/>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3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6350</wp:posOffset>
            </wp:positionV>
            <wp:extent cx="65087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0875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198" w:lineRule="exact"/>
        <w:rPr>
          <w:sz w:val="20"/>
          <w:szCs w:val="20"/>
          <w:color w:val="auto"/>
        </w:rPr>
      </w:pPr>
    </w:p>
    <w:p>
      <w:pPr>
        <w:jc w:val="both"/>
        <w:ind w:left="1200"/>
        <w:spacing w:after="0" w:line="24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9" w:name="page10"/>
    <w:bookmarkEnd w:id="9"/>
    <w:p>
      <w:pPr>
        <w:jc w:val="center"/>
        <w:ind w:right="-199"/>
        <w:spacing w:after="0"/>
        <w:rPr>
          <w:sz w:val="20"/>
          <w:szCs w:val="20"/>
          <w:color w:val="auto"/>
        </w:rPr>
      </w:pPr>
      <w:r>
        <w:rPr>
          <w:rFonts w:ascii="Arial" w:cs="Arial" w:eastAsia="Arial" w:hAnsi="Arial"/>
          <w:sz w:val="18"/>
          <w:szCs w:val="18"/>
          <w:color w:val="auto"/>
        </w:rPr>
        <w:t>SIGNATURE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39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February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6350</wp:posOffset>
            </wp:positionV>
            <wp:extent cx="36188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SCOPIA CAPITAL MANAGEMENT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Aaron Morse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6350</wp:posOffset>
            </wp:positionV>
            <wp:extent cx="36188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Aaron Morse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COO</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SCOPIA MANAGEMENT,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Aaron Morse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6350</wp:posOffset>
            </wp:positionV>
            <wp:extent cx="36188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Aaron Morse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Matthew Sirovich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6350</wp:posOffset>
            </wp:positionV>
            <wp:extent cx="36188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Matthew Sirovich</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Jeremy Mindich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6350</wp:posOffset>
            </wp:positionV>
            <wp:extent cx="36188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Jeremy Mindich</w:t>
      </w:r>
    </w:p>
    <w:p>
      <w:pPr>
        <w:spacing w:after="0" w:line="200" w:lineRule="exact"/>
        <w:rPr>
          <w:sz w:val="20"/>
          <w:szCs w:val="20"/>
          <w:color w:val="auto"/>
        </w:rPr>
      </w:pPr>
    </w:p>
    <w:p>
      <w:pPr>
        <w:spacing w:after="0" w:line="22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Rule 13d-7 for other parties for whom copies are to be sent.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328" w:right="4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u w:val="single" w:color="auto"/>
          <w:color w:val="auto"/>
        </w:rPr>
        <w:t>Exhibit A</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12"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The undersigned agree that this Schedule 13G dated February 16, 2016 relating to the Common Stock, $0.001 par value of Fluidigm Corporation shall be filed on behalf of the undersigned.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SCOPIA CAPITAL MANAGEMENT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Aaron Morse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6350</wp:posOffset>
            </wp:positionV>
            <wp:extent cx="36188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Aaron Morse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COO</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SCOPIA MANAGEMENT,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Aaron Morse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6350</wp:posOffset>
            </wp:positionV>
            <wp:extent cx="36188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Aaron Morse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Matthew Sirovich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6350</wp:posOffset>
            </wp:positionV>
            <wp:extent cx="36188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Matthew Sirovich</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Jeremy Mindich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6350</wp:posOffset>
            </wp:positionV>
            <wp:extent cx="36188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Jeremy Mindich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u w:val="single" w:color="auto"/>
          <w:color w:val="auto"/>
        </w:rPr>
        <w:t>Exhibit B</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Matthew Sirovich and Jeremy Mindich may be considered control persons of Scopia Capital GP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SK 22124 0001 7043632</w:t>
      </w:r>
    </w:p>
    <w:sectPr>
      <w:pgSz w:w="11900" w:h="16838" w:orient="portrait"/>
      <w:cols w:equalWidth="0" w:num="1">
        <w:col w:w="11420"/>
      </w:cols>
      <w:pgMar w:left="240" w:top="3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24"/>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3"/>
    </w:lvl>
  </w:abstractNum>
  <w:abstractNum w:abstractNumId="4">
    <w:nsid w:val="3352255A"/>
    <w:multiLevelType w:val="hybridMultilevel"/>
    <w:lvl w:ilvl="0">
      <w:lvlJc w:val="left"/>
      <w:lvlText w:val="%1."/>
      <w:numFmt w:val="decimal"/>
      <w:start w:val="5"/>
    </w:lvl>
  </w:abstractNum>
  <w:abstractNum w:abstractNumId="5">
    <w:nsid w:val="109CF92E"/>
    <w:multiLevelType w:val="hybridMultilevel"/>
    <w:lvl w:ilvl="0">
      <w:lvlJc w:val="left"/>
      <w:lvlText w:val="%1."/>
      <w:numFmt w:val="decimal"/>
      <w:start w:val="1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3"/>
    </w:lvl>
  </w:abstractNum>
  <w:abstractNum w:abstractNumId="8">
    <w:nsid w:val="1BEFD79F"/>
    <w:multiLevelType w:val="hybridMultilevel"/>
    <w:lvl w:ilvl="0">
      <w:lvlJc w:val="left"/>
      <w:lvlText w:val="%1."/>
      <w:numFmt w:val="decimal"/>
      <w:start w:val="5"/>
    </w:lvl>
  </w:abstractNum>
  <w:abstractNum w:abstractNumId="9">
    <w:nsid w:val="41A7C4C9"/>
    <w:multiLevelType w:val="hybridMultilevel"/>
    <w:lvl w:ilvl="0">
      <w:lvlJc w:val="left"/>
      <w:lvlText w:val="%1."/>
      <w:numFmt w:val="decimal"/>
      <w:start w:val="1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3"/>
    </w:lvl>
  </w:abstractNum>
  <w:abstractNum w:abstractNumId="12">
    <w:nsid w:val="25E45D32"/>
    <w:multiLevelType w:val="hybridMultilevel"/>
    <w:lvl w:ilvl="0">
      <w:lvlJc w:val="left"/>
      <w:lvlText w:val="%1."/>
      <w:numFmt w:val="decimal"/>
      <w:start w:val="5"/>
    </w:lvl>
  </w:abstractNum>
  <w:abstractNum w:abstractNumId="13">
    <w:nsid w:val="519B500D"/>
    <w:multiLevelType w:val="hybridMultilevel"/>
    <w:lvl w:ilvl="0">
      <w:lvlJc w:val="left"/>
      <w:lvlText w:val="%1."/>
      <w:numFmt w:val="decimal"/>
      <w:start w:val="1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3"/>
    </w:lvl>
  </w:abstractNum>
  <w:abstractNum w:abstractNumId="16">
    <w:nsid w:val="7C83E458"/>
    <w:multiLevelType w:val="hybridMultilevel"/>
    <w:lvl w:ilvl="0">
      <w:lvlJc w:val="left"/>
      <w:lvlText w:val="%1."/>
      <w:numFmt w:val="decimal"/>
      <w:start w:val="5"/>
    </w:lvl>
  </w:abstractNum>
  <w:abstractNum w:abstractNumId="17">
    <w:nsid w:val="257130A3"/>
    <w:multiLevelType w:val="hybridMultilevel"/>
    <w:lvl w:ilvl="0">
      <w:lvlJc w:val="left"/>
      <w:lvlText w:val="%1."/>
      <w:numFmt w:val="decimal"/>
      <w:start w:val="1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2019-12-07T15:13:13Z</dcterms:created>
  <dcterms:modified xsi:type="dcterms:W3CDTF">2019-12-07T15:13:13Z</dcterms:modified>
</cp:coreProperties>
</file>