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465361"/>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465361"/>
        </w:rPr>
        <w:t>Registration No. 333-216542</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465361"/>
        </w:rPr>
        <w:t>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465361"/>
        </w:rPr>
        <w:t>(To the Prospectus dated May 2, 2017)</w:t>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465361"/>
        </w:rPr>
        <w:t>8,150,000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331470</wp:posOffset>
            </wp:positionV>
            <wp:extent cx="3704590" cy="1209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4590" cy="1209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465361"/>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200"/>
        <w:spacing w:after="0"/>
        <w:rPr>
          <w:sz w:val="20"/>
          <w:szCs w:val="20"/>
          <w:color w:val="auto"/>
        </w:rPr>
      </w:pPr>
      <w:r>
        <w:rPr>
          <w:rFonts w:ascii="Arial" w:cs="Arial" w:eastAsia="Arial" w:hAnsi="Arial"/>
          <w:sz w:val="18"/>
          <w:szCs w:val="18"/>
          <w:color w:val="465361"/>
        </w:rPr>
        <w:t>We are offering 8,150,000 shares of our common stock.</w:t>
      </w:r>
    </w:p>
    <w:p>
      <w:pPr>
        <w:spacing w:after="0" w:line="225" w:lineRule="exact"/>
        <w:rPr>
          <w:sz w:val="24"/>
          <w:szCs w:val="24"/>
          <w:color w:val="auto"/>
        </w:rPr>
      </w:pPr>
    </w:p>
    <w:p>
      <w:pPr>
        <w:ind w:left="200" w:right="340"/>
        <w:spacing w:after="0" w:line="277" w:lineRule="auto"/>
        <w:rPr>
          <w:sz w:val="20"/>
          <w:szCs w:val="20"/>
          <w:color w:val="auto"/>
        </w:rPr>
      </w:pPr>
      <w:r>
        <w:rPr>
          <w:rFonts w:ascii="Arial" w:cs="Arial" w:eastAsia="Arial" w:hAnsi="Arial"/>
          <w:sz w:val="18"/>
          <w:szCs w:val="18"/>
          <w:color w:val="465361"/>
        </w:rPr>
        <w:t>Our common stock is listed on the NASDAQ Global Select Market under the symbol “FLDM.” The last reported sale price of our common stock on December 11, 2018 was $7.59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203200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200" w:right="300"/>
        <w:spacing w:after="0" w:line="282" w:lineRule="auto"/>
        <w:rPr>
          <w:rFonts w:ascii="Arial" w:cs="Arial" w:eastAsia="Arial" w:hAnsi="Arial"/>
          <w:sz w:val="18"/>
          <w:szCs w:val="18"/>
          <w:b w:val="1"/>
          <w:bCs w:val="1"/>
          <w:color w:val="465361"/>
        </w:rPr>
      </w:pPr>
      <w:r>
        <w:rPr>
          <w:rFonts w:ascii="Arial" w:cs="Arial" w:eastAsia="Arial" w:hAnsi="Arial"/>
          <w:sz w:val="18"/>
          <w:szCs w:val="18"/>
          <w:b w:val="1"/>
          <w:bCs w:val="1"/>
          <w:color w:val="465361"/>
        </w:rPr>
        <w:t>Our business and an investment in our common stock involves significant risks. See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465361"/>
        </w:rPr>
        <w:t>” beginning on page S-6 of this prospectus supplement.</w:t>
      </w:r>
    </w:p>
    <w:p>
      <w:pPr>
        <w:spacing w:after="0" w:line="162" w:lineRule="exact"/>
        <w:rPr>
          <w:sz w:val="24"/>
          <w:szCs w:val="24"/>
          <w:color w:val="auto"/>
        </w:rPr>
      </w:pPr>
    </w:p>
    <w:p>
      <w:pPr>
        <w:jc w:val="both"/>
        <w:ind w:left="200" w:right="20"/>
        <w:spacing w:after="0" w:line="266" w:lineRule="auto"/>
        <w:rPr>
          <w:sz w:val="20"/>
          <w:szCs w:val="20"/>
          <w:color w:val="auto"/>
        </w:rPr>
      </w:pPr>
      <w:r>
        <w:rPr>
          <w:rFonts w:ascii="Arial" w:cs="Arial" w:eastAsia="Arial" w:hAnsi="Arial"/>
          <w:sz w:val="18"/>
          <w:szCs w:val="18"/>
          <w:b w:val="1"/>
          <w:bCs w:val="1"/>
          <w:color w:val="465361"/>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226695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260985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465361"/>
                <w:w w:val="91"/>
              </w:rPr>
              <w:t>Per Share</w:t>
            </w:r>
          </w:p>
        </w:tc>
        <w:tc>
          <w:tcPr>
            <w:tcW w:w="500" w:type="dxa"/>
            <w:vAlign w:val="bottom"/>
          </w:tcPr>
          <w:p>
            <w:pPr>
              <w:spacing w:after="0"/>
              <w:rPr>
                <w:sz w:val="14"/>
                <w:szCs w:val="14"/>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465361"/>
              </w:rPr>
              <w:t>Total</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465361"/>
              </w:rPr>
              <w:t>Public offering price</w:t>
            </w:r>
          </w:p>
        </w:tc>
        <w:tc>
          <w:tcPr>
            <w:tcW w:w="29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92"/>
              </w:rPr>
              <w:t>$  6.750</w:t>
            </w:r>
          </w:p>
        </w:tc>
        <w:tc>
          <w:tcPr>
            <w:tcW w:w="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5"/>
              </w:rPr>
              <w:t>$ 55,012,500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465361"/>
              </w:rPr>
              <w:t>Underwriting discounts and commissions</w:t>
            </w:r>
          </w:p>
        </w:tc>
        <w:tc>
          <w:tcPr>
            <w:tcW w:w="3580" w:type="dxa"/>
            <w:vAlign w:val="bottom"/>
            <w:gridSpan w:val="2"/>
          </w:tcPr>
          <w:p>
            <w:pPr>
              <w:jc w:val="right"/>
              <w:spacing w:after="0"/>
              <w:rPr>
                <w:sz w:val="20"/>
                <w:szCs w:val="20"/>
                <w:color w:val="auto"/>
              </w:rPr>
            </w:pPr>
            <w:r>
              <w:rPr>
                <w:rFonts w:ascii="Arial" w:cs="Arial" w:eastAsia="Arial" w:hAnsi="Arial"/>
                <w:sz w:val="18"/>
                <w:szCs w:val="18"/>
                <w:color w:val="465361"/>
              </w:rPr>
              <w:t>0.405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465361"/>
              </w:rPr>
              <w:t>3,300,750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6.345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51,711,750</w:t>
            </w:r>
          </w:p>
        </w:tc>
        <w:tc>
          <w:tcPr>
            <w:tcW w:w="8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465361"/>
            </w:tcBorders>
          </w:tcPr>
          <w:p>
            <w:pPr>
              <w:spacing w:after="0"/>
              <w:rPr>
                <w:sz w:val="14"/>
                <w:szCs w:val="14"/>
                <w:color w:val="auto"/>
              </w:rPr>
            </w:pPr>
          </w:p>
        </w:tc>
        <w:tc>
          <w:tcPr>
            <w:tcW w:w="2960" w:type="dxa"/>
            <w:vAlign w:val="bottom"/>
            <w:tcBorders>
              <w:bottom w:val="single" w:sz="8" w:color="465361"/>
            </w:tcBorders>
          </w:tcPr>
          <w:p>
            <w:pPr>
              <w:spacing w:after="0"/>
              <w:rPr>
                <w:sz w:val="14"/>
                <w:szCs w:val="14"/>
                <w:color w:val="auto"/>
              </w:rPr>
            </w:pPr>
          </w:p>
        </w:tc>
        <w:tc>
          <w:tcPr>
            <w:tcW w:w="620" w:type="dxa"/>
            <w:vAlign w:val="bottom"/>
            <w:tcBorders>
              <w:bottom w:val="single" w:sz="8" w:color="465361"/>
            </w:tcBorders>
          </w:tcPr>
          <w:p>
            <w:pPr>
              <w:spacing w:after="0"/>
              <w:rPr>
                <w:sz w:val="14"/>
                <w:szCs w:val="14"/>
                <w:color w:val="auto"/>
              </w:rPr>
            </w:pPr>
          </w:p>
        </w:tc>
        <w:tc>
          <w:tcPr>
            <w:tcW w:w="500" w:type="dxa"/>
            <w:vAlign w:val="bottom"/>
            <w:tcBorders>
              <w:bottom w:val="single" w:sz="8" w:color="465361"/>
            </w:tcBorders>
          </w:tcPr>
          <w:p>
            <w:pPr>
              <w:spacing w:after="0"/>
              <w:rPr>
                <w:sz w:val="14"/>
                <w:szCs w:val="14"/>
                <w:color w:val="auto"/>
              </w:rPr>
            </w:pPr>
          </w:p>
        </w:tc>
        <w:tc>
          <w:tcPr>
            <w:tcW w:w="920" w:type="dxa"/>
            <w:vAlign w:val="bottom"/>
            <w:tcBorders>
              <w:bottom w:val="single" w:sz="8" w:color="465361"/>
            </w:tcBorders>
          </w:tcPr>
          <w:p>
            <w:pPr>
              <w:spacing w:after="0"/>
              <w:rPr>
                <w:sz w:val="14"/>
                <w:szCs w:val="14"/>
                <w:color w:val="auto"/>
              </w:rPr>
            </w:pPr>
          </w:p>
        </w:tc>
        <w:tc>
          <w:tcPr>
            <w:tcW w:w="80" w:type="dxa"/>
            <w:vAlign w:val="bottom"/>
            <w:tcBorders>
              <w:bottom w:val="single" w:sz="8" w:color="465361"/>
            </w:tcBorders>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5940" w:type="dxa"/>
            <w:vAlign w:val="bottom"/>
            <w:tcBorders>
              <w:bottom w:val="single" w:sz="8" w:color="465361"/>
            </w:tcBorders>
          </w:tcPr>
          <w:p>
            <w:pPr>
              <w:spacing w:after="0"/>
              <w:rPr>
                <w:sz w:val="2"/>
                <w:szCs w:val="2"/>
                <w:color w:val="auto"/>
              </w:rPr>
            </w:pPr>
          </w:p>
        </w:tc>
        <w:tc>
          <w:tcPr>
            <w:tcW w:w="2960" w:type="dxa"/>
            <w:vAlign w:val="bottom"/>
            <w:tcBorders>
              <w:bottom w:val="single" w:sz="8" w:color="465361"/>
            </w:tcBorders>
          </w:tcPr>
          <w:p>
            <w:pPr>
              <w:spacing w:after="0"/>
              <w:rPr>
                <w:sz w:val="2"/>
                <w:szCs w:val="2"/>
                <w:color w:val="auto"/>
              </w:rPr>
            </w:pPr>
          </w:p>
        </w:tc>
        <w:tc>
          <w:tcPr>
            <w:tcW w:w="620" w:type="dxa"/>
            <w:vAlign w:val="bottom"/>
            <w:tcBorders>
              <w:bottom w:val="single" w:sz="8" w:color="465361"/>
            </w:tcBorders>
          </w:tcPr>
          <w:p>
            <w:pPr>
              <w:spacing w:after="0"/>
              <w:rPr>
                <w:sz w:val="2"/>
                <w:szCs w:val="2"/>
                <w:color w:val="auto"/>
              </w:rPr>
            </w:pPr>
          </w:p>
        </w:tc>
        <w:tc>
          <w:tcPr>
            <w:tcW w:w="500" w:type="dxa"/>
            <w:vAlign w:val="bottom"/>
            <w:tcBorders>
              <w:bottom w:val="single" w:sz="8" w:color="465361"/>
            </w:tcBorders>
          </w:tcPr>
          <w:p>
            <w:pPr>
              <w:spacing w:after="0"/>
              <w:rPr>
                <w:sz w:val="2"/>
                <w:szCs w:val="2"/>
                <w:color w:val="auto"/>
              </w:rPr>
            </w:pPr>
          </w:p>
        </w:tc>
        <w:tc>
          <w:tcPr>
            <w:tcW w:w="920" w:type="dxa"/>
            <w:vAlign w:val="bottom"/>
            <w:tcBorders>
              <w:bottom w:val="single" w:sz="8" w:color="465361"/>
            </w:tcBorders>
          </w:tcPr>
          <w:p>
            <w:pPr>
              <w:spacing w:after="0"/>
              <w:rPr>
                <w:sz w:val="2"/>
                <w:szCs w:val="2"/>
                <w:color w:val="auto"/>
              </w:rPr>
            </w:pPr>
          </w:p>
        </w:tc>
        <w:tc>
          <w:tcPr>
            <w:tcW w:w="80" w:type="dxa"/>
            <w:vAlign w:val="bottom"/>
            <w:tcBorders>
              <w:bottom w:val="single" w:sz="8" w:color="465361"/>
            </w:tcBorders>
          </w:tcPr>
          <w:p>
            <w:pPr>
              <w:spacing w:after="0"/>
              <w:rPr>
                <w:sz w:val="2"/>
                <w:szCs w:val="2"/>
                <w:color w:val="auto"/>
              </w:rPr>
            </w:pPr>
          </w:p>
        </w:tc>
      </w:tr>
    </w:tbl>
    <w:p>
      <w:pPr>
        <w:spacing w:after="0" w:line="202" w:lineRule="exact"/>
        <w:rPr>
          <w:sz w:val="24"/>
          <w:szCs w:val="24"/>
          <w:color w:val="auto"/>
        </w:rPr>
      </w:pPr>
    </w:p>
    <w:p>
      <w:pPr>
        <w:ind w:left="200" w:right="860"/>
        <w:spacing w:after="0" w:line="277" w:lineRule="auto"/>
        <w:rPr>
          <w:sz w:val="20"/>
          <w:szCs w:val="20"/>
          <w:color w:val="auto"/>
        </w:rPr>
      </w:pPr>
      <w:r>
        <w:rPr>
          <w:rFonts w:ascii="Arial" w:cs="Arial" w:eastAsia="Arial" w:hAnsi="Arial"/>
          <w:sz w:val="18"/>
          <w:szCs w:val="18"/>
          <w:i w:val="1"/>
          <w:iCs w:val="1"/>
          <w:color w:val="465361"/>
        </w:rPr>
        <w:t>The underwriter has a 30-day option to purchase up to 1,222,500 additional shares of common stock from us at the public offering price, less underwriting discounts and commissions.</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465361"/>
        </w:rPr>
        <w:t>The underwriters expect to deliver the shares against payment on or about December 14, 2018.</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465361"/>
        </w:rPr>
        <w:t>Joint Book-Running Managers</w:t>
      </w:r>
    </w:p>
    <w:p>
      <w:pPr>
        <w:spacing w:after="0" w:line="225" w:lineRule="exact"/>
        <w:rPr>
          <w:sz w:val="24"/>
          <w:szCs w:val="24"/>
          <w:color w:val="auto"/>
        </w:rPr>
      </w:pPr>
    </w:p>
    <w:p>
      <w:pPr>
        <w:ind w:left="200"/>
        <w:spacing w:after="0"/>
        <w:tabs>
          <w:tab w:leader="none" w:pos="8120" w:val="left"/>
        </w:tabs>
        <w:rPr>
          <w:sz w:val="20"/>
          <w:szCs w:val="20"/>
          <w:color w:val="auto"/>
        </w:rPr>
      </w:pPr>
      <w:r>
        <w:rPr>
          <w:rFonts w:ascii="Arial" w:cs="Arial" w:eastAsia="Arial" w:hAnsi="Arial"/>
          <w:sz w:val="32"/>
          <w:szCs w:val="32"/>
          <w:b w:val="1"/>
          <w:bCs w:val="1"/>
          <w:color w:val="465361"/>
        </w:rPr>
        <w:t>Piper Jaffray</w:t>
      </w:r>
      <w:r>
        <w:rPr>
          <w:sz w:val="20"/>
          <w:szCs w:val="20"/>
          <w:color w:val="auto"/>
        </w:rPr>
        <w:tab/>
      </w:r>
      <w:r>
        <w:rPr>
          <w:rFonts w:ascii="Arial" w:cs="Arial" w:eastAsia="Arial" w:hAnsi="Arial"/>
          <w:sz w:val="29"/>
          <w:szCs w:val="29"/>
          <w:b w:val="1"/>
          <w:bCs w:val="1"/>
          <w:color w:val="465361"/>
        </w:rPr>
        <w:t>UBS Investment Bank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465361"/>
        </w:rPr>
        <w:t>Co-Managers</w:t>
      </w:r>
    </w:p>
    <w:p>
      <w:pPr>
        <w:spacing w:after="0" w:line="343" w:lineRule="exact"/>
        <w:rPr>
          <w:sz w:val="24"/>
          <w:szCs w:val="24"/>
          <w:color w:val="auto"/>
        </w:rPr>
      </w:pPr>
    </w:p>
    <w:p>
      <w:pPr>
        <w:ind w:left="200"/>
        <w:spacing w:after="0"/>
        <w:tabs>
          <w:tab w:leader="none" w:pos="10480" w:val="left"/>
        </w:tabs>
        <w:rPr>
          <w:sz w:val="20"/>
          <w:szCs w:val="20"/>
          <w:color w:val="auto"/>
        </w:rPr>
      </w:pPr>
      <w:r>
        <w:rPr>
          <w:rFonts w:ascii="Arial" w:cs="Arial" w:eastAsia="Arial" w:hAnsi="Arial"/>
          <w:sz w:val="29"/>
          <w:szCs w:val="29"/>
          <w:b w:val="1"/>
          <w:bCs w:val="1"/>
          <w:color w:val="465361"/>
        </w:rPr>
        <w:t>Janney Montgomery Scott</w:t>
      </w:r>
      <w:r>
        <w:rPr>
          <w:sz w:val="20"/>
          <w:szCs w:val="20"/>
          <w:color w:val="auto"/>
        </w:rPr>
        <w:tab/>
      </w:r>
      <w:r>
        <w:rPr>
          <w:rFonts w:ascii="Arial" w:cs="Arial" w:eastAsia="Arial" w:hAnsi="Arial"/>
          <w:sz w:val="29"/>
          <w:szCs w:val="29"/>
          <w:b w:val="1"/>
          <w:bCs w:val="1"/>
          <w:color w:val="465361"/>
        </w:rPr>
        <w:t>BTIG</w:t>
      </w:r>
    </w:p>
    <w:p>
      <w:pPr>
        <w:sectPr>
          <w:pgSz w:w="11900" w:h="16838" w:orient="portrait"/>
          <w:cols w:equalWidth="0" w:num="1">
            <w:col w:w="11240"/>
          </w:cols>
          <w:pgMar w:left="240" w:top="230" w:right="419" w:bottom="1440" w:gutter="0" w:footer="0" w:header="0"/>
        </w:sectPr>
      </w:pP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465361"/>
        </w:rPr>
        <w:t>Prospectus Supplement dated December 11, 2018.</w:t>
      </w:r>
    </w:p>
    <w:p>
      <w:pPr>
        <w:sectPr>
          <w:pgSz w:w="11900" w:h="16838" w:orient="portrait"/>
          <w:cols w:equalWidth="0" w:num="1">
            <w:col w:w="1124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8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r>
      <w:tr>
        <w:trPr>
          <w:trHeight w:val="534"/>
        </w:trPr>
        <w:tc>
          <w:tcPr>
            <w:tcW w:w="1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20" w:type="dxa"/>
            <w:vAlign w:val="bottom"/>
            <w:gridSpan w:val="4"/>
          </w:tcPr>
          <w:p>
            <w:pPr>
              <w:jc w:val="center"/>
              <w:ind w:right="2800"/>
              <w:spacing w:after="0"/>
              <w:rPr>
                <w:sz w:val="20"/>
                <w:szCs w:val="20"/>
                <w:color w:val="auto"/>
              </w:rPr>
            </w:pPr>
            <w:r>
              <w:rPr>
                <w:rFonts w:ascii="Arial" w:cs="Arial" w:eastAsia="Arial" w:hAnsi="Arial"/>
                <w:sz w:val="18"/>
                <w:szCs w:val="18"/>
                <w:b w:val="1"/>
                <w:bCs w:val="1"/>
                <w:color w:val="465361"/>
                <w:w w:val="98"/>
              </w:rPr>
              <w:t>TABLE OF CONTENTS</w:t>
            </w:r>
          </w:p>
        </w:tc>
        <w:tc>
          <w:tcPr>
            <w:tcW w:w="380" w:type="dxa"/>
            <w:vAlign w:val="bottom"/>
          </w:tcPr>
          <w:p>
            <w:pPr>
              <w:spacing w:after="0"/>
              <w:rPr>
                <w:sz w:val="24"/>
                <w:szCs w:val="24"/>
                <w:color w:val="auto"/>
              </w:rPr>
            </w:pPr>
          </w:p>
        </w:tc>
      </w:tr>
      <w:tr>
        <w:trPr>
          <w:trHeight w:val="459"/>
        </w:trPr>
        <w:tc>
          <w:tcPr>
            <w:tcW w:w="1320" w:type="dxa"/>
            <w:vAlign w:val="bottom"/>
          </w:tcPr>
          <w:p>
            <w:pPr>
              <w:spacing w:after="0"/>
              <w:rPr>
                <w:sz w:val="24"/>
                <w:szCs w:val="24"/>
                <w:color w:val="auto"/>
              </w:rPr>
            </w:pPr>
          </w:p>
        </w:tc>
        <w:tc>
          <w:tcPr>
            <w:tcW w:w="8360" w:type="dxa"/>
            <w:vAlign w:val="bottom"/>
            <w:gridSpan w:val="22"/>
          </w:tcPr>
          <w:p>
            <w:pPr>
              <w:spacing w:after="0"/>
              <w:rPr>
                <w:sz w:val="20"/>
                <w:szCs w:val="20"/>
                <w:color w:val="auto"/>
              </w:rPr>
            </w:pPr>
            <w:r>
              <w:rPr>
                <w:rFonts w:ascii="Arial" w:cs="Arial" w:eastAsia="Arial" w:hAnsi="Arial"/>
                <w:sz w:val="18"/>
                <w:szCs w:val="18"/>
                <w:b w:val="1"/>
                <w:bCs w:val="1"/>
                <w:color w:val="465361"/>
              </w:rPr>
              <w:t>Prospectus Supplement</w:t>
            </w:r>
          </w:p>
        </w:tc>
        <w:tc>
          <w:tcPr>
            <w:tcW w:w="380" w:type="dxa"/>
            <w:vAlign w:val="bottom"/>
            <w:tcBorders>
              <w:bottom w:val="single" w:sz="8" w:color="465361"/>
            </w:tcBorders>
          </w:tcPr>
          <w:p>
            <w:pPr>
              <w:jc w:val="right"/>
              <w:spacing w:after="0"/>
              <w:rPr>
                <w:sz w:val="20"/>
                <w:szCs w:val="20"/>
                <w:color w:val="auto"/>
              </w:rPr>
            </w:pPr>
            <w:r>
              <w:rPr>
                <w:rFonts w:ascii="Arial" w:cs="Arial" w:eastAsia="Arial" w:hAnsi="Arial"/>
                <w:sz w:val="14"/>
                <w:szCs w:val="14"/>
                <w:b w:val="1"/>
                <w:bCs w:val="1"/>
                <w:color w:val="465361"/>
                <w:w w:val="95"/>
              </w:rPr>
              <w:t>Page</w:t>
            </w:r>
          </w:p>
        </w:tc>
      </w:tr>
      <w:tr>
        <w:trPr>
          <w:trHeight w:val="264"/>
        </w:trPr>
        <w:tc>
          <w:tcPr>
            <w:tcW w:w="1320" w:type="dxa"/>
            <w:vAlign w:val="bottom"/>
          </w:tcPr>
          <w:p>
            <w:pPr>
              <w:spacing w:after="0"/>
              <w:rPr>
                <w:sz w:val="22"/>
                <w:szCs w:val="22"/>
                <w:color w:val="auto"/>
              </w:rPr>
            </w:pPr>
          </w:p>
        </w:tc>
        <w:tc>
          <w:tcPr>
            <w:tcW w:w="83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S-1</w:t>
            </w:r>
          </w:p>
        </w:tc>
      </w:tr>
      <w:tr>
        <w:trPr>
          <w:trHeight w:val="304"/>
        </w:trPr>
        <w:tc>
          <w:tcPr>
            <w:tcW w:w="1320" w:type="dxa"/>
            <w:vAlign w:val="bottom"/>
          </w:tcPr>
          <w:p>
            <w:pPr>
              <w:spacing w:after="0"/>
              <w:rPr>
                <w:sz w:val="24"/>
                <w:szCs w:val="24"/>
                <w:color w:val="auto"/>
              </w:rPr>
            </w:pP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10"/>
          </w:tcPr>
          <w:p>
            <w:pPr>
              <w:spacing w:after="0"/>
              <w:rPr>
                <w:sz w:val="24"/>
                <w:szCs w:val="24"/>
                <w:color w:val="auto"/>
              </w:rPr>
            </w:pPr>
          </w:p>
        </w:tc>
        <w:tc>
          <w:tcPr>
            <w:tcW w:w="594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S-6</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37</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39</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Certain U.S. Federal Income Tax Considerations for Non-U.S. Holders of Common Stock</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580" w:type="dxa"/>
            <w:vAlign w:val="bottom"/>
            <w:tcBorders>
              <w:top w:val="single" w:sz="8" w:color="0000EE"/>
            </w:tcBorders>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40</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Underwriting</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44</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51</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51</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Additional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51</w:t>
            </w:r>
          </w:p>
        </w:tc>
      </w:tr>
      <w:tr>
        <w:trPr>
          <w:trHeight w:val="28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Incorporation of Certain Information by Reference</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S-</w:t>
            </w:r>
          </w:p>
        </w:tc>
      </w:tr>
      <w:tr>
        <w:trPr>
          <w:trHeight w:val="237"/>
        </w:trPr>
        <w:tc>
          <w:tcPr>
            <w:tcW w:w="13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52</w:t>
            </w:r>
          </w:p>
        </w:tc>
      </w:tr>
      <w:tr>
        <w:trPr>
          <w:trHeight w:val="432"/>
        </w:trPr>
        <w:tc>
          <w:tcPr>
            <w:tcW w:w="1320" w:type="dxa"/>
            <w:vAlign w:val="bottom"/>
          </w:tcPr>
          <w:p>
            <w:pPr>
              <w:spacing w:after="0"/>
              <w:rPr>
                <w:sz w:val="24"/>
                <w:szCs w:val="24"/>
                <w:color w:val="auto"/>
              </w:rPr>
            </w:pPr>
          </w:p>
        </w:tc>
        <w:tc>
          <w:tcPr>
            <w:tcW w:w="8360" w:type="dxa"/>
            <w:vAlign w:val="bottom"/>
            <w:gridSpan w:val="22"/>
          </w:tcPr>
          <w:p>
            <w:pPr>
              <w:spacing w:after="0"/>
              <w:rPr>
                <w:sz w:val="20"/>
                <w:szCs w:val="20"/>
                <w:color w:val="auto"/>
              </w:rPr>
            </w:pPr>
            <w:r>
              <w:rPr>
                <w:rFonts w:ascii="Arial" w:cs="Arial" w:eastAsia="Arial" w:hAnsi="Arial"/>
                <w:sz w:val="18"/>
                <w:szCs w:val="18"/>
                <w:b w:val="1"/>
                <w:bCs w:val="1"/>
                <w:color w:val="465361"/>
              </w:rPr>
              <w:t>Prospectus</w:t>
            </w:r>
          </w:p>
        </w:tc>
        <w:tc>
          <w:tcPr>
            <w:tcW w:w="380" w:type="dxa"/>
            <w:vAlign w:val="bottom"/>
            <w:tcBorders>
              <w:bottom w:val="single" w:sz="8" w:color="465361"/>
            </w:tcBorders>
          </w:tcPr>
          <w:p>
            <w:pPr>
              <w:jc w:val="right"/>
              <w:spacing w:after="0"/>
              <w:rPr>
                <w:sz w:val="20"/>
                <w:szCs w:val="20"/>
                <w:color w:val="auto"/>
              </w:rPr>
            </w:pPr>
            <w:r>
              <w:rPr>
                <w:rFonts w:ascii="Arial" w:cs="Arial" w:eastAsia="Arial" w:hAnsi="Arial"/>
                <w:sz w:val="14"/>
                <w:szCs w:val="14"/>
                <w:b w:val="1"/>
                <w:bCs w:val="1"/>
                <w:color w:val="465361"/>
                <w:w w:val="95"/>
              </w:rPr>
              <w:t>Page</w:t>
            </w:r>
          </w:p>
        </w:tc>
      </w:tr>
      <w:tr>
        <w:trPr>
          <w:trHeight w:val="264"/>
        </w:trPr>
        <w:tc>
          <w:tcPr>
            <w:tcW w:w="1320" w:type="dxa"/>
            <w:vAlign w:val="bottom"/>
          </w:tcPr>
          <w:p>
            <w:pPr>
              <w:spacing w:after="0"/>
              <w:rPr>
                <w:sz w:val="22"/>
                <w:szCs w:val="22"/>
                <w:color w:val="auto"/>
              </w:rPr>
            </w:pPr>
          </w:p>
        </w:tc>
        <w:tc>
          <w:tcPr>
            <w:tcW w:w="16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About This Prospectus</w:t>
              </w:r>
            </w:hyperlink>
          </w:p>
        </w:tc>
        <w:tc>
          <w:tcPr>
            <w:tcW w:w="6720" w:type="dxa"/>
            <w:vAlign w:val="bottom"/>
            <w:gridSpan w:val="1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1</w:t>
            </w:r>
          </w:p>
        </w:tc>
      </w:tr>
      <w:tr>
        <w:trPr>
          <w:trHeight w:val="304"/>
        </w:trPr>
        <w:tc>
          <w:tcPr>
            <w:tcW w:w="1320" w:type="dxa"/>
            <w:vAlign w:val="bottom"/>
          </w:tcPr>
          <w:p>
            <w:pPr>
              <w:spacing w:after="0"/>
              <w:rPr>
                <w:sz w:val="24"/>
                <w:szCs w:val="24"/>
                <w:color w:val="auto"/>
              </w:rPr>
            </w:pPr>
          </w:p>
        </w:tc>
        <w:tc>
          <w:tcPr>
            <w:tcW w:w="15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Prospectus Summary</w:t>
              </w:r>
            </w:hyperlink>
          </w:p>
        </w:tc>
        <w:tc>
          <w:tcPr>
            <w:tcW w:w="68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w:t>
            </w:r>
          </w:p>
        </w:tc>
      </w:tr>
      <w:tr>
        <w:trPr>
          <w:trHeight w:val="304"/>
        </w:trPr>
        <w:tc>
          <w:tcPr>
            <w:tcW w:w="132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Risk Factors</w:t>
              </w:r>
            </w:hyperlink>
          </w:p>
        </w:tc>
        <w:tc>
          <w:tcPr>
            <w:tcW w:w="74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5</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Forward-Looking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5</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25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Ratio of Earnings to Fixed Charges</w:t>
              </w:r>
            </w:hyperlink>
          </w:p>
        </w:tc>
        <w:tc>
          <w:tcPr>
            <w:tcW w:w="58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6</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6</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6</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23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Description of Our Capital Stock</w:t>
              </w:r>
            </w:hyperlink>
          </w:p>
        </w:tc>
        <w:tc>
          <w:tcPr>
            <w:tcW w:w="59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7</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Description of the Debt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14</w:t>
            </w:r>
          </w:p>
        </w:tc>
      </w:tr>
      <w:tr>
        <w:trPr>
          <w:trHeight w:val="304"/>
        </w:trPr>
        <w:tc>
          <w:tcPr>
            <w:tcW w:w="1320" w:type="dxa"/>
            <w:vAlign w:val="bottom"/>
          </w:tcPr>
          <w:p>
            <w:pPr>
              <w:spacing w:after="0"/>
              <w:rPr>
                <w:sz w:val="24"/>
                <w:szCs w:val="24"/>
                <w:color w:val="auto"/>
              </w:rPr>
            </w:pPr>
          </w:p>
        </w:tc>
        <w:tc>
          <w:tcPr>
            <w:tcW w:w="2440" w:type="dxa"/>
            <w:vAlign w:val="bottom"/>
            <w:tcBorders>
              <w:top w:val="single" w:sz="8" w:color="0000EE"/>
            </w:tcBorders>
            <w:gridSpan w:val="1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Description of the Warrants</w:t>
              </w:r>
            </w:hyperlink>
          </w:p>
        </w:tc>
        <w:tc>
          <w:tcPr>
            <w:tcW w:w="59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25</w:t>
            </w:r>
          </w:p>
        </w:tc>
      </w:tr>
      <w:tr>
        <w:trPr>
          <w:trHeight w:val="304"/>
        </w:trPr>
        <w:tc>
          <w:tcPr>
            <w:tcW w:w="1320" w:type="dxa"/>
            <w:vAlign w:val="bottom"/>
          </w:tcPr>
          <w:p>
            <w:pPr>
              <w:spacing w:after="0"/>
              <w:rPr>
                <w:sz w:val="24"/>
                <w:szCs w:val="24"/>
                <w:color w:val="auto"/>
              </w:rPr>
            </w:pPr>
          </w:p>
        </w:tc>
        <w:tc>
          <w:tcPr>
            <w:tcW w:w="1980" w:type="dxa"/>
            <w:vAlign w:val="bottom"/>
            <w:tcBorders>
              <w:top w:val="single" w:sz="8" w:color="0000EE"/>
            </w:tcBorders>
            <w:gridSpan w:val="1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Plan of Distribution</w:t>
              </w:r>
            </w:hyperlink>
          </w:p>
        </w:tc>
        <w:tc>
          <w:tcPr>
            <w:tcW w:w="638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26</w:t>
            </w:r>
          </w:p>
        </w:tc>
      </w:tr>
      <w:tr>
        <w:trPr>
          <w:trHeight w:val="304"/>
        </w:trPr>
        <w:tc>
          <w:tcPr>
            <w:tcW w:w="132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2"/>
          </w:tcPr>
          <w:p>
            <w:pPr>
              <w:spacing w:after="0"/>
              <w:rPr>
                <w:sz w:val="24"/>
                <w:szCs w:val="24"/>
                <w:color w:val="auto"/>
              </w:rPr>
            </w:pPr>
          </w:p>
        </w:tc>
        <w:tc>
          <w:tcPr>
            <w:tcW w:w="694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29</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Experts</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29</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20" w:type="dxa"/>
            <w:vAlign w:val="bottom"/>
          </w:tcPr>
          <w:p>
            <w:pPr>
              <w:spacing w:after="0"/>
              <w:rPr>
                <w:sz w:val="24"/>
                <w:szCs w:val="24"/>
                <w:color w:val="auto"/>
              </w:rPr>
            </w:pPr>
          </w:p>
        </w:tc>
        <w:tc>
          <w:tcPr>
            <w:tcW w:w="28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Where You Can Find More Information</w:t>
              </w:r>
            </w:hyperlink>
          </w:p>
        </w:tc>
        <w:tc>
          <w:tcPr>
            <w:tcW w:w="55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65361"/>
              </w:rPr>
              <w:t>29</w:t>
            </w:r>
          </w:p>
        </w:tc>
      </w:tr>
      <w:tr>
        <w:trPr>
          <w:trHeight w:val="304"/>
        </w:trPr>
        <w:tc>
          <w:tcPr>
            <w:tcW w:w="1320" w:type="dxa"/>
            <w:vAlign w:val="bottom"/>
          </w:tcPr>
          <w:p>
            <w:pPr>
              <w:spacing w:after="0"/>
              <w:rPr>
                <w:sz w:val="24"/>
                <w:szCs w:val="24"/>
                <w:color w:val="auto"/>
              </w:rPr>
            </w:pPr>
          </w:p>
        </w:tc>
        <w:tc>
          <w:tcPr>
            <w:tcW w:w="836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Information Incorporated by Reference</w:t>
              </w:r>
            </w:hyperlink>
          </w:p>
        </w:tc>
        <w:tc>
          <w:tcPr>
            <w:tcW w:w="380" w:type="dxa"/>
            <w:vAlign w:val="bottom"/>
          </w:tcPr>
          <w:p>
            <w:pPr>
              <w:jc w:val="right"/>
              <w:spacing w:after="0"/>
              <w:rPr>
                <w:sz w:val="20"/>
                <w:szCs w:val="20"/>
                <w:color w:val="auto"/>
              </w:rPr>
            </w:pPr>
            <w:r>
              <w:rPr>
                <w:rFonts w:ascii="Arial" w:cs="Arial" w:eastAsia="Arial" w:hAnsi="Arial"/>
                <w:sz w:val="18"/>
                <w:szCs w:val="18"/>
                <w:color w:val="465361"/>
              </w:rPr>
              <w:t>30</w:t>
            </w:r>
          </w:p>
        </w:tc>
      </w:tr>
      <w:tr>
        <w:trPr>
          <w:trHeight w:val="385"/>
        </w:trPr>
        <w:tc>
          <w:tcPr>
            <w:tcW w:w="1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2"/>
          </w:tcPr>
          <w:p>
            <w:pPr>
              <w:jc w:val="center"/>
              <w:ind w:right="3460"/>
              <w:spacing w:after="0"/>
              <w:rPr>
                <w:sz w:val="20"/>
                <w:szCs w:val="20"/>
                <w:color w:val="auto"/>
              </w:rPr>
            </w:pPr>
            <w:r>
              <w:rPr>
                <w:rFonts w:ascii="Arial" w:cs="Arial" w:eastAsia="Arial" w:hAnsi="Arial"/>
                <w:sz w:val="18"/>
                <w:szCs w:val="18"/>
                <w:color w:val="465361"/>
                <w:w w:val="99"/>
              </w:rPr>
              <w:t>S-i</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465361"/>
        </w:rPr>
        <w:t>ABOUT THIS PROSPECTUS SUPPLEMENT</w:t>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465361"/>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Additional Information” on page S-51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7"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465361"/>
        </w:rPr>
        <w:t>We have not, and the underwriters have not, authorized any other person to provide you with any information that is different than that contained or incorporated by reference in this prospectus supplement, the accompanying prospectus and any related free writing prospectus that we provide you in connection with the offering.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465361"/>
        </w:rPr>
        <w:t>S-ii</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465361"/>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-129540</wp:posOffset>
            </wp:positionV>
            <wp:extent cx="7002145" cy="509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5098415"/>
                    </a:xfrm>
                    <a:prstGeom prst="rect">
                      <a:avLst/>
                    </a:prstGeom>
                    <a:noFill/>
                  </pic:spPr>
                </pic:pic>
              </a:graphicData>
            </a:graphic>
          </wp:anchor>
        </w:drawing>
      </w:r>
    </w:p>
    <w:p>
      <w:pPr>
        <w:spacing w:after="0" w:line="209"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i w:val="1"/>
          <w:iCs w:val="1"/>
          <w:color w:val="465361"/>
        </w:rPr>
        <w:t>This summary highlights selected information about us, this offering and information appearing elsewhere in this prospectus supplement, in the accompanying prospectus and in the documents we incorporate by reference.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S-6 of this prospectus supplement, the financial statements, and related notes, and the other information that we incorporated by reference herein, including our Annual Report on Form 10-K for the year ended December 31, 2017, our Quarterly Reports on Form 10-Q and our other filings with the SEC that we file from time to time. Unless otherwise indicated or the context otherwise requires, all references in this prospectus supplement to “Fluidigm,” the “Company,” “we,” “us,” and “our” mean Fluidigm Corporation and its subsidiaries.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65361"/>
        </w:rPr>
        <w:t>Fluidigm Corporation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65361"/>
        </w:rPr>
        <w:t>Overview</w:t>
      </w:r>
    </w:p>
    <w:p>
      <w:pPr>
        <w:spacing w:after="0" w:line="117" w:lineRule="exact"/>
        <w:rPr>
          <w:sz w:val="20"/>
          <w:szCs w:val="20"/>
          <w:color w:val="auto"/>
        </w:rPr>
      </w:pPr>
    </w:p>
    <w:p>
      <w:pPr>
        <w:ind w:left="220" w:right="160"/>
        <w:spacing w:after="0" w:line="257" w:lineRule="auto"/>
        <w:rPr>
          <w:sz w:val="20"/>
          <w:szCs w:val="20"/>
          <w:color w:val="auto"/>
        </w:rPr>
      </w:pPr>
      <w:r>
        <w:rPr>
          <w:rFonts w:ascii="Arial" w:cs="Arial" w:eastAsia="Arial" w:hAnsi="Arial"/>
          <w:sz w:val="18"/>
          <w:szCs w:val="18"/>
          <w:color w:val="465361"/>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88"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465361"/>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left="220" w:right="40"/>
        <w:spacing w:after="0" w:line="259" w:lineRule="auto"/>
        <w:rPr>
          <w:sz w:val="20"/>
          <w:szCs w:val="20"/>
          <w:color w:val="auto"/>
        </w:rPr>
      </w:pPr>
      <w:r>
        <w:rPr>
          <w:rFonts w:ascii="Arial" w:cs="Arial" w:eastAsia="Arial" w:hAnsi="Arial"/>
          <w:sz w:val="18"/>
          <w:szCs w:val="18"/>
          <w:color w:val="465361"/>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187"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465361"/>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our IFCs for commercial sale and some IFCs for our research and development purposes also are fabricated at our Singapore facility. Our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157480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213995</wp:posOffset>
            </wp:positionV>
            <wp:extent cx="7002145" cy="2377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237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6"/>
          <w:szCs w:val="16"/>
          <w:color w:val="465361"/>
        </w:rPr>
        <w:t>cytometry instruments for commercial sale, as well as for internal research and development purposes, are manufactured at our facility in Canada.</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465361"/>
        </w:rPr>
        <w:t>We also manufacture assays and reagents at our facilities in the United States.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465361"/>
        </w:rPr>
        <w:t>Corporate Information</w:t>
      </w:r>
    </w:p>
    <w:p>
      <w:pPr>
        <w:spacing w:after="0" w:line="117" w:lineRule="exact"/>
        <w:rPr>
          <w:sz w:val="20"/>
          <w:szCs w:val="20"/>
          <w:color w:val="auto"/>
        </w:rPr>
      </w:pPr>
    </w:p>
    <w:p>
      <w:pPr>
        <w:ind w:left="380" w:right="380"/>
        <w:spacing w:after="0" w:line="264" w:lineRule="auto"/>
        <w:rPr>
          <w:sz w:val="20"/>
          <w:szCs w:val="20"/>
          <w:color w:val="auto"/>
        </w:rPr>
      </w:pPr>
      <w:r>
        <w:rPr>
          <w:rFonts w:ascii="Arial" w:cs="Arial" w:eastAsia="Arial" w:hAnsi="Arial"/>
          <w:sz w:val="18"/>
          <w:szCs w:val="18"/>
          <w:color w:val="465361"/>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w:t>
      </w:r>
    </w:p>
    <w:p>
      <w:pPr>
        <w:spacing w:after="0" w:line="181" w:lineRule="exact"/>
        <w:rPr>
          <w:sz w:val="20"/>
          <w:szCs w:val="20"/>
          <w:color w:val="auto"/>
        </w:rPr>
      </w:pPr>
    </w:p>
    <w:p>
      <w:pPr>
        <w:ind w:left="380"/>
        <w:spacing w:after="0" w:line="308" w:lineRule="auto"/>
        <w:rPr>
          <w:sz w:val="20"/>
          <w:szCs w:val="20"/>
          <w:color w:val="auto"/>
        </w:rPr>
      </w:pPr>
      <w:r>
        <w:rPr>
          <w:rFonts w:ascii="Arial" w:cs="Arial" w:eastAsia="Arial" w:hAnsi="Arial"/>
          <w:sz w:val="17"/>
          <w:szCs w:val="17"/>
          <w:color w:val="465361"/>
        </w:rPr>
        <w:t>Our telephone number is (650) 266-6000. We maintain an Internet website at www.fluidigm.com. We have not incorporated the information on our website by reference into this prospectus supplement, and you should not consider it to be a part of this prospectus supplement.</w:t>
      </w:r>
    </w:p>
    <w:p>
      <w:pPr>
        <w:spacing w:after="0" w:line="147" w:lineRule="exact"/>
        <w:rPr>
          <w:sz w:val="20"/>
          <w:szCs w:val="20"/>
          <w:color w:val="auto"/>
        </w:rPr>
      </w:pPr>
    </w:p>
    <w:p>
      <w:pPr>
        <w:ind w:left="380" w:right="160"/>
        <w:spacing w:after="0" w:line="259" w:lineRule="auto"/>
        <w:rPr>
          <w:sz w:val="20"/>
          <w:szCs w:val="20"/>
          <w:color w:val="auto"/>
        </w:rPr>
      </w:pPr>
      <w:r>
        <w:rPr>
          <w:rFonts w:ascii="Arial" w:cs="Arial" w:eastAsia="Arial" w:hAnsi="Arial"/>
          <w:sz w:val="18"/>
          <w:szCs w:val="18"/>
          <w:color w:val="465361"/>
        </w:rPr>
        <w:t>“Fluidigm,” the Fluidigm logo, “Access Array,” “Advanta,” “Biomark,” “C1,” “Callisto,” “CyTOF,” “Delta Gene,” “EP1,” “Flex Six,” “Helios,” “Hyperion,” “Imaging Mass Cytometry,” “Juno,” “Polaris,” and “SNP Type” are our trademarks or registered trademarks. Other service marks, trademarks and trade names appearing or incorporated by reference into this prospectus supplement and the accompanying prospectus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153670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465361"/>
        </w:rPr>
        <w:t>S-2</w:t>
      </w:r>
    </w:p>
    <w:p>
      <w:pPr>
        <w:sectPr>
          <w:pgSz w:w="11900" w:h="16838" w:orient="portrait"/>
          <w:cols w:equalWidth="0" w:num="1">
            <w:col w:w="10980"/>
          </w:cols>
          <w:pgMar w:left="240" w:top="459" w:right="67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228600</wp:posOffset>
            </wp:positionV>
            <wp:extent cx="7002145" cy="524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24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465361"/>
        </w:rPr>
        <w:t>The Offering</w:t>
      </w:r>
    </w:p>
    <w:p>
      <w:pPr>
        <w:sectPr>
          <w:pgSz w:w="11900" w:h="16838" w:orient="portrait"/>
          <w:cols w:equalWidth="0" w:num="1">
            <w:col w:w="11040"/>
          </w:cols>
          <w:pgMar w:left="240" w:top="459" w:right="619" w:bottom="1440" w:gutter="0" w:footer="0" w:header="0"/>
        </w:sectPr>
      </w:pPr>
    </w:p>
    <w:p>
      <w:pPr>
        <w:spacing w:after="0" w:line="347" w:lineRule="exact"/>
        <w:rPr>
          <w:sz w:val="20"/>
          <w:szCs w:val="20"/>
          <w:color w:val="auto"/>
        </w:rPr>
      </w:pPr>
    </w:p>
    <w:p>
      <w:pPr>
        <w:ind w:left="380"/>
        <w:spacing w:after="0"/>
        <w:rPr>
          <w:sz w:val="20"/>
          <w:szCs w:val="20"/>
          <w:color w:val="auto"/>
        </w:rPr>
      </w:pPr>
      <w:r>
        <w:rPr>
          <w:rFonts w:ascii="Arial" w:cs="Arial" w:eastAsia="Arial" w:hAnsi="Arial"/>
          <w:sz w:val="16"/>
          <w:szCs w:val="16"/>
          <w:color w:val="465361"/>
        </w:rPr>
        <w:t>Common stock offered by us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465361"/>
        </w:rPr>
        <w:t>8,150,000 shares</w:t>
      </w:r>
    </w:p>
    <w:p>
      <w:pPr>
        <w:spacing w:after="0" w:line="111"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560" w:right="280" w:hanging="179"/>
        <w:spacing w:after="0" w:line="277" w:lineRule="auto"/>
        <w:rPr>
          <w:sz w:val="20"/>
          <w:szCs w:val="20"/>
          <w:color w:val="auto"/>
        </w:rPr>
      </w:pPr>
      <w:r>
        <w:rPr>
          <w:rFonts w:ascii="Arial" w:cs="Arial" w:eastAsia="Arial" w:hAnsi="Arial"/>
          <w:sz w:val="18"/>
          <w:szCs w:val="18"/>
          <w:color w:val="465361"/>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465361"/>
        </w:rPr>
        <w:t>47,465,785 shares</w:t>
      </w:r>
    </w:p>
    <w:p>
      <w:pPr>
        <w:spacing w:after="0" w:line="327"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465361"/>
        </w:rPr>
        <w:t>Option to purchase additional shares</w:t>
      </w:r>
    </w:p>
    <w:p>
      <w:pPr>
        <w:spacing w:after="0" w:line="20" w:lineRule="exact"/>
        <w:rPr>
          <w:sz w:val="20"/>
          <w:szCs w:val="20"/>
          <w:color w:val="auto"/>
        </w:rPr>
      </w:pPr>
      <w:r>
        <w:rPr>
          <w:sz w:val="20"/>
          <w:szCs w:val="20"/>
          <w:color w:val="auto"/>
        </w:rPr>
        <w:br w:type="column"/>
      </w:r>
    </w:p>
    <w:p>
      <w:pPr>
        <w:jc w:val="both"/>
        <w:ind w:right="200"/>
        <w:spacing w:after="0" w:line="264" w:lineRule="auto"/>
        <w:rPr>
          <w:sz w:val="20"/>
          <w:szCs w:val="20"/>
          <w:color w:val="auto"/>
        </w:rPr>
      </w:pPr>
      <w:r>
        <w:rPr>
          <w:rFonts w:ascii="Arial" w:cs="Arial" w:eastAsia="Arial" w:hAnsi="Arial"/>
          <w:sz w:val="18"/>
          <w:szCs w:val="18"/>
          <w:color w:val="465361"/>
        </w:rPr>
        <w:t>We have granted the underwriters a 30-day option to purchase up to 1,222,500 additional shares of common stock from us at the public offering price, less underwriting discounts and commissions.</w:t>
      </w:r>
    </w:p>
    <w:p>
      <w:pPr>
        <w:spacing w:after="0" w:line="46"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5"/>
          <w:szCs w:val="15"/>
          <w:color w:val="465361"/>
        </w:rPr>
        <w:t>Use of Proceeds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465361"/>
        </w:rPr>
        <w:t>We intend to use the net proceeds from this offering for general corporate purposes, including working capital, capital expenditures, and continued research and development with respect to products and technologies. We may also use a portion of the net proceeds of this offering to fund possible investments in or acquisitions of complementary businesses, products, or technologies. As of the date of this prospectus supplement, we have no agreements or commitments to complete any such transaction. See “Use of Proceeds” on page S-39.</w:t>
      </w:r>
    </w:p>
    <w:p>
      <w:pPr>
        <w:spacing w:after="0" w:line="41"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465361"/>
        </w:rPr>
        <w:t>Risk Factors</w:t>
      </w:r>
    </w:p>
    <w:p>
      <w:pPr>
        <w:spacing w:after="0" w:line="20" w:lineRule="exact"/>
        <w:rPr>
          <w:sz w:val="20"/>
          <w:szCs w:val="20"/>
          <w:color w:val="auto"/>
        </w:rPr>
      </w:pPr>
      <w:r>
        <w:rPr>
          <w:sz w:val="20"/>
          <w:szCs w:val="20"/>
          <w:color w:val="auto"/>
        </w:rPr>
        <w:br w:type="column"/>
      </w:r>
    </w:p>
    <w:p>
      <w:pPr>
        <w:spacing w:after="0" w:line="325" w:lineRule="auto"/>
        <w:rPr>
          <w:sz w:val="20"/>
          <w:szCs w:val="20"/>
          <w:color w:val="auto"/>
        </w:rPr>
      </w:pPr>
      <w:r>
        <w:rPr>
          <w:rFonts w:ascii="Arial" w:cs="Arial" w:eastAsia="Arial" w:hAnsi="Arial"/>
          <w:sz w:val="16"/>
          <w:szCs w:val="16"/>
          <w:color w:val="465361"/>
        </w:rPr>
        <w:t>See “Risk Factors” beginning on page S-6 of this prospectus supplement for a discussion of factors that you should read and consider before investing in our securities.</w:t>
      </w:r>
    </w:p>
    <w:p>
      <w:pPr>
        <w:spacing w:after="0" w:line="1"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465361"/>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65361"/>
        </w:rPr>
        <w:t>FLDM</w:t>
      </w:r>
    </w:p>
    <w:p>
      <w:pPr>
        <w:spacing w:after="0" w:line="200" w:lineRule="exact"/>
        <w:rPr>
          <w:sz w:val="20"/>
          <w:szCs w:val="20"/>
          <w:color w:val="auto"/>
        </w:rPr>
      </w:pPr>
    </w:p>
    <w:p>
      <w:pPr>
        <w:sectPr>
          <w:pgSz w:w="11900" w:h="16838" w:orient="portrait"/>
          <w:cols w:equalWidth="0" w:num="2">
            <w:col w:w="3720" w:space="720"/>
            <w:col w:w="6600"/>
          </w:cols>
          <w:pgMar w:left="240" w:top="459" w:right="619" w:bottom="1440" w:gutter="0" w:footer="0" w:header="0"/>
          <w:type w:val="continuous"/>
        </w:sectPr>
      </w:pPr>
    </w:p>
    <w:p>
      <w:pPr>
        <w:spacing w:after="0" w:line="39" w:lineRule="exact"/>
        <w:rPr>
          <w:sz w:val="20"/>
          <w:szCs w:val="20"/>
          <w:color w:val="auto"/>
        </w:rPr>
      </w:pPr>
    </w:p>
    <w:p>
      <w:pPr>
        <w:ind w:left="380" w:right="780"/>
        <w:spacing w:after="0" w:line="277" w:lineRule="auto"/>
        <w:rPr>
          <w:sz w:val="20"/>
          <w:szCs w:val="20"/>
          <w:color w:val="auto"/>
        </w:rPr>
      </w:pPr>
      <w:r>
        <w:rPr>
          <w:rFonts w:ascii="Arial" w:cs="Arial" w:eastAsia="Arial" w:hAnsi="Arial"/>
          <w:sz w:val="18"/>
          <w:szCs w:val="18"/>
          <w:color w:val="465361"/>
        </w:rPr>
        <w:t>The number of shares of our common stock to be outstanding following this offering is based on 39,315,785 shares of our common stock outstanding as of September 30, 2018. This number of shares excludes the following:</w:t>
      </w:r>
    </w:p>
    <w:p>
      <w:pPr>
        <w:spacing w:after="0" w:line="76" w:lineRule="exact"/>
        <w:rPr>
          <w:sz w:val="20"/>
          <w:szCs w:val="20"/>
          <w:color w:val="auto"/>
        </w:rPr>
      </w:pPr>
    </w:p>
    <w:p>
      <w:pPr>
        <w:ind w:left="1540" w:right="140" w:hanging="415"/>
        <w:spacing w:after="0" w:line="277" w:lineRule="auto"/>
        <w:tabs>
          <w:tab w:leader="none" w:pos="154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2,352,286 shares of common stock issuable upon exercise of options outstanding as of September 30, 2018, at a weighted average exercise price of $7.6554 per share;</w:t>
      </w:r>
    </w:p>
    <w:p>
      <w:pPr>
        <w:spacing w:after="0" w:line="75" w:lineRule="exact"/>
        <w:rPr>
          <w:rFonts w:ascii="Arial" w:cs="Arial" w:eastAsia="Arial" w:hAnsi="Arial"/>
          <w:sz w:val="18"/>
          <w:szCs w:val="18"/>
          <w:color w:val="465361"/>
        </w:rPr>
      </w:pPr>
    </w:p>
    <w:p>
      <w:pPr>
        <w:ind w:left="1540" w:hanging="415"/>
        <w:spacing w:after="0"/>
        <w:tabs>
          <w:tab w:leader="none" w:pos="1540" w:val="left"/>
        </w:tabs>
        <w:numPr>
          <w:ilvl w:val="0"/>
          <w:numId w:val="1"/>
        </w:numPr>
        <w:rPr>
          <w:rFonts w:ascii="Arial" w:cs="Arial" w:eastAsia="Arial" w:hAnsi="Arial"/>
          <w:sz w:val="17"/>
          <w:szCs w:val="17"/>
          <w:color w:val="465361"/>
        </w:rPr>
      </w:pPr>
      <w:r>
        <w:rPr>
          <w:rFonts w:ascii="Arial" w:cs="Arial" w:eastAsia="Arial" w:hAnsi="Arial"/>
          <w:sz w:val="17"/>
          <w:szCs w:val="17"/>
          <w:color w:val="465361"/>
        </w:rPr>
        <w:t>2,023,215 shares of common stock issuable upon the vesting of restricted stock units outstanding as of September 30, 2018;</w:t>
      </w:r>
    </w:p>
    <w:p>
      <w:pPr>
        <w:spacing w:after="0" w:line="142" w:lineRule="exact"/>
        <w:rPr>
          <w:rFonts w:ascii="Arial" w:cs="Arial" w:eastAsia="Arial" w:hAnsi="Arial"/>
          <w:sz w:val="17"/>
          <w:szCs w:val="17"/>
          <w:color w:val="465361"/>
        </w:rPr>
      </w:pPr>
    </w:p>
    <w:p>
      <w:pPr>
        <w:ind w:left="1540" w:right="20" w:hanging="415"/>
        <w:spacing w:after="0" w:line="302" w:lineRule="auto"/>
        <w:tabs>
          <w:tab w:leader="none" w:pos="1540" w:val="left"/>
        </w:tabs>
        <w:numPr>
          <w:ilvl w:val="0"/>
          <w:numId w:val="1"/>
        </w:numPr>
        <w:rPr>
          <w:rFonts w:ascii="Arial" w:cs="Arial" w:eastAsia="Arial" w:hAnsi="Arial"/>
          <w:sz w:val="16"/>
          <w:szCs w:val="16"/>
          <w:color w:val="465361"/>
        </w:rPr>
      </w:pPr>
      <w:r>
        <w:rPr>
          <w:rFonts w:ascii="Arial" w:cs="Arial" w:eastAsia="Arial" w:hAnsi="Arial"/>
          <w:sz w:val="16"/>
          <w:szCs w:val="16"/>
          <w:color w:val="465361"/>
        </w:rPr>
        <w:t>4,805,858 shares of common stock reserved for future issuance under stock-based compensation plans, including 2,366,657 shares of common stock reserved for issuance under our 2011 Equity Incentive Plan and any future automatic increase in shares reserved for issuance under such plan, 1,607,968 shares of common stock reserved for issuance under our 2017 Inducement Award Plan, and 831,233 shares of common stock reserved for future issuance under our 2017 Employee Stock Purchase Plan; and</w:t>
      </w:r>
    </w:p>
    <w:p>
      <w:pPr>
        <w:spacing w:after="0" w:line="59" w:lineRule="exact"/>
        <w:rPr>
          <w:rFonts w:ascii="Arial" w:cs="Arial" w:eastAsia="Arial" w:hAnsi="Arial"/>
          <w:sz w:val="16"/>
          <w:szCs w:val="16"/>
          <w:color w:val="465361"/>
        </w:rPr>
      </w:pPr>
    </w:p>
    <w:p>
      <w:pPr>
        <w:ind w:left="1540" w:hanging="415"/>
        <w:spacing w:after="0"/>
        <w:tabs>
          <w:tab w:leader="none" w:pos="154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shares of common stock issuable upon conversion of our outstanding convertible notes.</w:t>
      </w:r>
    </w:p>
    <w:p>
      <w:pPr>
        <w:spacing w:after="0" w:line="225" w:lineRule="exact"/>
        <w:rPr>
          <w:sz w:val="20"/>
          <w:szCs w:val="20"/>
          <w:color w:val="auto"/>
        </w:rPr>
      </w:pPr>
    </w:p>
    <w:p>
      <w:pPr>
        <w:ind w:left="380" w:right="380"/>
        <w:spacing w:after="0" w:line="277" w:lineRule="auto"/>
        <w:rPr>
          <w:sz w:val="20"/>
          <w:szCs w:val="20"/>
          <w:color w:val="auto"/>
        </w:rPr>
      </w:pPr>
      <w:r>
        <w:rPr>
          <w:rFonts w:ascii="Arial" w:cs="Arial" w:eastAsia="Arial" w:hAnsi="Arial"/>
          <w:sz w:val="18"/>
          <w:szCs w:val="18"/>
          <w:color w:val="465361"/>
        </w:rPr>
        <w:t>Except as otherwise indicated, all information in this prospectus supplement assumes no exercise by the underwriters of their option to acquire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465361"/>
        </w:rPr>
        <w:t>S-3</w:t>
      </w:r>
    </w:p>
    <w:p>
      <w:pPr>
        <w:sectPr>
          <w:pgSz w:w="11900" w:h="16838" w:orient="portrait"/>
          <w:cols w:equalWidth="0" w:num="1">
            <w:col w:w="11040"/>
          </w:cols>
          <w:pgMar w:left="240" w:top="459" w:right="6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SUMMARY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-129540</wp:posOffset>
            </wp:positionV>
            <wp:extent cx="7002145" cy="5149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149850"/>
                    </a:xfrm>
                    <a:prstGeom prst="rect">
                      <a:avLst/>
                    </a:prstGeom>
                    <a:noFill/>
                  </pic:spPr>
                </pic:pic>
              </a:graphicData>
            </a:graphic>
          </wp:anchor>
        </w:drawing>
      </w:r>
    </w:p>
    <w:p>
      <w:pPr>
        <w:spacing w:after="0" w:line="209" w:lineRule="exact"/>
        <w:rPr>
          <w:sz w:val="20"/>
          <w:szCs w:val="20"/>
          <w:color w:val="auto"/>
        </w:rPr>
      </w:pPr>
    </w:p>
    <w:p>
      <w:pPr>
        <w:ind w:left="220" w:right="80"/>
        <w:spacing w:after="0" w:line="253" w:lineRule="auto"/>
        <w:rPr>
          <w:sz w:val="20"/>
          <w:szCs w:val="20"/>
          <w:color w:val="auto"/>
        </w:rPr>
      </w:pPr>
      <w:r>
        <w:rPr>
          <w:rFonts w:ascii="Arial" w:cs="Arial" w:eastAsia="Arial" w:hAnsi="Arial"/>
          <w:sz w:val="18"/>
          <w:szCs w:val="18"/>
          <w:color w:val="465361"/>
        </w:rPr>
        <w:t>We have derived the summary consolidated statement of operations data for the years ended December 31, 2015, December 31, 2016 and December 31, 2017 from our audited consolidated financial statements incorporated by reference in this prospectus supplement and the accompanying prospectus. We have derived the summary consolidated statement of operations data for the nine months ended September 30, 2017 and 2018, and the consolidated balance sheet data as of September 30, 2018 from our unaudited condensed consolidated financial statements incorporated by reference in this prospectus supplement and the accompanying prospectus. Our historical results are not necessarily indicative of the results that may be expected in the future, and results from interim periods are not necessarily indicative of results that may be expected for the entire year. The following summary consolidated financial data should be read in conjunction with “Management’s Discussion and Analysis of Financial Condition and Results of Operations” and our consolidated financial statements and related notes incorporated by reference in this prospectus supplement and the accompanying prospectus.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vMerge w:val="restart"/>
          </w:tcPr>
          <w:p>
            <w:pPr>
              <w:jc w:val="right"/>
              <w:ind w:right="5"/>
              <w:spacing w:after="0"/>
              <w:rPr>
                <w:sz w:val="20"/>
                <w:szCs w:val="20"/>
                <w:color w:val="auto"/>
              </w:rPr>
            </w:pPr>
            <w:r>
              <w:rPr>
                <w:rFonts w:ascii="Arial" w:cs="Arial" w:eastAsia="Arial" w:hAnsi="Arial"/>
                <w:sz w:val="14"/>
                <w:szCs w:val="14"/>
                <w:b w:val="1"/>
                <w:bCs w:val="1"/>
                <w:color w:val="465361"/>
              </w:rPr>
              <w:t>Year Ended December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465361"/>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vMerge w:val="continue"/>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465361"/>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465361"/>
              </w:rPr>
              <w:t>2015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465361"/>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465361"/>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465361"/>
              </w:rPr>
              <w:t>2017</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465361"/>
              </w:rPr>
              <w:t>2018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10"/>
          </w:tcPr>
          <w:p>
            <w:pPr>
              <w:jc w:val="right"/>
              <w:ind w:right="580"/>
              <w:spacing w:after="0" w:line="142" w:lineRule="exact"/>
              <w:rPr>
                <w:sz w:val="20"/>
                <w:szCs w:val="20"/>
                <w:color w:val="auto"/>
              </w:rPr>
            </w:pPr>
            <w:r>
              <w:rPr>
                <w:rFonts w:ascii="Arial" w:cs="Arial" w:eastAsia="Arial" w:hAnsi="Arial"/>
                <w:sz w:val="14"/>
                <w:szCs w:val="14"/>
                <w:b w:val="1"/>
                <w:bCs w:val="1"/>
                <w:color w:val="465361"/>
                <w:w w:val="99"/>
              </w:rPr>
              <w:t>(In thousands, except per share data)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Product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w w:val="86"/>
              </w:rPr>
              <w:t>102,140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89,003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84,399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61,383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66,496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Service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12,315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15,205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17,348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12,620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14,143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License revenue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257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238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465361"/>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465361"/>
              </w:rPr>
              <w:t>Total revenue</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6"/>
              </w:rPr>
              <w:t>114,712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6"/>
              </w:rPr>
              <w:t>104,446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6"/>
              </w:rPr>
              <w:t>101,937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74,193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80,639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Costs and expenses: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Cost of product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43,001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41,110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45,039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33,060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33,017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Cost of Service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3,629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4,899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4,916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3,437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4,784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Research and development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39,264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38,415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30,826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23,668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22,072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465361"/>
              </w:rPr>
              <w:t>Selling, 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82,959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93,212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79,516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63,653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57,812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Gain on escrow settlement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rPr>
              <w:t>(3,986)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46536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720"/>
              <w:spacing w:after="0"/>
              <w:rPr>
                <w:sz w:val="20"/>
                <w:szCs w:val="20"/>
                <w:color w:val="auto"/>
              </w:rPr>
            </w:pPr>
            <w:r>
              <w:rPr>
                <w:rFonts w:ascii="Arial" w:cs="Arial" w:eastAsia="Arial" w:hAnsi="Arial"/>
                <w:sz w:val="18"/>
                <w:szCs w:val="18"/>
                <w:color w:val="465361"/>
              </w:rPr>
              <w:t>Total costs and expenses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164,867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177,636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160,297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123,818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86"/>
              </w:rPr>
              <w:t>117,685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80"/>
              <w:spacing w:after="0"/>
              <w:rPr>
                <w:sz w:val="20"/>
                <w:szCs w:val="20"/>
                <w:color w:val="auto"/>
              </w:rPr>
            </w:pPr>
            <w:r>
              <w:rPr>
                <w:rFonts w:ascii="Arial" w:cs="Arial" w:eastAsia="Arial" w:hAnsi="Arial"/>
                <w:sz w:val="18"/>
                <w:szCs w:val="18"/>
                <w:color w:val="465361"/>
              </w:rPr>
              <w:t>Loss from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(50,155)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(73,190)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(58,360)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(49,625)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65361"/>
                <w:w w:val="92"/>
              </w:rPr>
              <w:t>(37,046)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(5,808)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(5,820)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(5,824)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(4,367)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465361"/>
              </w:rPr>
              <w:t>(9,824)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Gain from sale of investment in Verinata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2,330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465361"/>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Other income (expense),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(1,157)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465361"/>
              </w:rPr>
              <w:t>(1,167)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385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rPr>
              <w:t>465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Loss before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(54,790)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(80,177)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(63,799)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(53,421)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65361"/>
                <w:w w:val="92"/>
              </w:rPr>
              <w:t>(46,405)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465361"/>
              </w:rPr>
              <w:t>Benefit from income taxes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1,475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4,192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3,264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3,343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2,167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(53,315)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(75,985)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(60,535)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465361"/>
                <w:w w:val="92"/>
              </w:rPr>
              <w:t>(50,078)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465361"/>
                <w:w w:val="92"/>
              </w:rPr>
              <w:t>(44,238)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rPr>
                <w:sz w:val="20"/>
                <w:szCs w:val="20"/>
                <w:color w:val="auto"/>
              </w:rPr>
            </w:pPr>
            <w:r>
              <w:rPr>
                <w:rFonts w:ascii="Arial" w:cs="Arial" w:eastAsia="Arial" w:hAnsi="Arial"/>
                <w:sz w:val="18"/>
                <w:szCs w:val="18"/>
                <w:color w:val="465361"/>
              </w:rPr>
              <w:t>Net loss per share, basic and diluted</w:t>
            </w:r>
            <w:r>
              <w:rPr>
                <w:rFonts w:ascii="Arial" w:cs="Arial" w:eastAsia="Arial" w:hAnsi="Arial"/>
                <w:sz w:val="15"/>
                <w:szCs w:val="15"/>
                <w:color w:val="465361"/>
              </w:rPr>
              <w:t>(1)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(2.62)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465361"/>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465361"/>
                <w:w w:val="95"/>
              </w:rPr>
              <w:t>Shares used in computing net loss per share, basic and diluted</w:t>
            </w:r>
            <w:r>
              <w:rPr>
                <w:rFonts w:ascii="Arial" w:cs="Arial" w:eastAsia="Arial" w:hAnsi="Arial"/>
                <w:sz w:val="15"/>
                <w:szCs w:val="15"/>
                <w:color w:val="465361"/>
                <w:w w:val="95"/>
              </w:rPr>
              <w:t>(1)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28,711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29,008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32,980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31,051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39,033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465361"/>
            </w:tcBorders>
          </w:tcPr>
          <w:p>
            <w:pPr>
              <w:spacing w:after="0" w:line="20" w:lineRule="exact"/>
              <w:rPr>
                <w:sz w:val="1"/>
                <w:szCs w:val="1"/>
                <w:color w:val="auto"/>
              </w:rPr>
            </w:pPr>
          </w:p>
        </w:tc>
        <w:tc>
          <w:tcPr>
            <w:tcW w:w="5000" w:type="dxa"/>
            <w:vAlign w:val="bottom"/>
            <w:tcBorders>
              <w:bottom w:val="single" w:sz="8" w:color="465361"/>
            </w:tcBorders>
          </w:tcPr>
          <w:p>
            <w:pPr>
              <w:spacing w:after="0" w:line="20" w:lineRule="exact"/>
              <w:rPr>
                <w:sz w:val="1"/>
                <w:szCs w:val="1"/>
                <w:color w:val="auto"/>
              </w:rPr>
            </w:pPr>
          </w:p>
        </w:tc>
        <w:tc>
          <w:tcPr>
            <w:tcW w:w="70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c>
          <w:tcPr>
            <w:tcW w:w="100" w:type="dxa"/>
            <w:vAlign w:val="bottom"/>
            <w:tcBorders>
              <w:bottom w:val="single" w:sz="8" w:color="465361"/>
            </w:tcBorders>
          </w:tcPr>
          <w:p>
            <w:pPr>
              <w:spacing w:after="0" w:line="20" w:lineRule="exact"/>
              <w:rPr>
                <w:sz w:val="1"/>
                <w:szCs w:val="1"/>
                <w:color w:val="auto"/>
              </w:rPr>
            </w:pPr>
          </w:p>
        </w:tc>
        <w:tc>
          <w:tcPr>
            <w:tcW w:w="600" w:type="dxa"/>
            <w:vAlign w:val="bottom"/>
            <w:tcBorders>
              <w:bottom w:val="single" w:sz="8" w:color="465361"/>
            </w:tcBorders>
          </w:tcPr>
          <w:p>
            <w:pPr>
              <w:spacing w:after="0" w:line="20" w:lineRule="exact"/>
              <w:rPr>
                <w:sz w:val="1"/>
                <w:szCs w:val="1"/>
                <w:color w:val="auto"/>
              </w:rPr>
            </w:pPr>
          </w:p>
        </w:tc>
        <w:tc>
          <w:tcPr>
            <w:tcW w:w="120" w:type="dxa"/>
            <w:vAlign w:val="bottom"/>
            <w:tcBorders>
              <w:bottom w:val="single" w:sz="8" w:color="465361"/>
            </w:tcBorders>
          </w:tcPr>
          <w:p>
            <w:pPr>
              <w:spacing w:after="0" w:line="20" w:lineRule="exact"/>
              <w:rPr>
                <w:sz w:val="1"/>
                <w:szCs w:val="1"/>
                <w:color w:val="auto"/>
              </w:rPr>
            </w:pPr>
          </w:p>
        </w:tc>
        <w:tc>
          <w:tcPr>
            <w:tcW w:w="20" w:type="dxa"/>
            <w:vAlign w:val="bottom"/>
            <w:tcBorders>
              <w:bottom w:val="single" w:sz="8" w:color="46536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Borders>
              <w:bottom w:val="single" w:sz="8" w:color="465361"/>
            </w:tcBorders>
          </w:tcPr>
          <w:p>
            <w:pPr>
              <w:spacing w:after="0"/>
              <w:rPr>
                <w:sz w:val="18"/>
                <w:szCs w:val="18"/>
                <w:color w:val="auto"/>
              </w:rPr>
            </w:pPr>
          </w:p>
        </w:tc>
        <w:tc>
          <w:tcPr>
            <w:tcW w:w="5000" w:type="dxa"/>
            <w:vAlign w:val="bottom"/>
            <w:tcBorders>
              <w:bottom w:val="single" w:sz="8" w:color="465361"/>
            </w:tcBorders>
          </w:tcPr>
          <w:p>
            <w:pPr>
              <w:spacing w:after="0"/>
              <w:rPr>
                <w:sz w:val="18"/>
                <w:szCs w:val="18"/>
                <w:color w:val="auto"/>
              </w:rPr>
            </w:pPr>
          </w:p>
        </w:tc>
        <w:tc>
          <w:tcPr>
            <w:tcW w:w="800" w:type="dxa"/>
            <w:vAlign w:val="bottom"/>
            <w:tcBorders>
              <w:bottom w:val="single" w:sz="8" w:color="465361"/>
            </w:tcBorders>
            <w:gridSpan w:val="2"/>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240" w:type="dxa"/>
            <w:vAlign w:val="bottom"/>
            <w:tcBorders>
              <w:bottom w:val="single" w:sz="8" w:color="465361"/>
            </w:tcBorders>
          </w:tcPr>
          <w:p>
            <w:pPr>
              <w:spacing w:after="0"/>
              <w:rPr>
                <w:sz w:val="18"/>
                <w:szCs w:val="18"/>
                <w:color w:val="auto"/>
              </w:rPr>
            </w:pPr>
          </w:p>
        </w:tc>
        <w:tc>
          <w:tcPr>
            <w:tcW w:w="180" w:type="dxa"/>
            <w:vAlign w:val="bottom"/>
            <w:tcBorders>
              <w:bottom w:val="single" w:sz="8" w:color="465361"/>
            </w:tcBorders>
          </w:tcPr>
          <w:p>
            <w:pPr>
              <w:spacing w:after="0"/>
              <w:rPr>
                <w:sz w:val="18"/>
                <w:szCs w:val="18"/>
                <w:color w:val="auto"/>
              </w:rPr>
            </w:pPr>
          </w:p>
        </w:tc>
        <w:tc>
          <w:tcPr>
            <w:tcW w:w="100" w:type="dxa"/>
            <w:vAlign w:val="bottom"/>
            <w:tcBorders>
              <w:bottom w:val="single" w:sz="8" w:color="465361"/>
            </w:tcBorders>
          </w:tcPr>
          <w:p>
            <w:pPr>
              <w:spacing w:after="0"/>
              <w:rPr>
                <w:sz w:val="18"/>
                <w:szCs w:val="18"/>
                <w:color w:val="auto"/>
              </w:rPr>
            </w:pPr>
          </w:p>
        </w:tc>
        <w:tc>
          <w:tcPr>
            <w:tcW w:w="600" w:type="dxa"/>
            <w:vAlign w:val="bottom"/>
            <w:tcBorders>
              <w:bottom w:val="single" w:sz="8" w:color="465361"/>
            </w:tcBorders>
          </w:tcPr>
          <w:p>
            <w:pPr>
              <w:spacing w:after="0"/>
              <w:rPr>
                <w:sz w:val="18"/>
                <w:szCs w:val="18"/>
                <w:color w:val="auto"/>
              </w:rPr>
            </w:pPr>
          </w:p>
        </w:tc>
        <w:tc>
          <w:tcPr>
            <w:tcW w:w="120" w:type="dxa"/>
            <w:vAlign w:val="bottom"/>
            <w:tcBorders>
              <w:bottom w:val="single" w:sz="8" w:color="465361"/>
            </w:tcBorders>
          </w:tcPr>
          <w:p>
            <w:pPr>
              <w:spacing w:after="0"/>
              <w:rPr>
                <w:sz w:val="18"/>
                <w:szCs w:val="18"/>
                <w:color w:val="auto"/>
              </w:rPr>
            </w:pPr>
          </w:p>
        </w:tc>
        <w:tc>
          <w:tcPr>
            <w:tcW w:w="20" w:type="dxa"/>
            <w:vAlign w:val="bottom"/>
            <w:tcBorders>
              <w:bottom w:val="single" w:sz="8" w:color="465361"/>
            </w:tcBorders>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465361"/>
              </w:rPr>
              <w:t>S-4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213995</wp:posOffset>
            </wp:positionV>
            <wp:extent cx="7002145" cy="2171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right="60" w:hanging="183"/>
        <w:spacing w:after="0" w:line="251" w:lineRule="auto"/>
        <w:tabs>
          <w:tab w:leader="none" w:pos="400" w:val="left"/>
        </w:tabs>
        <w:numPr>
          <w:ilvl w:val="0"/>
          <w:numId w:val="2"/>
        </w:numPr>
        <w:rPr>
          <w:rFonts w:ascii="Arial" w:cs="Arial" w:eastAsia="Arial" w:hAnsi="Arial"/>
          <w:sz w:val="11"/>
          <w:szCs w:val="11"/>
          <w:color w:val="465361"/>
        </w:rPr>
      </w:pPr>
      <w:r>
        <w:rPr>
          <w:rFonts w:ascii="Arial" w:cs="Arial" w:eastAsia="Arial" w:hAnsi="Arial"/>
          <w:sz w:val="13"/>
          <w:szCs w:val="13"/>
          <w:color w:val="465361"/>
        </w:rPr>
        <w:t>Please see Note 2 to our audited consolidated financial statements incorporated into this prospectus supplement and the accompanying prospectus by reference from our Annual Report on Form 10-K for the year ended December 31, 2017 for an explanation of the method used to calculate basic and diluted net loss per share attributed to common stockholders for the years ended December 31, 2015, 2016 and 2017. Please see Note 2 to our unaudited condensed consolidated financial statements incorporated into this prospectus supplement and the accompanying prospectus by reference from our Quarterly Report on Form 10-Q for the quarter ended September 30, 2018 for an explanation of the method used to calculate basic and diluted net loss per share attributed to common stockholders for the nine months ended September 30, 2018.</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4920" w:type="dxa"/>
            <w:vAlign w:val="bottom"/>
            <w:gridSpan w:val="4"/>
          </w:tcPr>
          <w:p>
            <w:pPr>
              <w:ind w:left="3300"/>
              <w:spacing w:after="0"/>
              <w:rPr>
                <w:sz w:val="20"/>
                <w:szCs w:val="20"/>
                <w:color w:val="auto"/>
              </w:rPr>
            </w:pPr>
            <w:r>
              <w:rPr>
                <w:rFonts w:ascii="Arial" w:cs="Arial" w:eastAsia="Arial" w:hAnsi="Arial"/>
                <w:sz w:val="14"/>
                <w:szCs w:val="14"/>
                <w:b w:val="1"/>
                <w:bCs w:val="1"/>
                <w:color w:val="465361"/>
                <w:w w:val="94"/>
              </w:rPr>
              <w:t>As of September 30, 2018</w:t>
            </w:r>
          </w:p>
        </w:tc>
      </w:tr>
      <w:tr>
        <w:trPr>
          <w:trHeight w:val="142"/>
        </w:trPr>
        <w:tc>
          <w:tcPr>
            <w:tcW w:w="60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465361"/>
              </w:rPr>
              <w:t>(In thousands)</w:t>
            </w:r>
          </w:p>
        </w:tc>
        <w:tc>
          <w:tcPr>
            <w:tcW w:w="60" w:type="dxa"/>
            <w:vAlign w:val="bottom"/>
            <w:tcBorders>
              <w:bottom w:val="single" w:sz="8" w:color="CCEEFF"/>
            </w:tcBorders>
          </w:tcPr>
          <w:p>
            <w:pPr>
              <w:spacing w:after="0"/>
              <w:rPr>
                <w:sz w:val="12"/>
                <w:szCs w:val="12"/>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465361"/>
              </w:rPr>
              <w:t>Consolidated Balance Sheet Data</w:t>
            </w:r>
            <w:r>
              <w:rPr>
                <w:rFonts w:ascii="Arial" w:cs="Arial" w:eastAsia="Arial" w:hAnsi="Arial"/>
                <w:sz w:val="15"/>
                <w:szCs w:val="15"/>
                <w:b w:val="1"/>
                <w:bCs w:val="1"/>
                <w:color w:val="465361"/>
              </w:rPr>
              <w:t>(1)</w:t>
            </w:r>
            <w:r>
              <w:rPr>
                <w:rFonts w:ascii="Arial" w:cs="Arial" w:eastAsia="Arial" w:hAnsi="Arial"/>
                <w:sz w:val="18"/>
                <w:szCs w:val="18"/>
                <w:b w:val="1"/>
                <w:bCs w:val="1"/>
                <w:color w:val="465361"/>
              </w:rPr>
              <w:t>:</w:t>
            </w:r>
          </w:p>
        </w:tc>
        <w:tc>
          <w:tcPr>
            <w:tcW w:w="3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465361"/>
              </w:rPr>
              <w:t>Working capital</w:t>
            </w:r>
          </w:p>
        </w:tc>
        <w:tc>
          <w:tcPr>
            <w:tcW w:w="3520" w:type="dxa"/>
            <w:vAlign w:val="bottom"/>
            <w:gridSpan w:val="2"/>
          </w:tcPr>
          <w:p>
            <w:pPr>
              <w:ind w:left="3300"/>
              <w:spacing w:after="0"/>
              <w:rPr>
                <w:sz w:val="20"/>
                <w:szCs w:val="20"/>
                <w:color w:val="auto"/>
              </w:rPr>
            </w:pPr>
            <w:r>
              <w:rPr>
                <w:rFonts w:ascii="Arial" w:cs="Arial" w:eastAsia="Arial" w:hAnsi="Arial"/>
                <w:sz w:val="18"/>
                <w:szCs w:val="18"/>
                <w:color w:val="465361"/>
              </w:rPr>
              <w:t>$</w:t>
            </w:r>
          </w:p>
        </w:tc>
        <w:tc>
          <w:tcPr>
            <w:tcW w:w="1340" w:type="dxa"/>
            <w:vAlign w:val="bottom"/>
          </w:tcPr>
          <w:p>
            <w:pPr>
              <w:jc w:val="right"/>
              <w:spacing w:after="0"/>
              <w:rPr>
                <w:sz w:val="20"/>
                <w:szCs w:val="20"/>
                <w:color w:val="auto"/>
              </w:rPr>
            </w:pPr>
            <w:r>
              <w:rPr>
                <w:rFonts w:ascii="Arial" w:cs="Arial" w:eastAsia="Arial" w:hAnsi="Arial"/>
                <w:sz w:val="18"/>
                <w:szCs w:val="18"/>
                <w:color w:val="465361"/>
              </w:rPr>
              <w:t>32,995</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Total assets</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252,290</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465361"/>
              </w:rPr>
              <w:t>Convertible notes, net</w:t>
            </w: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465361"/>
              </w:rPr>
              <w:t>169,345</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465361"/>
              </w:rPr>
              <w:t>Total stockholders’ equity</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22,412</w:t>
            </w:r>
          </w:p>
        </w:tc>
        <w:tc>
          <w:tcPr>
            <w:tcW w:w="6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ind w:left="400" w:right="20" w:hanging="183"/>
        <w:spacing w:after="0" w:line="238" w:lineRule="auto"/>
        <w:tabs>
          <w:tab w:leader="none" w:pos="400" w:val="left"/>
        </w:tabs>
        <w:numPr>
          <w:ilvl w:val="0"/>
          <w:numId w:val="3"/>
        </w:numPr>
        <w:rPr>
          <w:rFonts w:ascii="Arial" w:cs="Arial" w:eastAsia="Arial" w:hAnsi="Arial"/>
          <w:sz w:val="12"/>
          <w:szCs w:val="12"/>
          <w:color w:val="465361"/>
        </w:rPr>
      </w:pPr>
      <w:r>
        <w:rPr>
          <w:rFonts w:ascii="Arial" w:cs="Arial" w:eastAsia="Arial" w:hAnsi="Arial"/>
          <w:sz w:val="14"/>
          <w:szCs w:val="14"/>
          <w:color w:val="465361"/>
        </w:rPr>
        <w:t>The Company has also entered into a revolving credit facility with Silicon Valley Bank in an aggregate principal amount of up to the lesser of (i) $15.0 million or (ii) the sum of (a) 85% of our eligible receivables and (b) 50% of our eligible inventory, in each case, subject to certain limitations. As of September 30, 2018, availability under the revolving credit facility was $12.8 million. There were no borrowings outstanding under the revolving credit facility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153670</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465361"/>
        </w:rPr>
        <w:t>RISK FACTORS</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i w:val="1"/>
          <w:iCs w:val="1"/>
          <w:color w:val="465361"/>
        </w:rPr>
        <w:t>Investors should carefully consider the risks described below and in the filings incorporated by reference before deciding whether to invest in our securities. The risks described below and those described in the filings incorporated by reference are not the only ones we face. If any of the following risks actually occurs, our business, financial condition or results of operations could be adversely affected. In such case, the trading price of our common stock could decline and you could lose all or part of your investment. Our actual results could differ materially from those anticipated in the forward-looking statements made throughout this prospectus supplement and in the documents incorporated by reference as a result of different factors, including the risks we face described below and those described in the filings incorporated by reference.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Related to our Business and Strategy</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465361"/>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465361"/>
        </w:rPr>
        <w:t>Our total revenue was $101.9 million in 2017, $104.4 million in 2016, and $114.7 million in 2015. The decrease in overall revenue over this period was due in significant part to decreasing sales of single-cell genomics instruments, driven by a combination of factors including changes in customer demand, increased competition, and performance issues in certain IFCs used in our C1 systems.</w:t>
      </w:r>
    </w:p>
    <w:p>
      <w:pPr>
        <w:spacing w:after="0" w:line="181"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465361"/>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However, sales increased slightly in the first quarter of 2017 compared to the fourth quarter of 2016. Additionally, for the quarters ended March 31, 2015 and September 30, 2015, we experienced year-over-year revenue growth rates that were substantially lower than revenue growth rates experienced in other periods since our initial public offering, and we experienced a year-over-year decline in revenue for the quarters ended September 30, 2017, June 30, 2017, March 31, 2017, September 30, 2016, June 30, 2016 and September 30, 2015, and for the years ended December 31, 2017,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465361"/>
        </w:rPr>
        <w:t>S-6</w:t>
      </w:r>
    </w:p>
    <w:p>
      <w:pPr>
        <w:sectPr>
          <w:pgSz w:w="11900" w:h="16838" w:orient="portrait"/>
          <w:cols w:equalWidth="0" w:num="1">
            <w:col w:w="11140"/>
          </w:cols>
          <w:pgMar w:left="24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465361"/>
        </w:rPr>
        <w:t>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24"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465361"/>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We have incurred losses since inception, and we may continue to incur substantial losses for the foreseeable future.</w:t>
      </w:r>
    </w:p>
    <w:p>
      <w:pPr>
        <w:spacing w:after="0" w:line="117"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465361"/>
        </w:rPr>
        <w:t>We have incurred significant losses in each fiscal year since our inception, including net losses of $14.8 million and $44.2 million during the three and nine months ended September 30, 2018, and net losses of $60.5 million and $76.0 million for the years ended December 31, 2017 and 2016, respectively. As of September 30, 2018, we had an accumulated deficit of $544.1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revenue growth.</w:t>
      </w:r>
    </w:p>
    <w:p>
      <w:pPr>
        <w:spacing w:after="0" w:line="158"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465361"/>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Such measures may impair our ability to invest in developing, marketing and selling new and existing products. Furthermore, if such efficiency and cost reduction efforts are unsuccessful, our cash position could be negatively impacted and we may, among other things, be required to seek additional sources of financing.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69"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color w:val="465361"/>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have to reduce marketing, customer support, research and development or other resources devoted to our products.</w:t>
      </w:r>
    </w:p>
    <w:p>
      <w:pPr>
        <w:spacing w:after="0" w:line="225"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465361"/>
        </w:rPr>
        <w:t>We have significant outstanding convertible debt, and may be required to repay, refinance or restructure a portion of such debt before 2021. In February 2014, we issued $201.3 million aggregate principal amount of our 2.75% Senior Convertible Notes due 2034 (2014 Notes), pursuant to an underwriting agreement, dated January 29, 2014. In March 2018, we entered into separate privately negotiated transactions with certain holders of our 2014 Notes to exchange $150.0 million in aggregate principal amount of the 2014 Notes for new convertible notes (the 2018 Notes). Following the exchange, approximately $51.3 million aggregate principal amount of the 2014 Notes remain outstanding in addition to $150.0 million in aggregate principal amount of the 2018 Notes (collectively, the Convertible Notes). The Convertible Notes accrue interest at a rate of 2.75% per year, payable semi-annually in arrears on February 1 and August 1 of each year. The Convertible Notes will mature on February 1, 2034, unless earlier converted, redeemed, or repurchased in accordance with the terms of the respective Notes. Holders of the 2014 Notes may require us to repurchase all or a portion of their 2014 Notes on each of February 6, 2021, February 6, 2024, and February 6, 2029 at a repurchase price in cash equal to 100% of the principal amount of the Notes plus accrued and unpaid interest. Holders of the 2018 Notes may require us to repurchase all or a portion of their 2018 Notes on each of February 6, 2023, February 6, 2026, and February 6, 2029 at a repurchase price in cash equal to 100% of the accreted principal amount (i.e., up to 120% of the outstanding principal amount) of the 2018 Notes plus accrued and unpaid interest. If we undergo a fundamental change, as defined in the terms of each of the applicable series of Notes, (i) holders of the 2014 Notes may require us to repurchase the 2014 Notes in whole or in part for cash at a repurchase price equal to 100% of the principal amount of the 2014 Notes plus accrued and unpaid interest and (ii) holders of the 2018 Notes may require us to repurchase the 2018 Notes in whole or in part for cash at a repurchase price equal to 100% of the accreted principal amount (i.e., up to 120% of the outstanding principal amount) of the 2018 Notes plus accrued and unpaid interest. If we refinance the debt owed under the 2014 Notes and the 2018 Notes, we may issue additional convertible notes or other debt, which could include additional company obligations and represent more dilution to existing stockholders and noteholders.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The life science markets are highly competitive and subject to rapid technological change, and we may not be able to successfully compete.</w:t>
      </w:r>
    </w:p>
    <w:p>
      <w:pPr>
        <w:spacing w:after="0" w:line="140" w:lineRule="exact"/>
        <w:rPr>
          <w:sz w:val="20"/>
          <w:szCs w:val="20"/>
          <w:color w:val="auto"/>
        </w:rPr>
      </w:pPr>
    </w:p>
    <w:p>
      <w:pPr>
        <w:ind w:left="200" w:right="80"/>
        <w:spacing w:after="0" w:line="286" w:lineRule="auto"/>
        <w:rPr>
          <w:sz w:val="20"/>
          <w:szCs w:val="20"/>
          <w:color w:val="auto"/>
        </w:rPr>
      </w:pPr>
      <w:r>
        <w:rPr>
          <w:rFonts w:ascii="Arial" w:cs="Arial" w:eastAsia="Arial" w:hAnsi="Arial"/>
          <w:sz w:val="16"/>
          <w:szCs w:val="16"/>
          <w:color w:val="465361"/>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465361"/>
        </w:rPr>
        <w:t>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in recent quarters experienced increased competition in the single-cell genomics market, including new product releases from 10X Genomics, Inc. and WaferGen Bio-systems, Inc. (recently acquired by Takara Bio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182" w:lineRule="exact"/>
        <w:rPr>
          <w:sz w:val="20"/>
          <w:szCs w:val="20"/>
          <w:color w:val="auto"/>
        </w:rPr>
      </w:pPr>
    </w:p>
    <w:p>
      <w:pPr>
        <w:ind w:left="200" w:right="220"/>
        <w:spacing w:after="0" w:line="254" w:lineRule="auto"/>
        <w:rPr>
          <w:sz w:val="20"/>
          <w:szCs w:val="20"/>
          <w:color w:val="auto"/>
        </w:rPr>
      </w:pPr>
      <w:r>
        <w:rPr>
          <w:rFonts w:ascii="Arial" w:cs="Arial" w:eastAsia="Arial" w:hAnsi="Arial"/>
          <w:sz w:val="18"/>
          <w:szCs w:val="18"/>
          <w:color w:val="465361"/>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92"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465361"/>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62"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465361"/>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Our commercial organization has undergone significant changes in 2016 and 2017, and we are in the early stages of establishing sales of our products for many key applications. If we are not able to successfully market and sell our products, or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If our products fail to achieve and sustain sufficient market acceptance, our revenue will be adversely affected.</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465361"/>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465361"/>
        </w:rPr>
        <w:t>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4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465361"/>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We may experience development or manufacturing problems or delays that could limit the potential growth of our revenue or increase our losses.</w:t>
      </w:r>
    </w:p>
    <w:p>
      <w:pPr>
        <w:spacing w:after="0" w:line="152"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465361"/>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93"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465361"/>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93"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465361"/>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465361"/>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If our research and product development efforts do not result in commercially viable products within anticipated timelines, if at all, our business and results of operations will be adversely affected.</w:t>
      </w:r>
    </w:p>
    <w:p>
      <w:pPr>
        <w:spacing w:after="0" w:line="62" w:lineRule="exact"/>
        <w:rPr>
          <w:sz w:val="20"/>
          <w:szCs w:val="20"/>
          <w:color w:val="auto"/>
        </w:rPr>
      </w:pPr>
    </w:p>
    <w:p>
      <w:pPr>
        <w:ind w:left="200" w:right="460"/>
        <w:spacing w:after="0" w:line="286" w:lineRule="auto"/>
        <w:rPr>
          <w:sz w:val="20"/>
          <w:szCs w:val="20"/>
          <w:color w:val="auto"/>
        </w:rPr>
      </w:pPr>
      <w:r>
        <w:rPr>
          <w:rFonts w:ascii="Arial" w:cs="Arial" w:eastAsia="Arial" w:hAnsi="Arial"/>
          <w:sz w:val="17"/>
          <w:szCs w:val="17"/>
          <w:color w:val="465361"/>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465361"/>
        </w:rPr>
        <w:t>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465361"/>
        </w:rPr>
        <w:t>Our products could have defects or errors, which may give rise to claims against us, adversely affect market adoption of our systems, and adversely affect our business, financial condition, and results of operations.</w:t>
      </w:r>
    </w:p>
    <w:p>
      <w:pPr>
        <w:spacing w:after="0" w:line="62"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465361"/>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465361"/>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If our products contain defects, we may experience:</w:t>
      </w:r>
    </w:p>
    <w:p>
      <w:pPr>
        <w:spacing w:after="0" w:line="131" w:lineRule="exact"/>
        <w:rPr>
          <w:sz w:val="20"/>
          <w:szCs w:val="20"/>
          <w:color w:val="auto"/>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a failure to achieve market acceptance or expansion of our product sales;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loss of customer orders and delay in order fulfillment;</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damage to our brand reputation;</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increased cost of our warranty program due to product repair or replacement;</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product recalls or replacements;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inability to attract new customers;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4"/>
        </w:numPr>
        <w:rPr>
          <w:rFonts w:ascii="Arial" w:cs="Arial" w:eastAsia="Arial" w:hAnsi="Arial"/>
          <w:sz w:val="17"/>
          <w:szCs w:val="17"/>
          <w:color w:val="465361"/>
        </w:rPr>
      </w:pPr>
      <w:r>
        <w:rPr>
          <w:rFonts w:ascii="Arial" w:cs="Arial" w:eastAsia="Arial" w:hAnsi="Arial"/>
          <w:sz w:val="17"/>
          <w:szCs w:val="17"/>
          <w:color w:val="465361"/>
        </w:rPr>
        <w:t>diversion of resources from our manufacturing and research and development departments into our service department; and</w:t>
      </w:r>
    </w:p>
    <w:p>
      <w:pPr>
        <w:spacing w:after="0" w:line="142" w:lineRule="exact"/>
        <w:rPr>
          <w:rFonts w:ascii="Arial" w:cs="Arial" w:eastAsia="Arial" w:hAnsi="Arial"/>
          <w:sz w:val="17"/>
          <w:szCs w:val="17"/>
          <w:color w:val="465361"/>
        </w:rPr>
      </w:pPr>
    </w:p>
    <w:p>
      <w:pPr>
        <w:ind w:left="1400" w:right="40" w:hanging="426"/>
        <w:spacing w:after="0" w:line="277" w:lineRule="auto"/>
        <w:tabs>
          <w:tab w:leader="none" w:pos="140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legal claims against us, including product liability claims, which could be costly and time consuming to defend and result in substantial damages.</w:t>
      </w:r>
    </w:p>
    <w:p>
      <w:pPr>
        <w:spacing w:after="0" w:line="17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465361"/>
        </w:rPr>
        <w:t>In addition, certain of our products are marketed for use with products sold by third parties. For example, certain of our systems are marketed as compatible with major next-generation DNA sequencing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465361"/>
        </w:rPr>
        <w:t>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The occurrence of any one or more of the foregoing could negatively affect our business, financial condition, and results of operations.</w:t>
      </w:r>
    </w:p>
    <w:p>
      <w:pPr>
        <w:spacing w:after="0" w:line="22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465361"/>
        </w:rPr>
        <w:t>Our business depends on research and development spending levels of academic, clinical, and governmental research institutions, biopharmaceutical, biotechnology, and Ag-Bio companies, and CROs, a reduction in which could limit our ability to sell our products and adversely affect our business.</w:t>
      </w:r>
    </w:p>
    <w:p>
      <w:pPr>
        <w:spacing w:after="0" w:line="73"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465361"/>
        </w:rPr>
        <w:t>We expect that our revenue in the foreseeable future will be derived primarily from sales of our systems, IFCs, assays, and reagents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88" w:lineRule="exact"/>
        <w:rPr>
          <w:sz w:val="20"/>
          <w:szCs w:val="20"/>
          <w:color w:val="auto"/>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changes in economic conditions;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natural disasters;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changes in government programs that provide funding to research institutions and companies;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7"/>
          <w:szCs w:val="17"/>
          <w:color w:val="465361"/>
        </w:rPr>
      </w:pPr>
      <w:r>
        <w:rPr>
          <w:rFonts w:ascii="Arial" w:cs="Arial" w:eastAsia="Arial" w:hAnsi="Arial"/>
          <w:sz w:val="17"/>
          <w:szCs w:val="17"/>
          <w:color w:val="465361"/>
        </w:rPr>
        <w:t>changes in the regulatory environment affecting life science and Ag-Bio companies engaged in research and commercial activities;</w:t>
      </w:r>
    </w:p>
    <w:p>
      <w:pPr>
        <w:spacing w:after="0" w:line="142" w:lineRule="exact"/>
        <w:rPr>
          <w:rFonts w:ascii="Arial" w:cs="Arial" w:eastAsia="Arial" w:hAnsi="Arial"/>
          <w:sz w:val="17"/>
          <w:szCs w:val="17"/>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differences in budget cycles across various geographies and industries;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market-driven pressures on companies to consolidate operations and reduce costs;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mergers and acquisitions in the life science and Ag-Bio industries;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other factors affecting research and development spending.</w:t>
      </w:r>
    </w:p>
    <w:p>
      <w:pPr>
        <w:spacing w:after="0" w:line="22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465361"/>
        </w:rPr>
        <w:t>Any decrease in our customers’ budgets or expenditures, or in the size, scope, or frequency of capital or operating expenditures, could materially and adversely affect our operations or financial condition.</w:t>
      </w:r>
    </w:p>
    <w:p>
      <w:pPr>
        <w:spacing w:after="0" w:line="170"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465361"/>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38"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465361"/>
        </w:rPr>
        <w:t>We manufacture our genomics analytical and preparatory instruments and IFCs for commercial sale at our facility in Singapore, our mass cytometry instruments for commercial sale at our facility in Canada, and our assays and reagents for commercial sale at our headquarters in the United States. No other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465361"/>
        </w:rPr>
        <w:t>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67" w:lineRule="exact"/>
        <w:rPr>
          <w:sz w:val="20"/>
          <w:szCs w:val="20"/>
          <w:color w:val="auto"/>
        </w:rPr>
      </w:pPr>
    </w:p>
    <w:p>
      <w:pPr>
        <w:jc w:val="both"/>
        <w:ind w:left="200" w:right="420"/>
        <w:spacing w:after="0" w:line="312" w:lineRule="auto"/>
        <w:rPr>
          <w:sz w:val="20"/>
          <w:szCs w:val="20"/>
          <w:color w:val="auto"/>
        </w:rPr>
      </w:pPr>
      <w:r>
        <w:rPr>
          <w:rFonts w:ascii="Arial" w:cs="Arial" w:eastAsia="Arial" w:hAnsi="Arial"/>
          <w:sz w:val="16"/>
          <w:szCs w:val="16"/>
          <w:b w:val="1"/>
          <w:bCs w:val="1"/>
          <w:i w:val="1"/>
          <w:iCs w:val="1"/>
          <w:color w:val="465361"/>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3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465361"/>
        </w:rPr>
        <w:t>During the nine months ended September 30, 2018, and 2017, and the years ended December 31, 2017, and 2016, approximately 56%, 53%, 55% and 49%,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77" w:lineRule="exact"/>
        <w:rPr>
          <w:sz w:val="20"/>
          <w:szCs w:val="20"/>
          <w:color w:val="auto"/>
        </w:rPr>
      </w:pPr>
    </w:p>
    <w:p>
      <w:pPr>
        <w:ind w:left="1400" w:right="60" w:hanging="426"/>
        <w:spacing w:after="0" w:line="264" w:lineRule="auto"/>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86" w:lineRule="exact"/>
        <w:rPr>
          <w:rFonts w:ascii="Arial" w:cs="Arial" w:eastAsia="Arial" w:hAnsi="Arial"/>
          <w:sz w:val="18"/>
          <w:szCs w:val="18"/>
          <w:color w:val="465361"/>
        </w:rPr>
      </w:pPr>
    </w:p>
    <w:p>
      <w:pPr>
        <w:ind w:left="1400" w:right="660" w:hanging="426"/>
        <w:spacing w:after="0" w:line="277" w:lineRule="auto"/>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required compliance with anti-bribery laws, such as the U.S. Foreign Corrupt Practices Act and U.K. Bribery Act, data privacy requirements, labor laws, and anti-competition regulations;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export or import restrictions;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laws and business practices favoring local companies;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7"/>
          <w:szCs w:val="17"/>
          <w:color w:val="465361"/>
        </w:rPr>
      </w:pPr>
      <w:r>
        <w:rPr>
          <w:rFonts w:ascii="Arial" w:cs="Arial" w:eastAsia="Arial" w:hAnsi="Arial"/>
          <w:sz w:val="17"/>
          <w:szCs w:val="17"/>
          <w:color w:val="465361"/>
        </w:rPr>
        <w:t>longer payment cycles and difficulties in enforcing agreements and collecting receivables through certain foreign legal systems;</w:t>
      </w:r>
    </w:p>
    <w:p>
      <w:pPr>
        <w:spacing w:after="0" w:line="142" w:lineRule="exact"/>
        <w:rPr>
          <w:rFonts w:ascii="Arial" w:cs="Arial" w:eastAsia="Arial" w:hAnsi="Arial"/>
          <w:sz w:val="17"/>
          <w:szCs w:val="17"/>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unstable economic, political, and regulatory conditions;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potentially adverse tax consequences, tariffs, customs charges, bureaucratic requirements, and other trade barriers;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difficulties and costs of staffing and managing foreign operations;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difficulties protecting or procuring intellectual property rights.</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465361"/>
        </w:rPr>
        <w:t>If one or more of these risks occurs, it could require us to dedicate significant resources to remedy, and if we are unsuccessful in finding a solution, our financial results will suffer.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89" w:lineRule="exact"/>
        <w:rPr>
          <w:sz w:val="20"/>
          <w:szCs w:val="20"/>
          <w:color w:val="auto"/>
        </w:rPr>
      </w:pPr>
    </w:p>
    <w:p>
      <w:pPr>
        <w:ind w:left="200" w:right="40"/>
        <w:spacing w:after="0" w:line="283" w:lineRule="auto"/>
        <w:rPr>
          <w:sz w:val="20"/>
          <w:szCs w:val="20"/>
          <w:color w:val="auto"/>
        </w:rPr>
      </w:pPr>
      <w:r>
        <w:rPr>
          <w:rFonts w:ascii="Arial" w:cs="Arial" w:eastAsia="Arial" w:hAnsi="Arial"/>
          <w:sz w:val="16"/>
          <w:szCs w:val="16"/>
          <w:color w:val="465361"/>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we experienced foreign currency gain of $0.4 million during the nine months ended September 30, 2018, and losses of</w:t>
      </w:r>
    </w:p>
    <w:p>
      <w:pPr>
        <w:spacing w:after="0" w:line="5"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465361"/>
        </w:rPr>
        <w:t>$0.1 million and $1.5 million during the years ended December 31, 2017 and 2016, respectively. Fluctuations in currency exchange rates could have an adverse impact on our financial results in the future.</w:t>
      </w:r>
    </w:p>
    <w:p>
      <w:pPr>
        <w:spacing w:after="0" w:line="184"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465361"/>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54"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465361"/>
        </w:rPr>
        <w:t>We are dependent on single and sole source suppliers for some of the components and materials used in our products, and the loss of any of these suppliers could harm our business.</w:t>
      </w:r>
    </w:p>
    <w:p>
      <w:pPr>
        <w:spacing w:after="0" w:line="62" w:lineRule="exact"/>
        <w:rPr>
          <w:sz w:val="20"/>
          <w:szCs w:val="20"/>
          <w:color w:val="auto"/>
        </w:rPr>
      </w:pPr>
    </w:p>
    <w:p>
      <w:pPr>
        <w:jc w:val="both"/>
        <w:ind w:left="200" w:right="400"/>
        <w:spacing w:after="0" w:line="279" w:lineRule="auto"/>
        <w:rPr>
          <w:sz w:val="20"/>
          <w:szCs w:val="20"/>
          <w:color w:val="auto"/>
        </w:rPr>
      </w:pPr>
      <w:r>
        <w:rPr>
          <w:rFonts w:ascii="Arial" w:cs="Arial" w:eastAsia="Arial" w:hAnsi="Arial"/>
          <w:sz w:val="17"/>
          <w:szCs w:val="17"/>
          <w:color w:val="465361"/>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77" w:lineRule="exact"/>
        <w:rPr>
          <w:sz w:val="20"/>
          <w:szCs w:val="20"/>
          <w:color w:val="auto"/>
        </w:rPr>
      </w:pPr>
    </w:p>
    <w:p>
      <w:pPr>
        <w:jc w:val="both"/>
        <w:ind w:left="1400" w:hanging="426"/>
        <w:spacing w:after="0" w:line="264" w:lineRule="auto"/>
        <w:tabs>
          <w:tab w:leader="none" w:pos="140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Specialized pneumatic and electronic components for our C1, Callisto, Juno, and Polaris systems are available from a limited number of sources.</w:t>
      </w:r>
    </w:p>
    <w:p>
      <w:pPr>
        <w:spacing w:after="0" w:line="75" w:lineRule="exact"/>
        <w:rPr>
          <w:rFonts w:ascii="Arial" w:cs="Arial" w:eastAsia="Arial" w:hAnsi="Arial"/>
          <w:sz w:val="18"/>
          <w:szCs w:val="18"/>
          <w:color w:val="465361"/>
        </w:rPr>
      </w:pPr>
    </w:p>
    <w:p>
      <w:pPr>
        <w:ind w:left="1400" w:right="38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electron multiplier detector included in the Hyperion/Helios systems and certain metal isotopes used with the Hyperion/Helios systems are purchased from sole source suppliers.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movement stage included in the Hyperion imaging mass cytometer system is purchased from a sole source supplier.</w:t>
      </w:r>
    </w:p>
    <w:p>
      <w:pPr>
        <w:spacing w:after="0" w:line="130" w:lineRule="exact"/>
        <w:rPr>
          <w:rFonts w:ascii="Arial" w:cs="Arial" w:eastAsia="Arial" w:hAnsi="Arial"/>
          <w:sz w:val="18"/>
          <w:szCs w:val="18"/>
          <w:color w:val="465361"/>
        </w:rPr>
      </w:pPr>
    </w:p>
    <w:p>
      <w:pPr>
        <w:ind w:left="1400" w:right="48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nickel sampler cone used with the Hyperion/Helios systems is purchased from single source suppliers and is available from a limited number of sources.</w:t>
      </w:r>
    </w:p>
    <w:p>
      <w:pPr>
        <w:spacing w:after="0" w:line="75" w:lineRule="exact"/>
        <w:rPr>
          <w:rFonts w:ascii="Arial" w:cs="Arial" w:eastAsia="Arial" w:hAnsi="Arial"/>
          <w:sz w:val="18"/>
          <w:szCs w:val="18"/>
          <w:color w:val="465361"/>
        </w:rPr>
      </w:pPr>
    </w:p>
    <w:p>
      <w:pPr>
        <w:ind w:left="1400" w:right="500" w:hanging="426"/>
        <w:spacing w:after="0" w:line="277" w:lineRule="auto"/>
        <w:tabs>
          <w:tab w:leader="none" w:pos="140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465361"/>
        </w:rPr>
        <w:t>Our reliance on single and sole source suppliers and assembly service providers also subjects us to other risks that could harm our business, including the following:</w:t>
      </w:r>
    </w:p>
    <w:p>
      <w:pPr>
        <w:spacing w:after="0" w:line="76" w:lineRule="exact"/>
        <w:rPr>
          <w:sz w:val="20"/>
          <w:szCs w:val="20"/>
          <w:color w:val="auto"/>
        </w:rPr>
      </w:pPr>
    </w:p>
    <w:p>
      <w:pPr>
        <w:ind w:left="1400" w:hanging="426"/>
        <w:spacing w:after="0"/>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we may be subject to increased component or assembly costs;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we may not be able to obtain adequate supply or services in a timely manner or on commercially reasonable terms;</w:t>
      </w:r>
    </w:p>
    <w:p>
      <w:pPr>
        <w:spacing w:after="0" w:line="130" w:lineRule="exact"/>
        <w:rPr>
          <w:rFonts w:ascii="Arial" w:cs="Arial" w:eastAsia="Arial" w:hAnsi="Arial"/>
          <w:sz w:val="18"/>
          <w:szCs w:val="18"/>
          <w:color w:val="465361"/>
        </w:rPr>
      </w:pPr>
    </w:p>
    <w:p>
      <w:pPr>
        <w:ind w:left="1400" w:right="580" w:hanging="426"/>
        <w:spacing w:after="0" w:line="277" w:lineRule="auto"/>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our suppliers or service providers may make errors in manufacturing or assembly of components that could negatively affect the efficacy of our products or cause delays in shipment of our products; and</w:t>
      </w:r>
    </w:p>
    <w:p>
      <w:pPr>
        <w:spacing w:after="0" w:line="75" w:lineRule="exact"/>
        <w:rPr>
          <w:rFonts w:ascii="Arial" w:cs="Arial" w:eastAsia="Arial" w:hAnsi="Arial"/>
          <w:sz w:val="18"/>
          <w:szCs w:val="18"/>
          <w:color w:val="465361"/>
        </w:rPr>
      </w:pPr>
    </w:p>
    <w:p>
      <w:pPr>
        <w:ind w:left="1400" w:right="60" w:hanging="426"/>
        <w:spacing w:after="0" w:line="277" w:lineRule="auto"/>
        <w:tabs>
          <w:tab w:leader="none" w:pos="140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465361"/>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Our future success is dependent upon our ability to expand our customer base and introduce new applications.</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465361"/>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75" w:lineRule="auto"/>
        <w:rPr>
          <w:sz w:val="20"/>
          <w:szCs w:val="20"/>
          <w:color w:val="auto"/>
        </w:rPr>
      </w:pPr>
      <w:r>
        <w:rPr>
          <w:rFonts w:ascii="Arial" w:cs="Arial" w:eastAsia="Arial" w:hAnsi="Arial"/>
          <w:sz w:val="15"/>
          <w:szCs w:val="15"/>
          <w:b w:val="1"/>
          <w:bCs w:val="1"/>
          <w:i w:val="1"/>
          <w:iCs w:val="1"/>
          <w:color w:val="465361"/>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465361"/>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Impairment of our goodwill or other intangible assets could materially and adversely affect our business, operating results, and financial condition.</w:t>
      </w:r>
    </w:p>
    <w:p>
      <w:pPr>
        <w:spacing w:after="0" w:line="152"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465361"/>
        </w:rPr>
        <w:t>As of September 30, 2018, we had approximately $169.0 million of goodwill and net intangible assets, including approximately $104.1 million of goodwill and approximately $64.9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ind w:left="200" w:right="140"/>
        <w:spacing w:after="0" w:line="269" w:lineRule="auto"/>
        <w:rPr>
          <w:sz w:val="20"/>
          <w:szCs w:val="20"/>
          <w:color w:val="auto"/>
        </w:rPr>
      </w:pPr>
      <w:r>
        <w:rPr>
          <w:rFonts w:ascii="Arial" w:cs="Arial" w:eastAsia="Arial" w:hAnsi="Arial"/>
          <w:sz w:val="17"/>
          <w:szCs w:val="17"/>
          <w:color w:val="465361"/>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Our business operations are dependent upon our new senior management team and the ability of our other new employees to learn their new roles.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If we are unable to recruit and retain key executives, scientists, and technical support personnel, we may be unable to achieve our goals.</w:t>
      </w:r>
    </w:p>
    <w:p>
      <w:pPr>
        <w:spacing w:after="0" w:line="126"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465361"/>
        </w:rPr>
        <w:t>Our performance is substantially dependent on the performance of our senior management, which has substantially changed over the last few years, including, for example, a change in our chief executive officer in October 2016. In addition to our chief executive officer,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8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465361"/>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7" w:lineRule="exact"/>
        <w:rPr>
          <w:sz w:val="20"/>
          <w:szCs w:val="20"/>
          <w:color w:val="auto"/>
        </w:rPr>
      </w:pPr>
    </w:p>
    <w:p>
      <w:pPr>
        <w:ind w:left="200" w:right="720"/>
        <w:spacing w:after="0" w:line="375" w:lineRule="auto"/>
        <w:rPr>
          <w:sz w:val="20"/>
          <w:szCs w:val="20"/>
          <w:color w:val="auto"/>
        </w:rPr>
      </w:pPr>
      <w:r>
        <w:rPr>
          <w:rFonts w:ascii="Arial" w:cs="Arial" w:eastAsia="Arial" w:hAnsi="Arial"/>
          <w:sz w:val="15"/>
          <w:szCs w:val="15"/>
          <w:b w:val="1"/>
          <w:bCs w:val="1"/>
          <w:i w:val="1"/>
          <w:iCs w:val="1"/>
          <w:color w:val="465361"/>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465361"/>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b w:val="1"/>
          <w:bCs w:val="1"/>
          <w:i w:val="1"/>
          <w:iCs w:val="1"/>
          <w:color w:val="465361"/>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38"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465361"/>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6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465361"/>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3"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b w:val="1"/>
          <w:bCs w:val="1"/>
          <w:i w:val="1"/>
          <w:iCs w:val="1"/>
          <w:color w:val="465361"/>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7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465361"/>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465361"/>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465361"/>
        </w:rPr>
        <w:t>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87" w:lineRule="exact"/>
        <w:rPr>
          <w:sz w:val="20"/>
          <w:szCs w:val="20"/>
          <w:color w:val="auto"/>
        </w:rPr>
      </w:pPr>
    </w:p>
    <w:p>
      <w:pPr>
        <w:ind w:left="200" w:right="340"/>
        <w:spacing w:after="0" w:line="290" w:lineRule="auto"/>
        <w:rPr>
          <w:sz w:val="20"/>
          <w:szCs w:val="20"/>
          <w:color w:val="auto"/>
        </w:rPr>
      </w:pPr>
      <w:r>
        <w:rPr>
          <w:rFonts w:ascii="Arial" w:cs="Arial" w:eastAsia="Arial" w:hAnsi="Arial"/>
          <w:sz w:val="16"/>
          <w:szCs w:val="16"/>
          <w:color w:val="465361"/>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66"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465361"/>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92"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465361"/>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These directives have been replaced by Medical Device Regulation 2017/745 and In Vitro Diagnostic Regulation 2017/746, with official entry into force in May 26, 2017 and date of applications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465361"/>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73"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465361"/>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72"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465361"/>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78"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465361"/>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375" w:lineRule="auto"/>
        <w:rPr>
          <w:sz w:val="20"/>
          <w:szCs w:val="20"/>
          <w:color w:val="auto"/>
        </w:rPr>
      </w:pPr>
      <w:r>
        <w:rPr>
          <w:rFonts w:ascii="Arial" w:cs="Arial" w:eastAsia="Arial" w:hAnsi="Arial"/>
          <w:sz w:val="15"/>
          <w:szCs w:val="15"/>
          <w:b w:val="1"/>
          <w:bCs w:val="1"/>
          <w:i w:val="1"/>
          <w:iCs w:val="1"/>
          <w:color w:val="465361"/>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465361"/>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8"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465361"/>
        </w:rPr>
        <w:t>If we fail to maintain effective internal control over financial reporting in the future, the accuracy and timing of our financial reporting may be impaired, which could adversely affect our business and our stock price.</w:t>
      </w:r>
    </w:p>
    <w:p>
      <w:pPr>
        <w:spacing w:after="0" w:line="62"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465361"/>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54"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465361"/>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465361"/>
        </w:rPr>
        <w:t>S-21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465361"/>
        </w:rPr>
        <w:t>Our future capital needs are uncertain and we may need to raise additional funds in the future, which may cause dilution to stockholders or may be upon terms that are not favorable to us.</w:t>
      </w:r>
    </w:p>
    <w:p>
      <w:pPr>
        <w:spacing w:after="0" w:line="62"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465361"/>
        </w:rPr>
        <w:t>We believe that our existing cash and cash equivalents and availability under the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71" w:lineRule="exact"/>
        <w:rPr>
          <w:sz w:val="20"/>
          <w:szCs w:val="20"/>
          <w:color w:val="auto"/>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expanding the commercialization of our products;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funding our operations;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furthering our research and development;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acquiring other businesses or assets and licensing technologies.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Our future funding requirements will depend on many factors, including:</w:t>
      </w:r>
    </w:p>
    <w:p>
      <w:pPr>
        <w:spacing w:after="0" w:line="131" w:lineRule="exact"/>
        <w:rPr>
          <w:sz w:val="20"/>
          <w:szCs w:val="20"/>
          <w:color w:val="auto"/>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market acceptance of our products;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of our research and development activities;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of filing and prosecuting patent applications;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of defending any litigation including intellectual property, employment, contractual or other litigation;</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and timing of regulatory clearances or approvals, if any;</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sales, marketing, and distribution capabilities;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technical support capabilities;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fluctuations in cash demands (e.g., due to interest payments or payouts under existing cash compensation plans);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sales variability through the year and timing of related cash collections;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effectiveness of our recent efficiency and cost-savings initiatives;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effect of competing technological and market developments; and</w:t>
      </w:r>
    </w:p>
    <w:p>
      <w:pPr>
        <w:spacing w:after="0" w:line="130" w:lineRule="exact"/>
        <w:rPr>
          <w:rFonts w:ascii="Arial" w:cs="Arial" w:eastAsia="Arial" w:hAnsi="Arial"/>
          <w:sz w:val="18"/>
          <w:szCs w:val="18"/>
          <w:color w:val="465361"/>
        </w:rPr>
      </w:pPr>
    </w:p>
    <w:p>
      <w:pPr>
        <w:ind w:left="1400" w:right="420" w:hanging="426"/>
        <w:spacing w:after="0" w:line="277" w:lineRule="auto"/>
        <w:tabs>
          <w:tab w:leader="none" w:pos="140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465361"/>
        </w:rPr>
        <w:t>To the extent we draw on our $15.0 million revolving senior credit facility (the “2018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2018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465361"/>
        </w:rPr>
        <w:t>technologies that we would otherwise seek to commercialize. We also may have to reduce marketing, customer support, or other resources devoted to our products, or cease operations. Any of these factors could harm our operating results.</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465361"/>
        </w:rPr>
        <w:t>If we fail to comply with the covenants and other obligations under our credit facility, the lenders may be able to accelerate amounts owed under the facilities and may foreclose upon the assets securing our obligations.</w:t>
      </w:r>
    </w:p>
    <w:p>
      <w:pPr>
        <w:spacing w:after="0" w:line="62"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465361"/>
        </w:rPr>
        <w:t>In August 2018, we entered into the Revolving Credit Facility. The Revolving Credit Facility provides for secured revolving loans in an aggregate amount of up to $15.0 million. The Revolving Credit Facility is secured by substantially all of the Company’s assets, other than intellectual property. The Revolving Credit Facility contains customary affirmative and negative covenants which, unless waived by the bank, limit the Company’s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2018 Facility, the lenders would be able to accelerate the required repayment of amounts due under the 2018 Credit Agreement and, if they are not repaid, could foreclose upon the assets securing our obligations under the 2018 Facility.</w:t>
      </w:r>
    </w:p>
    <w:p>
      <w:pPr>
        <w:spacing w:after="0" w:line="192"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465361"/>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38"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465361"/>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laws. Based on our current assessment, we do not believe the impact of this legislation would be material, but our assumptions may prove to be wrong. Payment of additional amounts as a result of changes in applicable tax law or upon final adjudication of any disputes could have a material impact on our results of operations and financial position.</w:t>
      </w:r>
    </w:p>
    <w:p>
      <w:pPr>
        <w:spacing w:after="0" w:line="172"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465361"/>
        </w:rPr>
        <w:t>Adverse conditions in the global economy and disruption of financial markets may significantly harm our revenue, profitability, and results of operations.</w:t>
      </w:r>
    </w:p>
    <w:p>
      <w:pPr>
        <w:spacing w:after="0" w:line="6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465361"/>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465361"/>
        </w:rPr>
        <w:t>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465361"/>
        </w:rPr>
        <w:t>We may pursue acquisitions of complementary businesses, products of technologies to grow our business. If we are unable to identify, finance, or integrate future acquisitions successfully, our operating results and prospects could be harmed.</w:t>
      </w:r>
    </w:p>
    <w:p>
      <w:pPr>
        <w:spacing w:after="0" w:line="62"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465361"/>
        </w:rPr>
        <w:t>In order to grow our business, we may make acquisitions to improve our product offerings and technologies or to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To date, we have completed only one material acquisition, the acquisition of DVS in 2014, and there can be no assurances that we will be able to source, negotiate, or complete acquisitions that are complementary to our business. In addition, we may be required to finance future acquisitions through debt financings, which may not be available on terms our board of directors believes to be commercially reasonable, or we may fund acquisitions through the issuance of equity securities, which could be dilutive to existing stockholders. Any merger or acquisition we may pursue would involve numerous risks, including but not limited to the following:</w:t>
      </w:r>
    </w:p>
    <w:p>
      <w:pPr>
        <w:spacing w:after="0" w:line="84" w:lineRule="exact"/>
        <w:rPr>
          <w:sz w:val="20"/>
          <w:szCs w:val="20"/>
          <w:color w:val="auto"/>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difficulties in integrating and managing the operations, technologies, and products of the companies we acquire;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diversion of our management’s attention from normal daily operation of our business;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inability to maintain the key business relationships and the reputations of the businesses we acquire;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inability to retain key personnel of the acquired company;</w:t>
      </w:r>
    </w:p>
    <w:p>
      <w:pPr>
        <w:spacing w:after="0" w:line="130" w:lineRule="exact"/>
        <w:rPr>
          <w:rFonts w:ascii="Arial" w:cs="Arial" w:eastAsia="Arial" w:hAnsi="Arial"/>
          <w:sz w:val="18"/>
          <w:szCs w:val="18"/>
          <w:color w:val="465361"/>
        </w:rPr>
      </w:pPr>
    </w:p>
    <w:p>
      <w:pPr>
        <w:ind w:left="1400" w:right="500" w:hanging="426"/>
        <w:spacing w:after="0" w:line="277" w:lineRule="auto"/>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uncertainty of entry into markets in which we have limited or no prior experience and in which competitors have stronger market positions;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dependence on unfamiliar affiliates and customers of the companies we acquire;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insufficient revenue to offset our increased expenses associated with acquisitions;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responsibility for the liabilities of the businesses we acquire, including those which we may not anticipate;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our inability to maintain internal standards, controls, procedures, and policies.</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465361"/>
        </w:rPr>
        <w:t>Furthermore, market reaction to any proposed or completed acquisition may be negative which may materially and adversely affect the market price of our common stock.</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If we are unable to expand our direct sales and marketing force or distribution capabilities to adequately address our customers’ needs, our business may be adversely affected.</w:t>
      </w:r>
    </w:p>
    <w:p>
      <w:pPr>
        <w:spacing w:after="0" w:line="62"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465361"/>
        </w:rPr>
        <w:t>We may not be able to market, sell, and, distribute our products effectively enough to support our planned growth. We sell our products primarily through our own sales force and through distributors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465361"/>
        </w:rPr>
        <w:t>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6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465361"/>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8"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465361"/>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3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465361"/>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Changes in accounting principles, or interpretations thereof, could have a significant impact on our financial position and results of operations.</w:t>
      </w:r>
    </w:p>
    <w:p>
      <w:pPr>
        <w:spacing w:after="0" w:line="14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465361"/>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ind w:left="200" w:right="220"/>
        <w:spacing w:after="0" w:line="273" w:lineRule="auto"/>
        <w:rPr>
          <w:sz w:val="20"/>
          <w:szCs w:val="20"/>
          <w:color w:val="auto"/>
        </w:rPr>
      </w:pPr>
      <w:r>
        <w:rPr>
          <w:rFonts w:ascii="Arial" w:cs="Arial" w:eastAsia="Arial" w:hAnsi="Arial"/>
          <w:sz w:val="17"/>
          <w:szCs w:val="17"/>
          <w:color w:val="465361"/>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465361"/>
        </w:rPr>
        <w:t>the FASB’s and IASB’s efforts may require that we change how we process, analyze and report financial information and that we change financial reporting controls. Additionally, the FASB issued new guidance (ASU 2014-09) relating to Revenue from Contracts with Customers which supersedes nearly all existing U.S. GAAP revenue recognition guidance. The new guidance is effective for our fiscal year 2018. We adopted ASU 2014-09 in the first quarter of 2018 using the modified retrospective method. The adoption is not expected to have a material impact on our consolidated financial statements. Under the modified retrospective method, periods prior to the adoption of ASU 2014-09 are not restated and the cumulative effect of initially applying the new standard is reflected in the opening balance of retained earnings as of January 1, 2018. Additional disclosures are required for significant differences between the reported results under the new standard and those that would have been reported under the legacy standard. While we continue to evaluate the effect of the new standard on our ongoing financial reporting, we currently do not expect the cumulative effect of the new standard to be material. We continue to identify the appropriate changes to our business processes, systems, and controls to support revenue recognition and disclosure under the new standard.</w:t>
      </w:r>
    </w:p>
    <w:p>
      <w:pPr>
        <w:spacing w:after="0" w:line="178"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465361"/>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4"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465361"/>
        </w:rPr>
        <w:t>Our ability to use net operating loss carryforwards to offset future taxable income for U.S. federal income tax purposes and other tax benefits may be limited.</w:t>
      </w:r>
    </w:p>
    <w:p>
      <w:pPr>
        <w:spacing w:after="0" w:line="62"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Section 382 of the Internal Revenue Code of 1986, as amended, referred to as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p>
    <w:p>
      <w:pPr>
        <w:spacing w:after="0" w:line="188"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465361"/>
        </w:rPr>
        <w:t>If we experience an ownership change, our ability to use our NOLs, any loss or deduction attributable to a “net unrealized built-in loss” and other tax 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465361"/>
        </w:rPr>
        <w:t>We believe that these tax benefits are a valuable asset for us. However, legislation commonly known as the 2017 Tax Cuts and Jobs Act includes a decrease in the U.S. federal corporate income tax rate from 35% to 21%, and our tax benefits were 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We believe our NOLs are not at material risk of limitation based on an ownership change pursuant to Section 382 and we will continue to monitor our NOLs and any needs for tax benefit preservation plans. Any future tax benefit preservation plan could make it more difficult for a third party to acquire, or could discourage a third party from acquiring, us or a large block of our common stock.</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We have a significant amount of outstanding indebtedness, and our financial condition and results of operations could be adversely affected if we do not efficiently manage our liabilities.</w:t>
      </w:r>
    </w:p>
    <w:p>
      <w:pPr>
        <w:spacing w:after="0" w:line="62"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465361"/>
        </w:rPr>
        <w:t>As of September 30, 2018, we had outstanding $150.0 million aggregate principal amount of our 2018 Notes and $51.3 million aggregate principal amount of our 2014 Notes. This significant amount of debt has important risks to us and our investors, including:</w:t>
      </w:r>
    </w:p>
    <w:p>
      <w:pPr>
        <w:spacing w:after="0" w:line="76" w:lineRule="exact"/>
        <w:rPr>
          <w:sz w:val="20"/>
          <w:szCs w:val="20"/>
          <w:color w:val="auto"/>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requiring a portion of our cash flow from operations to make interest payments on this debt;</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increasing our vulnerability to general adverse economic and industry conditions;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reducing the cash flow available to fund capital expenditures and other corporate purposes and to grow our business;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limiting our flexibility in planning for, or reacting to, changes in our business and the industry;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limiting our ability to borrow additional funds as needed or take advantage of business opportunities as they arise.</w:t>
      </w:r>
    </w:p>
    <w:p>
      <w:pPr>
        <w:spacing w:after="0" w:line="22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465361"/>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Related to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Our ability to protect our intellectual property and proprietary technology through patents and other means is uncertain.</w:t>
      </w:r>
    </w:p>
    <w:p>
      <w:pPr>
        <w:spacing w:after="0" w:line="117"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465361"/>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69"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465361"/>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64" w:lineRule="exact"/>
        <w:rPr>
          <w:sz w:val="20"/>
          <w:szCs w:val="20"/>
          <w:color w:val="auto"/>
        </w:rPr>
      </w:pPr>
    </w:p>
    <w:p>
      <w:pPr>
        <w:ind w:left="5540" w:right="2000" w:hanging="4566"/>
        <w:spacing w:after="0" w:line="449" w:lineRule="auto"/>
        <w:tabs>
          <w:tab w:leader="none" w:pos="1402"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We might not have been the first to make the inventions covered by each of our pending patent applications; S-27</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426"/>
        <w:spacing w:after="0"/>
        <w:tabs>
          <w:tab w:leader="none" w:pos="140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We might not have been the first to file patent applications for these inventions;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The patents of others may have an adverse effect on our business;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5"/>
        </w:numPr>
        <w:rPr>
          <w:rFonts w:ascii="Arial" w:cs="Arial" w:eastAsia="Arial" w:hAnsi="Arial"/>
          <w:sz w:val="16"/>
          <w:szCs w:val="16"/>
          <w:color w:val="465361"/>
        </w:rPr>
      </w:pPr>
      <w:r>
        <w:rPr>
          <w:rFonts w:ascii="Arial" w:cs="Arial" w:eastAsia="Arial" w:hAnsi="Arial"/>
          <w:sz w:val="16"/>
          <w:szCs w:val="16"/>
          <w:color w:val="465361"/>
        </w:rPr>
        <w:t>Others may independently develop similar or alternative products and technologies or duplicate any of our products and technologies.</w:t>
      </w:r>
    </w:p>
    <w:p>
      <w:pPr>
        <w:spacing w:after="0" w:line="24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465361"/>
        </w:rPr>
        <w:t>To the extent our intellectual property, including licensed intellectual property, offers inadequate protection, or is found to be invalid or unenforceable, our competitive position and our business could be adversely affected.</w:t>
      </w:r>
    </w:p>
    <w:p>
      <w:pPr>
        <w:spacing w:after="0" w:line="17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465361"/>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7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465361"/>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6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465361"/>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78"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465361"/>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significant costs and expenses that could adversely affect our business, operating results, or financial condition.</w:t>
      </w:r>
    </w:p>
    <w:p>
      <w:pPr>
        <w:spacing w:after="0" w:line="225" w:lineRule="exact"/>
        <w:rPr>
          <w:sz w:val="20"/>
          <w:szCs w:val="20"/>
          <w:color w:val="auto"/>
        </w:rPr>
      </w:pPr>
    </w:p>
    <w:p>
      <w:pPr>
        <w:ind w:left="200" w:right="620"/>
        <w:spacing w:after="0" w:line="375" w:lineRule="auto"/>
        <w:rPr>
          <w:sz w:val="20"/>
          <w:szCs w:val="20"/>
          <w:color w:val="auto"/>
        </w:rPr>
      </w:pPr>
      <w:r>
        <w:rPr>
          <w:rFonts w:ascii="Arial" w:cs="Arial" w:eastAsia="Arial" w:hAnsi="Arial"/>
          <w:sz w:val="15"/>
          <w:szCs w:val="15"/>
          <w:b w:val="1"/>
          <w:bCs w:val="1"/>
          <w:i w:val="1"/>
          <w:iCs w:val="1"/>
          <w:color w:val="465361"/>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465361"/>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6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465361"/>
        </w:rPr>
        <w:t>We depend on certain technologies that are licensed to us. We do not control these technologies and any loss of our rights to them could prevent us from selling our products, which would have an adverse effect on our business.</w:t>
      </w:r>
    </w:p>
    <w:p>
      <w:pPr>
        <w:spacing w:after="0" w:line="62"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465361"/>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82"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465361"/>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465361"/>
        </w:rPr>
        <w:t>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We are subject to certain manufacturing restrictions related to licensed technologies that were developed with the financial assistance of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governmental grants.</w:t>
      </w:r>
    </w:p>
    <w:p>
      <w:pPr>
        <w:spacing w:after="0" w:line="103"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465361"/>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465361"/>
        </w:rPr>
        <w:t>We may be subject to information technology failures, including data protection breaches and cyber-attacks, that could disrupt our operations, damage our reputation and adversely affect our business, operations, and financial results.</w:t>
      </w:r>
    </w:p>
    <w:p>
      <w:pPr>
        <w:spacing w:after="0" w:line="6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465361"/>
        </w:rPr>
        <w:t>We rely on our information technology systems for the effective operation of our business and for the secure maintenance and storage of confidential data relating to our business and third-party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69"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465361"/>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465361"/>
        </w:rPr>
        <w:t>We are subject to certain obligations and restrictions relating to technologies developed in cooperation with Canadian government agencies.</w:t>
      </w:r>
    </w:p>
    <w:p>
      <w:pPr>
        <w:spacing w:after="0" w:line="14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465361"/>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Related to Our Outstanding Convertible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Our outstanding convertible notes are effectively subordinated to our secured debt and any liabilities of our subsidiaries.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Our outstanding 2014 Notes and 2018 Notes, which, collectively, we refer to as our “Notes”, rank:</w:t>
      </w:r>
    </w:p>
    <w:p>
      <w:pPr>
        <w:spacing w:after="0" w:line="131" w:lineRule="exact"/>
        <w:rPr>
          <w:sz w:val="20"/>
          <w:szCs w:val="20"/>
          <w:color w:val="auto"/>
        </w:rPr>
      </w:pPr>
    </w:p>
    <w:p>
      <w:pPr>
        <w:ind w:left="1400" w:hanging="426"/>
        <w:spacing w:after="0"/>
        <w:tabs>
          <w:tab w:leader="none" w:pos="14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senior in right of payment to any of our indebtedness that is expressly subordinated in right of payment to the Notes;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equal in right of payment to all of our liabilities that are not so subordinated;</w:t>
      </w:r>
    </w:p>
    <w:p>
      <w:pPr>
        <w:spacing w:after="0" w:line="130" w:lineRule="exact"/>
        <w:rPr>
          <w:rFonts w:ascii="Arial" w:cs="Arial" w:eastAsia="Arial" w:hAnsi="Arial"/>
          <w:sz w:val="18"/>
          <w:szCs w:val="18"/>
          <w:color w:val="465361"/>
        </w:rPr>
      </w:pPr>
    </w:p>
    <w:p>
      <w:pPr>
        <w:ind w:left="1400" w:right="420" w:hanging="426"/>
        <w:spacing w:after="0" w:line="308" w:lineRule="auto"/>
        <w:tabs>
          <w:tab w:leader="none" w:pos="1400" w:val="left"/>
        </w:tabs>
        <w:numPr>
          <w:ilvl w:val="0"/>
          <w:numId w:val="16"/>
        </w:numPr>
        <w:rPr>
          <w:rFonts w:ascii="Arial" w:cs="Arial" w:eastAsia="Arial" w:hAnsi="Arial"/>
          <w:sz w:val="17"/>
          <w:szCs w:val="17"/>
          <w:color w:val="465361"/>
        </w:rPr>
      </w:pPr>
      <w:r>
        <w:rPr>
          <w:rFonts w:ascii="Arial" w:cs="Arial" w:eastAsia="Arial" w:hAnsi="Arial"/>
          <w:sz w:val="17"/>
          <w:szCs w:val="17"/>
          <w:color w:val="465361"/>
        </w:rPr>
        <w:t>effectively junior in right of payment to any of our secured indebtedness, including, but not limited to, any indebtedness under the Revolving Credit Facility, to the extent of the value of the assets securing such indebtedness; and</w:t>
      </w:r>
    </w:p>
    <w:p>
      <w:pPr>
        <w:spacing w:after="0" w:line="51" w:lineRule="exact"/>
        <w:rPr>
          <w:rFonts w:ascii="Arial" w:cs="Arial" w:eastAsia="Arial" w:hAnsi="Arial"/>
          <w:sz w:val="17"/>
          <w:szCs w:val="17"/>
          <w:color w:val="465361"/>
        </w:rPr>
      </w:pPr>
    </w:p>
    <w:p>
      <w:pPr>
        <w:ind w:left="1400" w:hanging="426"/>
        <w:spacing w:after="0"/>
        <w:tabs>
          <w:tab w:leader="none" w:pos="140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structurally junior to all indebtedness and other liabilities (including trade payables) of our subsidiaries.</w:t>
      </w:r>
    </w:p>
    <w:p>
      <w:pPr>
        <w:spacing w:after="0" w:line="22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465361"/>
        </w:rPr>
        <w:t>In February 2014, we completed the offering of our 2014 Notes with an aggregate outstanding principal amount of $201.3 million. In March 2018, we completed an exchange of $150.0 million in aggregate principal amount of our 2014 Notes for $150.0 million in aggregate principal amount of our 2018 Notes, leaving approximately $51.3 million in aggregate principal amount of 2014 Notes outstanding. In the event of our bankruptcy, liquidation, reorganization, or other winding up, our assets that secure debt ranks senior in right of payment to Notes will be available to pay obligations on the Notes only after the secured debt, including, but not limited to, any indebtedness under the Revolving Credit Facility,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indentures governing the Notes do not prohibit us from incurring additional senior debt or secured debt, nor do they prohibit our subsidiaries from incurring additional liabilities.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65361"/>
        </w:rPr>
        <w:t>We have incurred additional debt and may still incur substantially more debt or take other actions which would intensify the risks discussed above.</w:t>
      </w:r>
    </w:p>
    <w:p>
      <w:pPr>
        <w:spacing w:after="0" w:line="152"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465361"/>
        </w:rPr>
        <w:t>We are not restricted under the terms of the indentures governing the Notes from incurring additional debt, securing existing or future debt, recapitalizing our debt, or taking a number of other actions that are not limited by the terms of the indentures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applicable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65"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465361"/>
        </w:rPr>
        <w:t>In August 2018, we entered into the Revolving Credit Facility with Silicon Valley Bank, which matures on August 2, 2020. Amounts drawn under the Revolving Credit Facility will be used for working capital and general corporate purposes. While we currently have no outstanding debt under the Revolving Credit Facility, we may incur up to $15.0 million of secured debt pursuant to the Revolving Credit Facility . See Note 4 to the Condensed Consolidated Financial Statements included in our quarterly report on Form 10-Q for the quarter ended September 30, 2018 for more information about the Revolving Credit Facility.</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S-32</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465361"/>
        </w:rPr>
        <w:t>We may not have the ability to raise the funds necessary to repurchase the Notes upon specified dates or upon a fundamental change, and our future debt may contain limitations on our ability to repurchase the Notes.</w:t>
      </w:r>
    </w:p>
    <w:p>
      <w:pPr>
        <w:spacing w:after="0" w:line="62"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465361"/>
        </w:rPr>
        <w:t>Holders of the Notes have the right to require us to repurchase all or a portion of their Notes on certain dates or upon the occurrence of a fundamental change at a repurchase price equal to, for the 2014 Notes, 100% of the principal amount of the 2014 Notes to be repurchased or, for 2018 Notes, 100% of the accreted principal amount (i.e., up to 120% of the outstanding principal amount) of the 2018 Notes to be repurchased, plus, in each case, accrued and unpaid interest, if any. We may not have enough available cash or be able to obtain financing at the time we are required to make repurchases of Notes surrendered therefor.</w:t>
      </w:r>
    </w:p>
    <w:p>
      <w:pPr>
        <w:spacing w:after="0" w:line="188"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465361"/>
        </w:rPr>
        <w:t>In addition, our ability to repurchase the Notes may be limited by law, regulatory authority, or agreements governing our future indebtedness. Our failure to repurchase Notes at a time when the repurchase is required by the applicable indenture would constitute a default under the applicable indenture. A default under the applicable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73"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465361"/>
        </w:rPr>
        <w:t>Any conversions of the Notes will dilute the ownership interest of our existing stockholders, including holders who had previously converted their notes.</w:t>
      </w:r>
    </w:p>
    <w:p>
      <w:pPr>
        <w:spacing w:after="0" w:line="62"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465361"/>
        </w:rPr>
        <w:t>Any conversion of some or all of the notes will dilute the ownership interests of our existing stockholders. The initial conversion price under the 2018 Notes is approximately $7.8775 as compared to approximately $55.94 under the 2014 Notes. As a result, each of the outstanding 2018 Notes is initially convertible into 126.9438 shares of our common stock per $1,000 principal amount while our outstanding 2014 Notes are initially convertible into</w:t>
      </w:r>
    </w:p>
    <w:p>
      <w:pPr>
        <w:jc w:val="both"/>
        <w:ind w:left="200" w:right="20"/>
        <w:spacing w:after="0" w:line="302" w:lineRule="auto"/>
        <w:rPr>
          <w:sz w:val="20"/>
          <w:szCs w:val="20"/>
          <w:color w:val="auto"/>
        </w:rPr>
      </w:pPr>
      <w:r>
        <w:rPr>
          <w:rFonts w:ascii="Arial" w:cs="Arial" w:eastAsia="Arial" w:hAnsi="Arial"/>
          <w:sz w:val="16"/>
          <w:szCs w:val="16"/>
          <w:color w:val="465361"/>
        </w:rPr>
        <w:t>17.8750 shares of our common stock per $1,000 principal amount. Issuances of shares of common stock upon conversion of our Notes could depress the market price of our common stock and impair our ability to raise capital through the sale of additional equity securities. In addition, the existence of the Notes may encourage short selling by market participants because the conversion of the Notes could depress the price of our common stock.</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Risks Relating to this Offering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We have broad discretion in the use of the net proceeds from this offering and may not use them effectively.</w:t>
      </w:r>
    </w:p>
    <w:p>
      <w:pPr>
        <w:spacing w:after="0" w:line="117" w:lineRule="exact"/>
        <w:rPr>
          <w:sz w:val="20"/>
          <w:szCs w:val="20"/>
          <w:color w:val="auto"/>
        </w:rPr>
      </w:pPr>
    </w:p>
    <w:p>
      <w:pPr>
        <w:jc w:val="both"/>
        <w:ind w:left="200" w:right="40"/>
        <w:spacing w:after="0" w:line="290" w:lineRule="auto"/>
        <w:rPr>
          <w:sz w:val="20"/>
          <w:szCs w:val="20"/>
          <w:color w:val="auto"/>
        </w:rPr>
      </w:pPr>
      <w:r>
        <w:rPr>
          <w:rFonts w:ascii="Arial" w:cs="Arial" w:eastAsia="Arial" w:hAnsi="Arial"/>
          <w:sz w:val="16"/>
          <w:szCs w:val="16"/>
          <w:color w:val="465361"/>
        </w:rPr>
        <w:t>We have broad discretion in the application of the net proceeds from this offering and could spend the proceeds in ways that do not improve our results of operations or enhance the value of our common stock. We intend to use the net proceeds from this offering for general corporate purposes, including working capital, capital expenditures, and continued research and development with respect to products and technologies. We may also use a portion of the net proceeds of this offering to fund possible investments in or acquisitions of complementary businesses, products, or technologies. As of the date of this prospectus supplement, we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465361"/>
        </w:rPr>
        <w:t>You may experience immediate and substantial dilution in the net tangible book value per share of the common stock you purchase.</w:t>
      </w:r>
    </w:p>
    <w:p>
      <w:pPr>
        <w:spacing w:after="0" w:line="12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465361"/>
        </w:rPr>
        <w:t>The price per share of our common stock being offered may be higher than the net tangible book value per share of our common stock outstanding prior to this offering. Assuming that an aggregate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465361"/>
        </w:rPr>
        <w:t>of 8,150,000 shares are sold at a price of $6.75 per share, for aggregate net proceeds of $51.3 million in this offering, and after deducting the underwriting discount and estimated offering expenses payable by us, you will suffer immediate and substantial dilution of $8.76 per share, representing the difference between the as adjusted net tangible book value per share of our common stock as of September 30, 2018 after giving effect to this offering and the assumed offering price.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You may experience future dilution as a result of future equity offerings.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465361"/>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5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465361"/>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73"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465361"/>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September 30, 2018, we had 39,315,785 shares of common stock outstanding, and stockholders holding at least 5% of our stock, individually or with affiliated persons or entities, collectively beneficially owned or controlled approximately 70.4% of such shares and one stockholder beneficially owned 32.4%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70.4% held by our top five stockholders as of September 30, 2018) means that a relatively small number of stockholders have significant control over the outcomes of stockholder voting.</w:t>
      </w:r>
    </w:p>
    <w:p>
      <w:pPr>
        <w:spacing w:after="0" w:line="18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465361"/>
        </w:rPr>
        <w:t>In addition, the trading price of our common stock may be highly volatile and could be subject to wide fluctuations in response to various factors, some of which are beyond our control. These factors include:</w:t>
      </w:r>
    </w:p>
    <w:p>
      <w:pPr>
        <w:spacing w:after="0" w:line="76" w:lineRule="exact"/>
        <w:rPr>
          <w:sz w:val="20"/>
          <w:szCs w:val="20"/>
          <w:color w:val="auto"/>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actual or anticipated quarterly variation in our results of operations or the results of our competitors;</w:t>
      </w:r>
    </w:p>
    <w:p>
      <w:pPr>
        <w:spacing w:after="0" w:line="130" w:lineRule="exact"/>
        <w:rPr>
          <w:rFonts w:ascii="Arial" w:cs="Arial" w:eastAsia="Arial" w:hAnsi="Arial"/>
          <w:sz w:val="18"/>
          <w:szCs w:val="18"/>
          <w:color w:val="465361"/>
        </w:rPr>
      </w:pPr>
    </w:p>
    <w:p>
      <w:pPr>
        <w:ind w:left="1400" w:right="160" w:hanging="426"/>
        <w:spacing w:after="0" w:line="264" w:lineRule="auto"/>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86" w:lineRule="exact"/>
        <w:rPr>
          <w:rFonts w:ascii="Arial" w:cs="Arial" w:eastAsia="Arial" w:hAnsi="Arial"/>
          <w:sz w:val="18"/>
          <w:szCs w:val="18"/>
          <w:color w:val="465361"/>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issuance of new or changed securities analysts’ reports or recommendations for our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developments or disputes concerning our intellectual property or other proprietary rights;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commencement of, or our involvement in, litigation;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S-34</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market conditions in the life science, Ag-Bio, and CRO sectors;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failure to complete significant sales;</w:t>
      </w:r>
    </w:p>
    <w:p>
      <w:pPr>
        <w:spacing w:after="0" w:line="130" w:lineRule="exact"/>
        <w:rPr>
          <w:rFonts w:ascii="Arial" w:cs="Arial" w:eastAsia="Arial" w:hAnsi="Arial"/>
          <w:sz w:val="18"/>
          <w:szCs w:val="18"/>
          <w:color w:val="465361"/>
        </w:rPr>
      </w:pPr>
    </w:p>
    <w:p>
      <w:pPr>
        <w:ind w:left="1400" w:right="320" w:hanging="426"/>
        <w:spacing w:after="0" w:line="277" w:lineRule="auto"/>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manufacturing disruptions that could occur if we were unable to successfully expand our production in our current or an alternative facility;</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any future sales of our common stock or other securities in connection with raising additional capital or otherwise;</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any major change to the composition of our board of directors or management;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general economic conditions and slow or negative growth of our markets.</w:t>
      </w:r>
    </w:p>
    <w:p>
      <w:pPr>
        <w:spacing w:after="0" w:line="22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9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465361"/>
        </w:rPr>
        <w:t>If securities or industry analysts publish unfavorable research about our business or cease to cover our business, our stock price and/or trading volume could decline.</w:t>
      </w:r>
    </w:p>
    <w:p>
      <w:pPr>
        <w:spacing w:after="0" w:line="62"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465361"/>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465361"/>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73" w:lineRule="exact"/>
        <w:rPr>
          <w:sz w:val="20"/>
          <w:szCs w:val="20"/>
          <w:color w:val="auto"/>
        </w:rPr>
      </w:pPr>
    </w:p>
    <w:p>
      <w:pPr>
        <w:ind w:left="200" w:right="860"/>
        <w:spacing w:after="0" w:line="277" w:lineRule="auto"/>
        <w:rPr>
          <w:sz w:val="20"/>
          <w:szCs w:val="20"/>
          <w:color w:val="auto"/>
        </w:rPr>
      </w:pPr>
      <w:r>
        <w:rPr>
          <w:rFonts w:ascii="Arial" w:cs="Arial" w:eastAsia="Arial" w:hAnsi="Arial"/>
          <w:sz w:val="18"/>
          <w:szCs w:val="18"/>
          <w:color w:val="465361"/>
        </w:rPr>
        <w:t>Provisions in our certificate of incorporation and bylaws may have the effect of delaying or preventing a change of control or changes in our management, including provisions that:</w:t>
      </w:r>
    </w:p>
    <w:p>
      <w:pPr>
        <w:spacing w:after="0" w:line="76" w:lineRule="exact"/>
        <w:rPr>
          <w:sz w:val="20"/>
          <w:szCs w:val="20"/>
          <w:color w:val="auto"/>
        </w:rPr>
      </w:pPr>
    </w:p>
    <w:p>
      <w:pPr>
        <w:ind w:left="1400" w:right="10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authorize our board of directors to issue, without further action by the stockholders, up to 10,000,000 shares of undesignated preferred stock;</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9"/>
        </w:numPr>
        <w:rPr>
          <w:rFonts w:ascii="Arial" w:cs="Arial" w:eastAsia="Arial" w:hAnsi="Arial"/>
          <w:sz w:val="16"/>
          <w:szCs w:val="16"/>
          <w:color w:val="465361"/>
        </w:rPr>
      </w:pPr>
      <w:r>
        <w:rPr>
          <w:rFonts w:ascii="Arial" w:cs="Arial" w:eastAsia="Arial" w:hAnsi="Arial"/>
          <w:sz w:val="16"/>
          <w:szCs w:val="16"/>
          <w:color w:val="465361"/>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465361"/>
        </w:rPr>
      </w:pPr>
    </w:p>
    <w:p>
      <w:pPr>
        <w:ind w:left="1400" w:right="42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specify that special meetings of our stockholders can be called only by our board of directors, the chairman of the board, the chief executive officer or the president;</w:t>
      </w:r>
    </w:p>
    <w:p>
      <w:pPr>
        <w:spacing w:after="0" w:line="75" w:lineRule="exact"/>
        <w:rPr>
          <w:rFonts w:ascii="Arial" w:cs="Arial" w:eastAsia="Arial" w:hAnsi="Arial"/>
          <w:sz w:val="18"/>
          <w:szCs w:val="18"/>
          <w:color w:val="465361"/>
        </w:rPr>
      </w:pPr>
    </w:p>
    <w:p>
      <w:pPr>
        <w:ind w:left="1400" w:right="8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465361"/>
        </w:rPr>
      </w:pPr>
    </w:p>
    <w:p>
      <w:pPr>
        <w:ind w:left="1400" w:right="60" w:hanging="426"/>
        <w:spacing w:after="0" w:line="277" w:lineRule="auto"/>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establish that our board of directors is divided into three classes, Class I, Class II, and Class III, with each class serving staggered three year terms;</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provide that our directors may be removed only for cause;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360" w:hanging="426"/>
        <w:spacing w:after="0" w:line="277" w:lineRule="auto"/>
        <w:tabs>
          <w:tab w:leader="none" w:pos="14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provide that vacancies on our board of directors may be filled only by a majority of directors then in office, even though less than a quorum;</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specify that no stockholder is permitted to cumulate votes at any election of directors; and</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require a super-majority of votes to amend certain of the above-mentioned provisions.</w:t>
      </w:r>
    </w:p>
    <w:p>
      <w:pPr>
        <w:spacing w:after="0" w:line="225"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465361"/>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465361"/>
        </w:rPr>
        <w:t>We have never paid cash dividends on our capital stock, and we do not anticipate paying any cash dividends in the foreseeable future.</w:t>
      </w:r>
    </w:p>
    <w:p>
      <w:pPr>
        <w:spacing w:after="0" w:line="129"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465361"/>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2018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SPECIAL NOTE REGARDING FORWARD-LOOKING STATEMENTS</w:t>
      </w:r>
    </w:p>
    <w:p>
      <w:pPr>
        <w:spacing w:after="0" w:line="22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465361"/>
        </w:rPr>
        <w:t>This prospectus supplement, the accompanying prospectus and the SEC filings that are incorporated by reference into this prospectus supplement and the accompanying prospectus contain or incorporate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in this prospectus supplement, the accompanying prospectus and the SEC filings that are incorporated by reference into this prospectus supplement and the accompanying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supplement captioned “Risk Factors” and in the sections of our Annual Report on Form 10-K captioned “Management’s Discussion and Analysis of Financial Condition and Results of Operations” and “Business,” and in the sections of our Quarterly Reports on Form 10-Q captioned “Risk Factors” and “Management’s Discussion and Analysis of Financial Condition and Results of Operations,” as well as other sections in such documents, discuss some of the factors that could contribute to these differences.</w:t>
      </w:r>
    </w:p>
    <w:p>
      <w:pPr>
        <w:spacing w:after="0" w:line="18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465361"/>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 supplement.</w:t>
      </w:r>
    </w:p>
    <w:p>
      <w:pPr>
        <w:spacing w:after="0" w:line="171" w:lineRule="exact"/>
        <w:rPr>
          <w:sz w:val="20"/>
          <w:szCs w:val="20"/>
          <w:color w:val="auto"/>
        </w:rPr>
      </w:pPr>
    </w:p>
    <w:p>
      <w:pPr>
        <w:ind w:left="200" w:right="120"/>
        <w:spacing w:after="0" w:line="289" w:lineRule="auto"/>
        <w:rPr>
          <w:sz w:val="20"/>
          <w:szCs w:val="20"/>
          <w:color w:val="auto"/>
        </w:rPr>
      </w:pPr>
      <w:r>
        <w:rPr>
          <w:rFonts w:ascii="Arial" w:cs="Arial" w:eastAsia="Arial" w:hAnsi="Arial"/>
          <w:sz w:val="16"/>
          <w:szCs w:val="16"/>
          <w:color w:val="465361"/>
        </w:rPr>
        <w:t>This prospectus supplement, the accompanying prospectus, and the documents incorporated by reference in this prospectus supplement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supplement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supplement and “Item 1A —Risk Factors” of our most recent report on Form 10-K or 10-Q which is incorporated by reference in this prospectus supplement. These and other factors could cause results to differ materially from those expressed in the estimates made by the independent parties and by us.</w:t>
      </w:r>
    </w:p>
    <w:p>
      <w:pPr>
        <w:spacing w:after="0" w:line="16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465361"/>
        </w:rPr>
        <w:t>All forward-looking statements are based on information available to us on the date of this prospectus supplement and we will not update any of the forward-looking statements after the date of this prospectus supplement, except as required by law. Our actual results could differ materially from those discussed in this prospectus supplement. The forward-looking statements contained in this prospectus supplement, and other written and oral forward-looking statements made by us from time to time, are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465361"/>
        </w:rPr>
        <w:t>subject to certain risks and uncertainties that could cause actual results to differ materially from those anticipated in the forward-looking statements. Factors that might cause such a difference include, but are not limited to, those discussed in the following discussion and within the section of this prospectus supplement captioned “Risk Factors” beginning on page S-6.</w:t>
      </w:r>
    </w:p>
    <w:p>
      <w:pPr>
        <w:spacing w:after="0" w:line="18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465361"/>
        </w:rPr>
        <w:t>USE OF PROCEEDS</w:t>
      </w:r>
    </w:p>
    <w:p>
      <w:pPr>
        <w:spacing w:after="0" w:line="229"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465361"/>
        </w:rPr>
        <w:t>We estimate that the net proceeds of this offering, after deducting underwriting discounts and commissions and estimated offering expenses payable by us, will be approximately $51.3 million (or approximately $59.1 million if the underwriters’ option to acquire additional shares of our common stock is exercised in full).</w:t>
      </w:r>
    </w:p>
    <w:p>
      <w:pPr>
        <w:spacing w:after="0" w:line="181"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465361"/>
        </w:rPr>
        <w:t>We intend to use the net proceeds from this offering for general corporate purposes, including working capital, capital expenditures, and continued research and development with respect to products and technologies. We may also use a portion of the net proceeds of this offering to fund possible investments in or acquisitions of complementary businesses, products, or technologies. As of the date of this prospectus supplement, we have no agreements or commitments to complete any such transaction. Pending these uses, we intend to invest our net proceeds from this offering primarily in investment-grade, interest-bearing instruments.</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465361"/>
        </w:rPr>
        <w:t>As of the date of this prospectus supplement,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465361"/>
        </w:rPr>
        <w:t>S-39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CERTAIN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NON-U.S. HOLDERS OF COMMON STOCK</w:t>
      </w:r>
    </w:p>
    <w:p>
      <w:pPr>
        <w:spacing w:after="0" w:line="21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465361"/>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tax consequences different from those set forth below. We have not sought any ruling from the IRS with respect to the statements made and the conclusions reached in the following summary, and there can be no assurance that the IRS will agree with such statements and conclusions.</w:t>
      </w:r>
    </w:p>
    <w:p>
      <w:pPr>
        <w:spacing w:after="0" w:line="178"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465361"/>
        </w:rPr>
        <w:t>This summary also does not address the tax considerations arising under the laws of any non-U.S., state or local jurisdiction or under U.S. federal gift and estate tax laws, except to the limited extent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banks, insurance companies or other financial institutions;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subject to the alternative minimum tax or net investment income tax;</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tax-exempt organizations or non-U.S. governments or governmental organizations;</w:t>
      </w:r>
    </w:p>
    <w:p>
      <w:pPr>
        <w:spacing w:after="0" w:line="130" w:lineRule="exact"/>
        <w:rPr>
          <w:rFonts w:ascii="Arial" w:cs="Arial" w:eastAsia="Arial" w:hAnsi="Arial"/>
          <w:sz w:val="18"/>
          <w:szCs w:val="18"/>
          <w:color w:val="465361"/>
        </w:rPr>
      </w:pPr>
    </w:p>
    <w:p>
      <w:pPr>
        <w:ind w:left="1400" w:right="20" w:hanging="426"/>
        <w:spacing w:after="0" w:line="277" w:lineRule="auto"/>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controlled foreign corporations, passive foreign investment companies and corporations that accumulate earnings to avoid United States federal income tax;</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brokers or dealers in securities or currencies;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traders in securities that elect to use a mark-to-market method of accounting for their securities holdings;</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6"/>
          <w:szCs w:val="16"/>
          <w:color w:val="465361"/>
        </w:rPr>
      </w:pPr>
      <w:r>
        <w:rPr>
          <w:rFonts w:ascii="Arial" w:cs="Arial" w:eastAsia="Arial" w:hAnsi="Arial"/>
          <w:sz w:val="16"/>
          <w:szCs w:val="16"/>
          <w:color w:val="465361"/>
        </w:rPr>
        <w:t>persons that own, or are deemed to own, more than five percent of our capital stock (except to the extent specifically set forth below);</w:t>
      </w:r>
    </w:p>
    <w:p>
      <w:pPr>
        <w:spacing w:after="0" w:line="153" w:lineRule="exact"/>
        <w:rPr>
          <w:rFonts w:ascii="Arial" w:cs="Arial" w:eastAsia="Arial" w:hAnsi="Arial"/>
          <w:sz w:val="16"/>
          <w:szCs w:val="16"/>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certain former citizens or long-term residents of the United States;</w:t>
      </w:r>
    </w:p>
    <w:p>
      <w:pPr>
        <w:spacing w:after="0" w:line="130" w:lineRule="exact"/>
        <w:rPr>
          <w:rFonts w:ascii="Arial" w:cs="Arial" w:eastAsia="Arial" w:hAnsi="Arial"/>
          <w:sz w:val="18"/>
          <w:szCs w:val="18"/>
          <w:color w:val="465361"/>
        </w:rPr>
      </w:pPr>
    </w:p>
    <w:p>
      <w:pPr>
        <w:ind w:left="1400" w:right="240" w:hanging="426"/>
        <w:spacing w:after="0" w:line="277" w:lineRule="auto"/>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entities or arrangements classified as partnerships for U.S. federal income tax purposes and other pass-through entities (and investors therein);</w:t>
      </w:r>
    </w:p>
    <w:p>
      <w:pPr>
        <w:spacing w:after="0" w:line="75" w:lineRule="exact"/>
        <w:rPr>
          <w:rFonts w:ascii="Arial" w:cs="Arial" w:eastAsia="Arial" w:hAnsi="Arial"/>
          <w:sz w:val="18"/>
          <w:szCs w:val="18"/>
          <w:color w:val="465361"/>
        </w:rPr>
      </w:pPr>
    </w:p>
    <w:p>
      <w:pPr>
        <w:ind w:left="1400" w:right="100" w:hanging="426"/>
        <w:spacing w:after="0" w:line="277" w:lineRule="auto"/>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6"/>
          <w:szCs w:val="16"/>
          <w:color w:val="465361"/>
        </w:rPr>
      </w:pPr>
      <w:r>
        <w:rPr>
          <w:rFonts w:ascii="Arial" w:cs="Arial" w:eastAsia="Arial" w:hAnsi="Arial"/>
          <w:sz w:val="16"/>
          <w:szCs w:val="16"/>
          <w:color w:val="465361"/>
        </w:rPr>
        <w:t>persons who hold or receive our common stock pursuant to the exercise of any employee stock option or otherwise as compensation;</w:t>
      </w:r>
    </w:p>
    <w:p>
      <w:pPr>
        <w:spacing w:after="0" w:line="153" w:lineRule="exact"/>
        <w:rPr>
          <w:rFonts w:ascii="Arial" w:cs="Arial" w:eastAsia="Arial" w:hAnsi="Arial"/>
          <w:sz w:val="16"/>
          <w:szCs w:val="16"/>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who do not hold our common stock as a capital asset (within the meaning of Section 1221 of the Code); or</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deemed to sell our common stock under the constructive sale provisions of the Code.</w:t>
      </w:r>
    </w:p>
    <w:p>
      <w:pPr>
        <w:spacing w:after="0" w:line="22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465361"/>
        </w:rPr>
        <w:t>In addition, if a partnership or entity or arrangement classified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314" w:lineRule="auto"/>
        <w:rPr>
          <w:sz w:val="20"/>
          <w:szCs w:val="20"/>
          <w:color w:val="auto"/>
        </w:rPr>
      </w:pPr>
      <w:r>
        <w:rPr>
          <w:rFonts w:ascii="Arial" w:cs="Arial" w:eastAsia="Arial" w:hAnsi="Arial"/>
          <w:sz w:val="16"/>
          <w:szCs w:val="16"/>
          <w:b w:val="1"/>
          <w:bCs w:val="1"/>
          <w:color w:val="465361"/>
        </w:rPr>
        <w:t>You are urged to consult your tax advisor with respect to the application of the U.S. federal income tax laws to your particular situation, as well as any tax consequences of the purchase, ownership and disposition of our common stock arising under the U.S. federal income, estate or gift tax rules or under the laws of any state, local, non-U.S. or other taxing jurisdiction or under any applicable tax treaty.</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Non-U.S. Holder Defined</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465361"/>
        </w:rPr>
        <w:t>For purposes of this discussion, you are a non-U.S. holder if you are a beneficial owner of our common stock that is not, for U.S. federal income tax purposes:</w:t>
      </w:r>
    </w:p>
    <w:p>
      <w:pPr>
        <w:spacing w:after="0" w:line="76" w:lineRule="exact"/>
        <w:rPr>
          <w:sz w:val="20"/>
          <w:szCs w:val="20"/>
          <w:color w:val="auto"/>
        </w:rPr>
      </w:pPr>
    </w:p>
    <w:p>
      <w:pPr>
        <w:ind w:left="1400" w:hanging="426"/>
        <w:spacing w:after="0"/>
        <w:tabs>
          <w:tab w:leader="none" w:pos="14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an individual citizen or resident of the United States;</w:t>
      </w:r>
    </w:p>
    <w:p>
      <w:pPr>
        <w:spacing w:after="0" w:line="130" w:lineRule="exact"/>
        <w:rPr>
          <w:rFonts w:ascii="Arial" w:cs="Arial" w:eastAsia="Arial" w:hAnsi="Arial"/>
          <w:sz w:val="18"/>
          <w:szCs w:val="18"/>
          <w:color w:val="465361"/>
        </w:rPr>
      </w:pPr>
    </w:p>
    <w:p>
      <w:pPr>
        <w:ind w:left="1400" w:right="120" w:hanging="426"/>
        <w:spacing w:after="0" w:line="277" w:lineRule="auto"/>
        <w:tabs>
          <w:tab w:leader="none" w:pos="14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a corporation or other entity taxable as a corporation created or organized in the United States or under the laws of the United States or any political subdivision thereof;</w:t>
      </w:r>
    </w:p>
    <w:p>
      <w:pPr>
        <w:spacing w:after="0" w:line="75" w:lineRule="exact"/>
        <w:rPr>
          <w:rFonts w:ascii="Arial" w:cs="Arial" w:eastAsia="Arial" w:hAnsi="Arial"/>
          <w:sz w:val="18"/>
          <w:szCs w:val="18"/>
          <w:color w:val="465361"/>
        </w:rPr>
      </w:pPr>
    </w:p>
    <w:p>
      <w:pPr>
        <w:ind w:left="1400" w:hanging="426"/>
        <w:spacing w:after="0"/>
        <w:tabs>
          <w:tab w:leader="none" w:pos="14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an estate whose income is subject to U.S. federal income tax regardless of its source; or</w:t>
      </w:r>
    </w:p>
    <w:p>
      <w:pPr>
        <w:spacing w:after="0" w:line="130" w:lineRule="exact"/>
        <w:rPr>
          <w:rFonts w:ascii="Arial" w:cs="Arial" w:eastAsia="Arial" w:hAnsi="Arial"/>
          <w:sz w:val="18"/>
          <w:szCs w:val="18"/>
          <w:color w:val="465361"/>
        </w:rPr>
      </w:pPr>
    </w:p>
    <w:p>
      <w:pPr>
        <w:ind w:left="1400" w:right="80" w:hanging="426"/>
        <w:spacing w:after="0" w:line="308" w:lineRule="auto"/>
        <w:tabs>
          <w:tab w:leader="none" w:pos="1400" w:val="left"/>
        </w:tabs>
        <w:numPr>
          <w:ilvl w:val="0"/>
          <w:numId w:val="22"/>
        </w:numPr>
        <w:rPr>
          <w:rFonts w:ascii="Arial" w:cs="Arial" w:eastAsia="Arial" w:hAnsi="Arial"/>
          <w:sz w:val="17"/>
          <w:szCs w:val="17"/>
          <w:color w:val="465361"/>
        </w:rPr>
      </w:pPr>
      <w:r>
        <w:rPr>
          <w:rFonts w:ascii="Arial" w:cs="Arial" w:eastAsia="Arial" w:hAnsi="Arial"/>
          <w:sz w:val="17"/>
          <w:szCs w:val="17"/>
          <w:color w:val="465361"/>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Distributions</w:t>
      </w:r>
    </w:p>
    <w:p>
      <w:pPr>
        <w:spacing w:after="0" w:line="121" w:lineRule="exact"/>
        <w:rPr>
          <w:sz w:val="20"/>
          <w:szCs w:val="20"/>
          <w:color w:val="auto"/>
        </w:rPr>
      </w:pPr>
    </w:p>
    <w:p>
      <w:pPr>
        <w:ind w:left="200" w:right="220"/>
        <w:spacing w:after="0" w:line="276" w:lineRule="auto"/>
        <w:rPr>
          <w:sz w:val="20"/>
          <w:szCs w:val="20"/>
          <w:color w:val="auto"/>
        </w:rPr>
      </w:pPr>
      <w:r>
        <w:rPr>
          <w:rFonts w:ascii="Arial" w:cs="Arial" w:eastAsia="Arial" w:hAnsi="Arial"/>
          <w:sz w:val="17"/>
          <w:szCs w:val="17"/>
          <w:color w:val="465361"/>
        </w:rPr>
        <w:t>We have not made any distributions on our common stock, and we do not plan to make any distributions for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w:t>
      </w:r>
    </w:p>
    <w:p>
      <w:pPr>
        <w:spacing w:after="0" w:line="173"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465361"/>
        </w:rPr>
        <w:t>Subject to the discussion below on FATCA, any amount distributed to you that is treated as a dividend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 A non-U.S. holder of shares of our common stock eligible for a reduced rate of U.S. withholding tax pursuant to an income tax treaty may be able to obtain a refund of any excess amounts withheld by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465361"/>
        </w:rPr>
        <w:t>Notwithstanding the preceding paragraph, 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Gain on Disposition of our Common Stock</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465361"/>
        </w:rPr>
        <w:t>Subject to the discussion below regarding backup withholding and FATCA, you generally will not be required to pay U.S. federal income tax on any gain realized upon the sale or other disposition of our common stock unless:</w:t>
      </w:r>
    </w:p>
    <w:p>
      <w:pPr>
        <w:spacing w:after="0" w:line="76" w:lineRule="exact"/>
        <w:rPr>
          <w:sz w:val="20"/>
          <w:szCs w:val="20"/>
          <w:color w:val="auto"/>
        </w:rPr>
      </w:pPr>
    </w:p>
    <w:p>
      <w:pPr>
        <w:ind w:left="1400" w:right="140" w:hanging="426"/>
        <w:spacing w:after="0" w:line="277" w:lineRule="auto"/>
        <w:tabs>
          <w:tab w:leader="none" w:pos="140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the gain is effectively connected with your conduct of a U.S. trade or business (and, if required by an applicable income tax treaty, the gain is attributable to a permanent establishment maintained by you in the United States);</w:t>
      </w:r>
    </w:p>
    <w:p>
      <w:pPr>
        <w:spacing w:after="0" w:line="75" w:lineRule="exact"/>
        <w:rPr>
          <w:rFonts w:ascii="Arial" w:cs="Arial" w:eastAsia="Arial" w:hAnsi="Arial"/>
          <w:sz w:val="18"/>
          <w:szCs w:val="18"/>
          <w:color w:val="465361"/>
        </w:rPr>
      </w:pPr>
    </w:p>
    <w:p>
      <w:pPr>
        <w:ind w:left="1400" w:right="80" w:hanging="426"/>
        <w:spacing w:after="0" w:line="277" w:lineRule="auto"/>
        <w:tabs>
          <w:tab w:leader="none" w:pos="140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465361"/>
        </w:rPr>
      </w:pPr>
    </w:p>
    <w:p>
      <w:pPr>
        <w:ind w:left="1400" w:hanging="426"/>
        <w:spacing w:after="0" w:line="264" w:lineRule="auto"/>
        <w:tabs>
          <w:tab w:leader="none" w:pos="1400" w:val="left"/>
        </w:tabs>
        <w:numPr>
          <w:ilvl w:val="0"/>
          <w:numId w:val="23"/>
        </w:numPr>
        <w:rPr>
          <w:rFonts w:ascii="Arial" w:cs="Arial" w:eastAsia="Arial" w:hAnsi="Arial"/>
          <w:sz w:val="18"/>
          <w:szCs w:val="18"/>
          <w:color w:val="465361"/>
        </w:rPr>
      </w:pPr>
      <w:r>
        <w:rPr>
          <w:rFonts w:ascii="Arial" w:cs="Arial" w:eastAsia="Arial" w:hAnsi="Arial"/>
          <w:sz w:val="18"/>
          <w:szCs w:val="18"/>
          <w:color w:val="465361"/>
        </w:rPr>
        <w:t>our common stock constitutes a U.S. real property interest by reason of our status as a “United States real property holding corporation” for U.S. federal income tax purposes, or USRPHC, at any time within the shorter of the five-year period preceding your disposition of, or your holding period for, our common stock.</w:t>
      </w:r>
    </w:p>
    <w:p>
      <w:pPr>
        <w:spacing w:after="0" w:line="18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465361"/>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U.S. real property interests only if you actually or constructively hold more than five percent of such regularly traded common stock at any time during the applicable period described above.</w:t>
      </w:r>
    </w:p>
    <w:p>
      <w:pPr>
        <w:spacing w:after="0" w:line="173"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465361"/>
        </w:rPr>
        <w:t>If you are a non-U.S. holder described in the first bullet above, you will be required to pay tax on the net gain derived from the sale under regular graduated U.S. federal income tax rates, and corporate non-U.S. holders described in the first bullet above may be subject to the branch profits tax at a 30% rate or such lower rate as may be specified by an applicable income tax treaty. If you are an individual non-U.S. holder described in the second bullet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You should consult your tax advisor regarding any applicable income tax or other treaties that may provide for different rules.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Backup Withholding and Information Reporting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465361"/>
        </w:rPr>
        <w:t>Generally, we must report annually to the IRS the amount of dividends paid to you, your name and address, and the amount of tax withheld, if any.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465361"/>
        </w:rPr>
        <w:t>Pursuant to applicable income tax treaties or other agreements, the IRS may make these reports available to tax authorities in your country of residence.</w:t>
      </w:r>
    </w:p>
    <w:p>
      <w:pPr>
        <w:spacing w:after="0" w:line="234"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465361"/>
        </w:rPr>
        <w:t>Payments of dividends or of proceeds on the disposition of stock made to you may be subject to information reporting and backup withholding at a current rate of 24% unless you establish an exemption, for example by properly certifying your non-U.S. status on an IRS Form W-8BEN, IRS Form W-8BEN-E or another appropriate version of IRS Form W8.</w:t>
      </w:r>
    </w:p>
    <w:p>
      <w:pPr>
        <w:spacing w:after="0" w:line="18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465361"/>
        </w:rPr>
        <w:t>Backup withholding is not an additional tax. If withholding results in an overpayment of taxes, a refund or credit may generally be obtained from the IRS, provided that the required information is furnished to the IRS in a timely manner.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FATCA</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465361"/>
        </w:rPr>
        <w:t>Provisions of the U.S. federal income tax law commonly referred to as “FATCA”, impose a U.S. federal withholding tax at a rate of 30% on dividends on and, after December 31, 2018, gross proceeds from the sale or other disposition of our common stock paid to a “foreign financial institution” (as specially defined under the FATCA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including through satisfaction of the requirements of an intergovernmental agreement between the United States and an applicable foreign country. FATCA also generally imposes a U.S. federal withholding tax of 30% on dividends on and gross proceeds from the sale or other disposition of our common stock paid to a “non-financial foreign entity” (as specially defined for purposes of these rules) unless such entity provides the withholding agent with a certification identifying certain substantial direct and indirect U.S. owners of the entity, certifies that there are none or otherwise establishes an exemption. Non-U.S. holders should consult their own tax advisors regarding the possible implications of this legislation on their investment in our common stock.</w:t>
      </w:r>
    </w:p>
    <w:p>
      <w:pPr>
        <w:spacing w:after="0" w:line="179" w:lineRule="exact"/>
        <w:rPr>
          <w:sz w:val="20"/>
          <w:szCs w:val="20"/>
          <w:color w:val="auto"/>
        </w:rPr>
      </w:pPr>
    </w:p>
    <w:p>
      <w:pPr>
        <w:ind w:left="200" w:right="160"/>
        <w:spacing w:after="0" w:line="314" w:lineRule="auto"/>
        <w:rPr>
          <w:sz w:val="20"/>
          <w:szCs w:val="20"/>
          <w:color w:val="auto"/>
        </w:rPr>
      </w:pPr>
      <w:r>
        <w:rPr>
          <w:rFonts w:ascii="Arial" w:cs="Arial" w:eastAsia="Arial" w:hAnsi="Arial"/>
          <w:sz w:val="16"/>
          <w:szCs w:val="16"/>
          <w:b w:val="1"/>
          <w:bCs w:val="1"/>
          <w:color w:val="465361"/>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Federal Estate Tax</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465361"/>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465361"/>
        </w:rPr>
        <w:t>UNDERWRITING</w:t>
      </w:r>
    </w:p>
    <w:p>
      <w:pPr>
        <w:spacing w:after="0" w:line="229" w:lineRule="exact"/>
        <w:rPr>
          <w:sz w:val="20"/>
          <w:szCs w:val="20"/>
          <w:color w:val="auto"/>
        </w:rPr>
      </w:pPr>
    </w:p>
    <w:p>
      <w:pPr>
        <w:ind w:left="200" w:right="320"/>
        <w:spacing w:after="0" w:line="312" w:lineRule="auto"/>
        <w:rPr>
          <w:sz w:val="20"/>
          <w:szCs w:val="20"/>
          <w:color w:val="auto"/>
        </w:rPr>
      </w:pPr>
      <w:r>
        <w:rPr>
          <w:rFonts w:ascii="Arial" w:cs="Arial" w:eastAsia="Arial" w:hAnsi="Arial"/>
          <w:sz w:val="16"/>
          <w:szCs w:val="16"/>
          <w:color w:val="465361"/>
        </w:rPr>
        <w:t>Piper Jaffray &amp; Co. and UBS Securities LLC are acting as the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our common stock set forth opposite its name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465361"/>
                <w:w w:val="94"/>
              </w:rPr>
              <w:t>Underwriters</w:t>
            </w:r>
          </w:p>
        </w:tc>
        <w:tc>
          <w:tcPr>
            <w:tcW w:w="6520" w:type="dxa"/>
            <w:vAlign w:val="bottom"/>
            <w:vMerge w:val="restart"/>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465361"/>
                <w:w w:val="94"/>
              </w:rPr>
              <w:t>Number</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6520" w:type="dxa"/>
            <w:vAlign w:val="bottom"/>
            <w:vMerge w:val="continue"/>
          </w:tcPr>
          <w:p>
            <w:pPr>
              <w:spacing w:after="0"/>
              <w:rPr>
                <w:sz w:val="15"/>
                <w:szCs w:val="15"/>
                <w:color w:val="auto"/>
              </w:rPr>
            </w:pP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465361"/>
                <w:w w:val="90"/>
              </w:rPr>
              <w:t>of Shares</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465361"/>
              </w:rPr>
              <w:t>Piper Jaffray &amp; Co.</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465361"/>
              </w:rPr>
              <w:t>4,075,000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465361"/>
              </w:rPr>
              <w:t>UBS Securities LLC</w:t>
            </w:r>
          </w:p>
        </w:tc>
        <w:tc>
          <w:tcPr>
            <w:tcW w:w="840" w:type="dxa"/>
            <w:vAlign w:val="bottom"/>
          </w:tcPr>
          <w:p>
            <w:pPr>
              <w:jc w:val="right"/>
              <w:spacing w:after="0"/>
              <w:rPr>
                <w:sz w:val="20"/>
                <w:szCs w:val="20"/>
                <w:color w:val="auto"/>
              </w:rPr>
            </w:pPr>
            <w:r>
              <w:rPr>
                <w:rFonts w:ascii="Arial" w:cs="Arial" w:eastAsia="Arial" w:hAnsi="Arial"/>
                <w:sz w:val="18"/>
                <w:szCs w:val="18"/>
                <w:color w:val="465361"/>
              </w:rPr>
              <w:t>2,771,000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465361"/>
              </w:rPr>
              <w:t>BTIG, LLC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652,000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465361"/>
              </w:rPr>
              <w:t>Janney Montgomery Scott LLC</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652,000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465361"/>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8,150,000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465361"/>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6"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465361"/>
        </w:rPr>
        <w:t>We have agreed to indemnify the several underwriters against certain liabilities, including liabilities under the Securities Act relating to losses or claims resulting from material misstatements in or omissions from this prospectus, the registration statement of which this prospectus is a part, certain free writing prospectuses that may be used in the offering and in any marketing materials used in connection with this offering and to contribute to payments the underwriters may be required to make in respect of those liabilities.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Discounts and Commissions</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465361"/>
        </w:rPr>
        <w:t>The representatives have advised us that the underwriters propose initially to offer the shares to the public at the public offering price set forth on the cover page of this prospectus and to certain dealers at that price less a concession not in excess of $0.243 per share of common stock. After a bona fide offering of the shares of our common stock at the initial public offering price, the public offering price, concession or any other term of this offering may be changed. The underwriters reserve the right to withdraw, cancel or modify offers to the public and to reject orders in whole or in part.</w:t>
      </w:r>
    </w:p>
    <w:p>
      <w:pPr>
        <w:spacing w:after="0" w:line="154"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465361"/>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90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465361"/>
                <w:w w:val="91"/>
              </w:rPr>
              <w:t>Per Share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465361"/>
              </w:rPr>
              <w:t>Without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465361"/>
              </w:rPr>
              <w:t>With</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465361"/>
              </w:rPr>
              <w:t>Option</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465361"/>
                <w:w w:val="97"/>
              </w:rPr>
              <w:t>Option</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465361"/>
              </w:rPr>
              <w:t>Public Offering Price</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46536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97"/>
              </w:rPr>
              <w:t>6.750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6"/>
              </w:rPr>
              <w:t>55,012,500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88"/>
              </w:rPr>
              <w:t>63,264,375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465361"/>
              </w:rPr>
              <w:t>Underwriting Discount</w:t>
            </w:r>
          </w:p>
        </w:tc>
        <w:tc>
          <w:tcPr>
            <w:tcW w:w="1420" w:type="dxa"/>
            <w:vAlign w:val="bottom"/>
            <w:gridSpan w:val="2"/>
          </w:tcPr>
          <w:p>
            <w:pPr>
              <w:ind w:left="1280"/>
              <w:spacing w:after="0"/>
              <w:rPr>
                <w:sz w:val="20"/>
                <w:szCs w:val="20"/>
                <w:color w:val="auto"/>
              </w:rPr>
            </w:pPr>
            <w:r>
              <w:rPr>
                <w:rFonts w:ascii="Arial" w:cs="Arial" w:eastAsia="Arial" w:hAnsi="Arial"/>
                <w:sz w:val="18"/>
                <w:szCs w:val="18"/>
                <w:color w:val="465361"/>
              </w:rPr>
              <w:t>$</w:t>
            </w:r>
          </w:p>
        </w:tc>
        <w:tc>
          <w:tcPr>
            <w:tcW w:w="480" w:type="dxa"/>
            <w:vAlign w:val="bottom"/>
          </w:tcPr>
          <w:p>
            <w:pPr>
              <w:jc w:val="right"/>
              <w:spacing w:after="0"/>
              <w:rPr>
                <w:sz w:val="20"/>
                <w:szCs w:val="20"/>
                <w:color w:val="auto"/>
              </w:rPr>
            </w:pPr>
            <w:r>
              <w:rPr>
                <w:rFonts w:ascii="Arial" w:cs="Arial" w:eastAsia="Arial" w:hAnsi="Arial"/>
                <w:sz w:val="18"/>
                <w:szCs w:val="18"/>
                <w:color w:val="465361"/>
                <w:w w:val="97"/>
              </w:rPr>
              <w:t>0.405</w:t>
            </w:r>
          </w:p>
        </w:tc>
        <w:tc>
          <w:tcPr>
            <w:tcW w:w="54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820" w:type="dxa"/>
            <w:vAlign w:val="bottom"/>
          </w:tcPr>
          <w:p>
            <w:pPr>
              <w:jc w:val="right"/>
              <w:spacing w:after="0"/>
              <w:rPr>
                <w:sz w:val="20"/>
                <w:szCs w:val="20"/>
                <w:color w:val="auto"/>
              </w:rPr>
            </w:pPr>
            <w:r>
              <w:rPr>
                <w:rFonts w:ascii="Arial" w:cs="Arial" w:eastAsia="Arial" w:hAnsi="Arial"/>
                <w:sz w:val="18"/>
                <w:szCs w:val="18"/>
                <w:color w:val="465361"/>
                <w:w w:val="97"/>
              </w:rPr>
              <w:t>3,300,750</w:t>
            </w:r>
          </w:p>
        </w:tc>
        <w:tc>
          <w:tcPr>
            <w:tcW w:w="54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820" w:type="dxa"/>
            <w:vAlign w:val="bottom"/>
          </w:tcPr>
          <w:p>
            <w:pPr>
              <w:jc w:val="right"/>
              <w:spacing w:after="0"/>
              <w:rPr>
                <w:sz w:val="20"/>
                <w:szCs w:val="20"/>
                <w:color w:val="auto"/>
              </w:rPr>
            </w:pPr>
            <w:r>
              <w:rPr>
                <w:rFonts w:ascii="Arial" w:cs="Arial" w:eastAsia="Arial" w:hAnsi="Arial"/>
                <w:sz w:val="18"/>
                <w:szCs w:val="18"/>
                <w:color w:val="465361"/>
                <w:w w:val="99"/>
              </w:rPr>
              <w:t>3,795,863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46536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7"/>
              </w:rPr>
              <w:t>6.345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86"/>
              </w:rPr>
              <w:t>51,711,750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88"/>
              </w:rPr>
              <w:t>59,468,513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The estimated offering expenses payable by us, exclusive of the underwriting discount and commissions, are approximately $375,000.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465361"/>
        </w:rPr>
        <w:t>S-44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465361"/>
        </w:rPr>
        <w:t>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If an underwriter defaults, the underwriting agreement provides that the purchase commitments of the non-defaulting underwriters may be increased.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Option to Purchase Additional Shares</w:t>
      </w:r>
    </w:p>
    <w:p>
      <w:pPr>
        <w:spacing w:after="0" w:line="121"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465361"/>
        </w:rPr>
        <w:t>We have granted to the underwriters an option, exercisable for 30 days from the date of this prospectus, to purchase up to 1,222,500 additional shares of common stock at the public offering price listed on the cover page of this prospectus, less the underwriting discount and commissions. To the extent the option is exercised, each underwriter will become obligated, subject to certain conditions, to purchase about the same percentage of the additional shares of common stock as the number listed next to the underwriter’s name in the table above bears to the total number of shares of common stock listed next to the names of all underwriters in the preceding table.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No Sales of Similar Securities</w:t>
      </w:r>
    </w:p>
    <w:p>
      <w:pPr>
        <w:spacing w:after="0" w:line="121"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465361"/>
        </w:rPr>
        <w:t>We have agreed not to sell or transfer, without the consent of the representatives, and our executive officers and directors have agreed not to sell or transfer, without the consent of Piper Jaffray, any shares of our common stock or securities convertible into, exchangeable or exercisable for, or that represent the right to receive shares of our common stock, for 75 days after the date of the prospectus used to sell our common stock. Specifically, we and these other persons have agreed, with certain limited exceptions, not to directly or indirectly:</w:t>
      </w:r>
    </w:p>
    <w:p>
      <w:pPr>
        <w:spacing w:after="0" w:line="77" w:lineRule="exact"/>
        <w:rPr>
          <w:sz w:val="20"/>
          <w:szCs w:val="20"/>
          <w:color w:val="auto"/>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offer, pledge, announce the intention to sell, sell or contract to sell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sell any option or contract to purchase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purchase any option or contract to sell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grant any option, right or warrant to purchase any shares of our common stock;</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make any short sale or otherwise transfer or dispose of any shares of our common stock;</w:t>
      </w:r>
    </w:p>
    <w:p>
      <w:pPr>
        <w:spacing w:after="0" w:line="130" w:lineRule="exact"/>
        <w:rPr>
          <w:rFonts w:ascii="Arial" w:cs="Arial" w:eastAsia="Arial" w:hAnsi="Arial"/>
          <w:sz w:val="18"/>
          <w:szCs w:val="18"/>
          <w:color w:val="465361"/>
        </w:rPr>
      </w:pPr>
    </w:p>
    <w:p>
      <w:pPr>
        <w:ind w:left="1400" w:right="60" w:hanging="426"/>
        <w:spacing w:after="0" w:line="342" w:lineRule="auto"/>
        <w:tabs>
          <w:tab w:leader="none" w:pos="1400" w:val="left"/>
        </w:tabs>
        <w:numPr>
          <w:ilvl w:val="0"/>
          <w:numId w:val="24"/>
        </w:numPr>
        <w:rPr>
          <w:rFonts w:ascii="Arial" w:cs="Arial" w:eastAsia="Arial" w:hAnsi="Arial"/>
          <w:sz w:val="16"/>
          <w:szCs w:val="16"/>
          <w:color w:val="465361"/>
        </w:rPr>
      </w:pPr>
      <w:r>
        <w:rPr>
          <w:rFonts w:ascii="Arial" w:cs="Arial" w:eastAsia="Arial" w:hAnsi="Arial"/>
          <w:sz w:val="16"/>
          <w:szCs w:val="16"/>
          <w:color w:val="465361"/>
        </w:rPr>
        <w:t>enter into any swap or other agreement that transfers, in whole or in part, the economic consequences of ownership of any shares of our common stock whether any such swap or transaction is to be settled by delivery of shares or other securities, in cash or otherwise; or</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Price Stabilization, Short Positions, Penalty Bids and Passive Market Making</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465361"/>
        </w:rPr>
        <w:t>Until the distribution of the shares is completed, SEC rules may limit underwriters and selling group members from bidding for and purchasing shares of our common stock. However, the underwriters may engage in transactions that stabilize the price of our common stock, such as bids or purchases to peg, fix or maintain that price.</w:t>
      </w:r>
    </w:p>
    <w:p>
      <w:pPr>
        <w:spacing w:after="0" w:line="18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465361"/>
        </w:rPr>
        <w:t>In connection with this offering, the underwriters may purchase and sell shares of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acquire additional shares from us or by purchasing shares in the open market. In determining the source of shares to close out the covered short position, the underwriters will consider,</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465361"/>
        </w:rPr>
        <w:t>among other things, the price of shares available for purchase in the open market as compared to the price at which they may purchase shares through their option to acquire additional shares from us. “Naked” short sales are sales in excess of the underwriters’ option to acquire additional shares from us.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w:t>
      </w:r>
    </w:p>
    <w:p>
      <w:pPr>
        <w:spacing w:after="0" w:line="178"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465361"/>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465361"/>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465361"/>
        </w:rPr>
        <w:t>In addition, the underwriters may engage in passive market making transactions in our common stock on the NASDAQ Global Market in connection with this offering during a period before the commencement of offers or sales of common stock and extending through the completion of the distribution of this offering. In general, a passive market maker must display its bid at a price not in excess of the highest independent bid for the security. If all independent bids are lowered below the bid of the passive market maker, however, the bid must then be lowered when purchase limits are exceeded. Net purchases by a passive market maker on each day are limited to a specified percentage of the passive market maker’s average daily trading volume in the common stock during a specified period and must be discontinued when that limit is reached.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66" w:lineRule="exact"/>
        <w:rPr>
          <w:sz w:val="20"/>
          <w:szCs w:val="20"/>
          <w:color w:val="auto"/>
        </w:rPr>
      </w:pPr>
    </w:p>
    <w:p>
      <w:pPr>
        <w:ind w:left="200" w:right="520"/>
        <w:spacing w:after="0" w:line="312" w:lineRule="auto"/>
        <w:rPr>
          <w:sz w:val="20"/>
          <w:szCs w:val="20"/>
          <w:color w:val="auto"/>
        </w:rPr>
      </w:pPr>
      <w:r>
        <w:rPr>
          <w:rFonts w:ascii="Arial" w:cs="Arial" w:eastAsia="Arial" w:hAnsi="Arial"/>
          <w:sz w:val="16"/>
          <w:szCs w:val="16"/>
          <w:color w:val="465361"/>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Electronic Offer, Sale and Distribution of Shares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465361"/>
        </w:rPr>
        <w:t>In connection with this offering, certain of the underwriters or securities dealers may distribute prospectuses by electronic means, such as e-mail. In addition, one or more of the underwriters may facilitate internet distribution for this offering to certain of their Internet subscription customers. Any such underwriter may allocate a limited number of shares for sale to its online brokerage customers. An electronic prospectus is available on the internet websites maintained by any such underwriter. Other than the prospectus in electronic format, the information on the websites of any such underwriter is not part of this prospectus.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Other Relationships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465361"/>
        </w:rPr>
        <w:t>The underwriters and their respective affiliates are full service financial institutions engaged in various activities, which may include securities trading, commercial and investment banking, financial advisory,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465361"/>
        </w:rPr>
        <w:t>investment management, investment research, principal investment, hedging, financing and brokerage activities. Certain of the underwriters or their affiliates may in the future engage in investment banking and other commercial dealings with us or our affiliates in the ordinary course of business, for which they may receive customary fees and commissions.</w:t>
      </w:r>
    </w:p>
    <w:p>
      <w:pPr>
        <w:spacing w:after="0" w:line="18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65361"/>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European Economic Area</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465361"/>
        </w:rPr>
        <w:t>In relation to each Member State of the European Economic Area which has implemented the Prospectus Directive, each being referred to as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79" w:lineRule="exact"/>
        <w:rPr>
          <w:sz w:val="20"/>
          <w:szCs w:val="20"/>
          <w:color w:val="auto"/>
        </w:rPr>
      </w:pPr>
    </w:p>
    <w:p>
      <w:pPr>
        <w:ind w:left="660" w:hanging="236"/>
        <w:spacing w:after="0"/>
        <w:tabs>
          <w:tab w:leader="none" w:pos="66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to any legal entity which is a qualified investor as defined in the Prospectus Directive;</w:t>
      </w:r>
    </w:p>
    <w:p>
      <w:pPr>
        <w:spacing w:after="0" w:line="117" w:lineRule="exact"/>
        <w:rPr>
          <w:rFonts w:ascii="Arial" w:cs="Arial" w:eastAsia="Arial" w:hAnsi="Arial"/>
          <w:sz w:val="18"/>
          <w:szCs w:val="18"/>
          <w:color w:val="465361"/>
        </w:rPr>
      </w:pPr>
    </w:p>
    <w:p>
      <w:pPr>
        <w:ind w:left="420" w:right="740" w:firstLine="4"/>
        <w:spacing w:after="0" w:line="277" w:lineRule="auto"/>
        <w:tabs>
          <w:tab w:leader="none" w:pos="675"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to fewer than 150, natural or legal persons (other than qualified investors as defined in the Prospectus Directive), as permitted under the Prospectus Directive, subject to obtaining the prior consent of the representative for any such offer; or</w:t>
      </w:r>
    </w:p>
    <w:p>
      <w:pPr>
        <w:spacing w:after="0" w:line="62" w:lineRule="exact"/>
        <w:rPr>
          <w:rFonts w:ascii="Arial" w:cs="Arial" w:eastAsia="Arial" w:hAnsi="Arial"/>
          <w:sz w:val="18"/>
          <w:szCs w:val="18"/>
          <w:color w:val="465361"/>
        </w:rPr>
      </w:pPr>
    </w:p>
    <w:p>
      <w:pPr>
        <w:ind w:left="420" w:firstLine="4"/>
        <w:spacing w:after="0" w:line="308" w:lineRule="auto"/>
        <w:tabs>
          <w:tab w:leader="none" w:pos="665" w:val="left"/>
        </w:tabs>
        <w:numPr>
          <w:ilvl w:val="0"/>
          <w:numId w:val="25"/>
        </w:numPr>
        <w:rPr>
          <w:rFonts w:ascii="Arial" w:cs="Arial" w:eastAsia="Arial" w:hAnsi="Arial"/>
          <w:sz w:val="17"/>
          <w:szCs w:val="17"/>
          <w:color w:val="465361"/>
        </w:rPr>
      </w:pPr>
      <w:r>
        <w:rPr>
          <w:rFonts w:ascii="Arial" w:cs="Arial" w:eastAsia="Arial" w:hAnsi="Arial"/>
          <w:sz w:val="17"/>
          <w:szCs w:val="17"/>
          <w:color w:val="465361"/>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7"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465361"/>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United Kingdom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Each underwriter has represented and agreed that:</w:t>
      </w:r>
    </w:p>
    <w:p>
      <w:pPr>
        <w:spacing w:after="0" w:line="117" w:lineRule="exact"/>
        <w:rPr>
          <w:sz w:val="20"/>
          <w:szCs w:val="20"/>
          <w:color w:val="auto"/>
        </w:rPr>
      </w:pPr>
    </w:p>
    <w:p>
      <w:pPr>
        <w:ind w:left="420" w:right="80" w:firstLine="4"/>
        <w:spacing w:after="0" w:line="312" w:lineRule="auto"/>
        <w:tabs>
          <w:tab w:leader="none" w:pos="665" w:val="left"/>
        </w:tabs>
        <w:numPr>
          <w:ilvl w:val="0"/>
          <w:numId w:val="26"/>
        </w:numPr>
        <w:rPr>
          <w:rFonts w:ascii="Arial" w:cs="Arial" w:eastAsia="Arial" w:hAnsi="Arial"/>
          <w:sz w:val="16"/>
          <w:szCs w:val="16"/>
          <w:color w:val="465361"/>
        </w:rPr>
      </w:pPr>
      <w:r>
        <w:rPr>
          <w:rFonts w:ascii="Arial" w:cs="Arial" w:eastAsia="Arial" w:hAnsi="Arial"/>
          <w:sz w:val="16"/>
          <w:szCs w:val="16"/>
          <w:color w:val="465361"/>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of our common stock in circumstances in which Section 21(1) of the FSMA does not apply to us;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320" w:firstLine="4"/>
        <w:spacing w:after="0" w:line="277" w:lineRule="auto"/>
        <w:tabs>
          <w:tab w:leader="none" w:pos="675" w:val="left"/>
        </w:tabs>
        <w:numPr>
          <w:ilvl w:val="0"/>
          <w:numId w:val="27"/>
        </w:numPr>
        <w:rPr>
          <w:rFonts w:ascii="Arial" w:cs="Arial" w:eastAsia="Arial" w:hAnsi="Arial"/>
          <w:sz w:val="18"/>
          <w:szCs w:val="18"/>
          <w:color w:val="465361"/>
        </w:rPr>
      </w:pPr>
      <w:r>
        <w:rPr>
          <w:rFonts w:ascii="Arial" w:cs="Arial" w:eastAsia="Arial" w:hAnsi="Arial"/>
          <w:sz w:val="18"/>
          <w:szCs w:val="18"/>
          <w:color w:val="465361"/>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Canada</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465361"/>
        </w:rPr>
        <w:t>The common stock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shares of common stock must be made in accordance with an exemption from the prospectus requirements and in compliance with the registration requirements of applicable securities laws.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Hong Kong</w:t>
      </w:r>
    </w:p>
    <w:p>
      <w:pPr>
        <w:spacing w:after="0" w:line="11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465361"/>
        </w:rPr>
        <w:t>The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Singapore</w:t>
      </w:r>
    </w:p>
    <w:p>
      <w:pPr>
        <w:spacing w:after="0" w:line="11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465361"/>
        </w:rPr>
        <w:t>This prospectus has not been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Where the common stock are subscribed or purchased under Section 275 of the SFA by a relevant person which is:</w:t>
      </w:r>
    </w:p>
    <w:p>
      <w:pPr>
        <w:spacing w:after="0" w:line="117" w:lineRule="exact"/>
        <w:rPr>
          <w:sz w:val="20"/>
          <w:szCs w:val="20"/>
          <w:color w:val="auto"/>
        </w:rPr>
      </w:pPr>
    </w:p>
    <w:p>
      <w:pPr>
        <w:ind w:left="420" w:right="40" w:firstLine="4"/>
        <w:spacing w:after="0" w:line="277" w:lineRule="auto"/>
        <w:tabs>
          <w:tab w:leader="none" w:pos="665" w:val="left"/>
        </w:tabs>
        <w:numPr>
          <w:ilvl w:val="0"/>
          <w:numId w:val="28"/>
        </w:numPr>
        <w:rPr>
          <w:rFonts w:ascii="Arial" w:cs="Arial" w:eastAsia="Arial" w:hAnsi="Arial"/>
          <w:sz w:val="18"/>
          <w:szCs w:val="18"/>
          <w:color w:val="465361"/>
        </w:rPr>
      </w:pPr>
      <w:r>
        <w:rPr>
          <w:rFonts w:ascii="Arial" w:cs="Arial" w:eastAsia="Arial" w:hAnsi="Arial"/>
          <w:sz w:val="18"/>
          <w:szCs w:val="18"/>
          <w:color w:val="465361"/>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465361"/>
        </w:rPr>
      </w:pPr>
    </w:p>
    <w:p>
      <w:pPr>
        <w:ind w:left="420" w:right="40" w:firstLine="4"/>
        <w:spacing w:after="0" w:line="286" w:lineRule="auto"/>
        <w:tabs>
          <w:tab w:leader="none" w:pos="675" w:val="left"/>
        </w:tabs>
        <w:numPr>
          <w:ilvl w:val="0"/>
          <w:numId w:val="28"/>
        </w:numPr>
        <w:rPr>
          <w:rFonts w:ascii="Arial" w:cs="Arial" w:eastAsia="Arial" w:hAnsi="Arial"/>
          <w:sz w:val="17"/>
          <w:szCs w:val="17"/>
          <w:color w:val="465361"/>
        </w:rPr>
      </w:pPr>
      <w:r>
        <w:rPr>
          <w:rFonts w:ascii="Arial" w:cs="Arial" w:eastAsia="Arial" w:hAnsi="Arial"/>
          <w:sz w:val="17"/>
          <w:szCs w:val="17"/>
          <w:color w:val="465361"/>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465361"/>
        </w:rPr>
        <w:t>has acquired the shares of common stock pursuant to an offer made under Section 275 of the SFA except:</w:t>
      </w:r>
    </w:p>
    <w:p>
      <w:pPr>
        <w:spacing w:after="0" w:line="117" w:lineRule="exact"/>
        <w:rPr>
          <w:sz w:val="20"/>
          <w:szCs w:val="20"/>
          <w:color w:val="auto"/>
        </w:rPr>
      </w:pPr>
    </w:p>
    <w:p>
      <w:pPr>
        <w:ind w:left="640" w:right="100" w:firstLine="4"/>
        <w:spacing w:after="0" w:line="257" w:lineRule="auto"/>
        <w:tabs>
          <w:tab w:leader="none" w:pos="855"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0" w:lineRule="exact"/>
        <w:rPr>
          <w:rFonts w:ascii="Arial" w:cs="Arial" w:eastAsia="Arial" w:hAnsi="Arial"/>
          <w:sz w:val="18"/>
          <w:szCs w:val="18"/>
          <w:color w:val="465361"/>
        </w:rPr>
      </w:pPr>
    </w:p>
    <w:p>
      <w:pPr>
        <w:ind w:left="900" w:hanging="256"/>
        <w:spacing w:after="0"/>
        <w:tabs>
          <w:tab w:leader="none" w:pos="90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where no consideration is or will be given for the transfer; or</w:t>
      </w:r>
    </w:p>
    <w:p>
      <w:pPr>
        <w:spacing w:after="0" w:line="117" w:lineRule="exact"/>
        <w:rPr>
          <w:rFonts w:ascii="Arial" w:cs="Arial" w:eastAsia="Arial" w:hAnsi="Arial"/>
          <w:sz w:val="18"/>
          <w:szCs w:val="18"/>
          <w:color w:val="465361"/>
        </w:rPr>
      </w:pPr>
    </w:p>
    <w:p>
      <w:pPr>
        <w:ind w:left="960" w:hanging="316"/>
        <w:spacing w:after="0"/>
        <w:tabs>
          <w:tab w:leader="none" w:pos="9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where the transfer is by operation of law.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Switzerland</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465361"/>
        </w:rPr>
        <w:t>The common stock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9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465361"/>
        </w:rPr>
        <w:t>Neither this document nor any other offering or marketing material relating to the offering, or the common stock have been or will be filed with or approved by any Swiss regulatory authority. In particular, this document will not be filed with, and the offer of common stock will not be supervised by, the Swiss Financial Market Supervisory Authority, and the offer of shares of common stock has not been and will not be authorized under the Swiss Federal Act on Collective Investment Schemes, or the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United Arab Emirates</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465361"/>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the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may not be offered to the public in the UAE and/or any of the free zones.</w:t>
      </w:r>
    </w:p>
    <w:p>
      <w:pPr>
        <w:spacing w:after="0" w:line="189"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465361"/>
        </w:rPr>
        <w:t>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465361"/>
        </w:rPr>
        <w:t>S-49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465361"/>
        </w:rPr>
        <w:t>France</w:t>
      </w:r>
    </w:p>
    <w:p>
      <w:pPr>
        <w:spacing w:after="0" w:line="11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465361"/>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170"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color w:val="465361"/>
        </w:rPr>
        <w:t>This prospectus has not been and will not be submitted to the French Autorité des marchés financiers, or the AMF, for approval in France and accordingly may not and will not be distributed to the public in France.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465361"/>
        </w:rPr>
        <w:t>Pursuant to Article 211-3 of the AMF General Regulation, French residents are hereby informed that:</w:t>
      </w:r>
    </w:p>
    <w:p>
      <w:pPr>
        <w:spacing w:after="0" w:line="117" w:lineRule="exact"/>
        <w:rPr>
          <w:sz w:val="20"/>
          <w:szCs w:val="20"/>
          <w:color w:val="auto"/>
        </w:rPr>
      </w:pPr>
    </w:p>
    <w:p>
      <w:pPr>
        <w:ind w:left="600" w:hanging="176"/>
        <w:spacing w:after="0"/>
        <w:tabs>
          <w:tab w:leader="none" w:pos="60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the transaction does not require a prospectus to be submitted for approval to the AMF;</w:t>
      </w:r>
    </w:p>
    <w:p>
      <w:pPr>
        <w:spacing w:after="0" w:line="117" w:lineRule="exact"/>
        <w:rPr>
          <w:rFonts w:ascii="Arial" w:cs="Arial" w:eastAsia="Arial" w:hAnsi="Arial"/>
          <w:sz w:val="18"/>
          <w:szCs w:val="18"/>
          <w:color w:val="465361"/>
        </w:rPr>
      </w:pPr>
    </w:p>
    <w:p>
      <w:pPr>
        <w:ind w:left="420" w:firstLine="4"/>
        <w:spacing w:after="0" w:line="342" w:lineRule="auto"/>
        <w:tabs>
          <w:tab w:leader="none" w:pos="600" w:val="left"/>
        </w:tabs>
        <w:numPr>
          <w:ilvl w:val="0"/>
          <w:numId w:val="30"/>
        </w:numPr>
        <w:rPr>
          <w:rFonts w:ascii="Arial" w:cs="Arial" w:eastAsia="Arial" w:hAnsi="Arial"/>
          <w:sz w:val="16"/>
          <w:szCs w:val="16"/>
          <w:color w:val="465361"/>
        </w:rPr>
      </w:pPr>
      <w:r>
        <w:rPr>
          <w:rFonts w:ascii="Arial" w:cs="Arial" w:eastAsia="Arial" w:hAnsi="Arial"/>
          <w:sz w:val="16"/>
          <w:szCs w:val="16"/>
          <w:color w:val="465361"/>
        </w:rPr>
        <w:t>persons or entities referred to in Point 2°, Section II of Article L. 411-2 of the Monetary and Financial Code may take part in the transaction solely for their own account, as provided in Articles D. 411-1, D. 734-1, D. 744-1, D. 754-1 and D. 764-1 of the Monetary and Financial Code; and</w:t>
      </w:r>
    </w:p>
    <w:p>
      <w:pPr>
        <w:spacing w:after="0" w:line="15" w:lineRule="exact"/>
        <w:rPr>
          <w:rFonts w:ascii="Arial" w:cs="Arial" w:eastAsia="Arial" w:hAnsi="Arial"/>
          <w:sz w:val="16"/>
          <w:szCs w:val="16"/>
          <w:color w:val="465361"/>
        </w:rPr>
      </w:pPr>
    </w:p>
    <w:p>
      <w:pPr>
        <w:ind w:left="600" w:hanging="176"/>
        <w:spacing w:after="0"/>
        <w:tabs>
          <w:tab w:leader="none" w:pos="600" w:val="left"/>
        </w:tabs>
        <w:numPr>
          <w:ilvl w:val="0"/>
          <w:numId w:val="30"/>
        </w:numPr>
        <w:rPr>
          <w:rFonts w:ascii="Arial" w:cs="Arial" w:eastAsia="Arial" w:hAnsi="Arial"/>
          <w:sz w:val="17"/>
          <w:szCs w:val="17"/>
          <w:color w:val="465361"/>
        </w:rPr>
      </w:pPr>
      <w:r>
        <w:rPr>
          <w:rFonts w:ascii="Arial" w:cs="Arial" w:eastAsia="Arial" w:hAnsi="Arial"/>
          <w:sz w:val="17"/>
          <w:szCs w:val="17"/>
          <w:color w:val="465361"/>
        </w:rPr>
        <w:t>the financial instruments thus acquired cannot be distributed directly or indirectly to the public otherwise than in accordance with Articles 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465361"/>
        </w:rPr>
        <w:t>411-1, L. 411-2, L. 412-1 and L. 621-8 to L. 621-8-3 of the Monetary and Financial Code.</w:t>
      </w:r>
    </w:p>
    <w:p>
      <w:pPr>
        <w:spacing w:after="0" w:line="211"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465361"/>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465361"/>
        </w:rPr>
        <w:t>S-50</w:t>
      </w:r>
    </w:p>
    <w:p>
      <w:pPr>
        <w:sectPr>
          <w:pgSz w:w="11900" w:h="16838" w:orient="portrait"/>
          <w:cols w:equalWidth="0" w:num="1">
            <w:col w:w="11160"/>
          </w:cols>
          <w:pgMar w:left="24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LEGAL MATTERS</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465361"/>
        </w:rPr>
        <w:t>The validity of the shares of common stock offered hereby will be passed upon for us by Wilson Sonsini Goodrich &amp; Rosati, Professional Corporation, Palo Alto, California. Gibson, Dunn &amp; Crutcher LLP, New York, New York, is acting as counsel to the underwriters.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EXPERTS</w:t>
      </w:r>
    </w:p>
    <w:p>
      <w:pPr>
        <w:spacing w:after="0" w:line="229"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465361"/>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WHERE YOU CAN FIND ADDITIONAL INFORMATION</w:t>
      </w:r>
    </w:p>
    <w:p>
      <w:pPr>
        <w:spacing w:after="0" w:line="229"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465361"/>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http://www.fluidigm.com under the “About – Investors – SEC Filings” caption. These filings will be available as soon as reasonably practicable after we electronically file such material with, or furnish it to, the SEC. Information contained on our website is not part of this prospectus.</w:t>
      </w:r>
    </w:p>
    <w:p>
      <w:pPr>
        <w:spacing w:after="0" w:line="16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465361"/>
        </w:rPr>
        <w:t>You should rely only on the information provided in, and incorporated by reference in, this prospectus supplement and the accompanying prospectus and the registration statement. We have not authorized anyone else to provide you with different information. Our securities are not being offered in any state where the offer is not permitted. The information contained in documents that are incorporated by reference in this prospectus supplement is accurate only as of the dates of those documents. Our business, financial condition, results of operations and prospects may have changed since those dates.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465361"/>
        </w:rPr>
        <w:t>INCORPORATION OF CERTAIN INFORMATION BY REFERENCE</w:t>
      </w:r>
    </w:p>
    <w:p>
      <w:pPr>
        <w:spacing w:after="0" w:line="229"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465361"/>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 (excluding those portions of any Form 8-K that are not deemed “filed” pursuant to the General Instructions of Form 8-K):</w:t>
      </w:r>
    </w:p>
    <w:p>
      <w:pPr>
        <w:spacing w:after="0" w:line="77" w:lineRule="exact"/>
        <w:rPr>
          <w:sz w:val="20"/>
          <w:szCs w:val="20"/>
          <w:color w:val="auto"/>
        </w:rPr>
      </w:pPr>
    </w:p>
    <w:p>
      <w:pPr>
        <w:ind w:left="1400" w:right="140" w:hanging="426"/>
        <w:spacing w:after="0" w:line="264" w:lineRule="auto"/>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Annual Report on Form 10-K for the year ended December 31, 2017 filed with the SEC on March 8, 2018, including portions of our definitive Proxy Statement on Schedule 14A, as filed with the SEC on April 27, 2018 in connection with our 2018 annual meeting of stockholders, to the extent specifically incorporated by reference therein;</w:t>
      </w:r>
    </w:p>
    <w:p>
      <w:pPr>
        <w:spacing w:after="0" w:line="86" w:lineRule="exact"/>
        <w:rPr>
          <w:rFonts w:ascii="Arial" w:cs="Arial" w:eastAsia="Arial" w:hAnsi="Arial"/>
          <w:sz w:val="18"/>
          <w:szCs w:val="18"/>
          <w:color w:val="465361"/>
        </w:rPr>
      </w:pPr>
    </w:p>
    <w:p>
      <w:pPr>
        <w:ind w:left="1400" w:hanging="426"/>
        <w:spacing w:after="0"/>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March 31, 2018 filed with the SEC on May 8, 2018;</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June 30, 2018 filed with the SEC on August 8, 2018;</w:t>
      </w:r>
    </w:p>
    <w:p>
      <w:pPr>
        <w:spacing w:after="0" w:line="130" w:lineRule="exact"/>
        <w:rPr>
          <w:rFonts w:ascii="Arial" w:cs="Arial" w:eastAsia="Arial" w:hAnsi="Arial"/>
          <w:sz w:val="18"/>
          <w:szCs w:val="18"/>
          <w:color w:val="465361"/>
        </w:rPr>
      </w:pPr>
    </w:p>
    <w:p>
      <w:pPr>
        <w:ind w:left="1400" w:hanging="426"/>
        <w:spacing w:after="0"/>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September 30, 2018 filed with the SEC on November 6, 2018;</w:t>
      </w:r>
    </w:p>
    <w:p>
      <w:pPr>
        <w:spacing w:after="0" w:line="130" w:lineRule="exact"/>
        <w:rPr>
          <w:rFonts w:ascii="Arial" w:cs="Arial" w:eastAsia="Arial" w:hAnsi="Arial"/>
          <w:sz w:val="18"/>
          <w:szCs w:val="18"/>
          <w:color w:val="465361"/>
        </w:rPr>
      </w:pPr>
    </w:p>
    <w:p>
      <w:pPr>
        <w:jc w:val="both"/>
        <w:ind w:left="1400" w:right="100" w:hanging="426"/>
        <w:spacing w:after="0" w:line="264" w:lineRule="auto"/>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the description of our common stock contained in our Registration Statement on Form 8-A (File No. 001-34180) filed with the SEC on February 7, 2011, pursuant to Section 12(b) of the Exchange Act, including any amendment or report filed for the purpose of updating such description; and</w:t>
      </w:r>
    </w:p>
    <w:p>
      <w:pPr>
        <w:spacing w:after="0" w:line="86" w:lineRule="exact"/>
        <w:rPr>
          <w:rFonts w:ascii="Arial" w:cs="Arial" w:eastAsia="Arial" w:hAnsi="Arial"/>
          <w:sz w:val="18"/>
          <w:szCs w:val="18"/>
          <w:color w:val="465361"/>
        </w:rPr>
      </w:pPr>
    </w:p>
    <w:p>
      <w:pPr>
        <w:jc w:val="both"/>
        <w:ind w:left="1400" w:right="160" w:hanging="426"/>
        <w:spacing w:after="0" w:line="264" w:lineRule="auto"/>
        <w:tabs>
          <w:tab w:leader="none" w:pos="140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our Current Reports on Form 8-K filed with the SEC on February 7, 2018, March 2, 2018, March 6, 2018, March 13, 2018, March 19, 2018, June 1, 2018, August 2, 2018 (only with respect to information filed under Item 1.01, 2.03, 5.02, and Item 9.01 related thereto), September 20, 2018, and October 31, 2018.</w:t>
      </w:r>
    </w:p>
    <w:p>
      <w:pPr>
        <w:spacing w:after="0" w:line="18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465361"/>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465361"/>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66"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465361"/>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Attn: Investor Relations, or you may call us at (650) 266-6000.</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1640840</wp:posOffset>
            </wp:positionV>
            <wp:extent cx="1466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200025</wp:posOffset>
            </wp:positionV>
            <wp:extent cx="3704590" cy="12090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0459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Fluidigm Corporation may offer, from time to time,</w:t>
      </w:r>
    </w:p>
    <w:p>
      <w:pPr>
        <w:sectPr>
          <w:pgSz w:w="11900" w:h="16838" w:orient="portrait"/>
          <w:cols w:equalWidth="0" w:num="1">
            <w:col w:w="11220"/>
          </w:cols>
          <w:pgMar w:left="240" w:top="459" w:right="439" w:bottom="1440" w:gutter="0" w:footer="0" w:header="0"/>
        </w:sectPr>
      </w:pPr>
    </w:p>
    <w:p>
      <w:pPr>
        <w:spacing w:after="0" w:line="13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securities</w:t>
      </w:r>
    </w:p>
    <w:p>
      <w:pPr>
        <w:spacing w:after="0" w:line="222" w:lineRule="exact"/>
        <w:rPr>
          <w:sz w:val="20"/>
          <w:szCs w:val="20"/>
          <w:color w:val="auto"/>
        </w:rPr>
      </w:pPr>
    </w:p>
    <w:p>
      <w:pPr>
        <w:sectPr>
          <w:pgSz w:w="11900" w:h="16838" w:orient="portrait"/>
          <w:cols w:equalWidth="0" w:num="4">
            <w:col w:w="2720" w:space="180"/>
            <w:col w:w="3760" w:space="720"/>
            <w:col w:w="60" w:space="200"/>
            <w:col w:w="3580"/>
          </w:cols>
          <w:pgMar w:left="240" w:top="459" w:right="439" w:bottom="1440" w:gutter="0" w:footer="0" w:header="0"/>
          <w:type w:val="continuous"/>
        </w:sectPr>
      </w:pPr>
    </w:p>
    <w:p>
      <w:pPr>
        <w:spacing w:after="0" w:line="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may from time to time in one or more offerings offer and sell common stock, preferred stock, debt securities, warrants to purchase common stock or preferred stock or debt securities, or any combination of the foregoing, either individually or as units comprised of one or more of the other securities.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offering price of the securities sold pursuant to this prospectus will not exceed $125,000,000.</w:t>
      </w:r>
    </w:p>
    <w:p>
      <w:pPr>
        <w:spacing w:after="0" w:line="22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You should read this prospectus and any supplement carefully before you purchase any of our securities.</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Our common stock is listed on the NASDAQ Global Market under the symbol “FLDM.” On March 7, 2017, the last reported sale price on the NASDAQ Global Market was $5.46 per share. There is currently no market for the other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0" w:firstLine="441"/>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Investing in our securities involves risks. Please carefully read the information under the headings “ </w:t>
      </w:r>
      <w:hyperlink w:anchor="page62">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u w:val="single" w:color="auto"/>
            <w:color w:val="auto"/>
          </w:rPr>
          <w:t xml:space="preserve"> </w:t>
        </w:r>
      </w:hyperlink>
      <w:r>
        <w:rPr>
          <w:rFonts w:ascii="Arial" w:cs="Arial" w:eastAsia="Arial" w:hAnsi="Arial"/>
          <w:sz w:val="21"/>
          <w:szCs w:val="21"/>
          <w:b w:val="1"/>
          <w:bCs w:val="1"/>
          <w:color w:val="auto"/>
        </w:rPr>
        <w:t>” beginning on page 5 of this prospectus and “Item 1A—Risk Factors” of our most recent report on Form 10-K or 10-Q which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These securities may be offered and sold to or through one or more underwriters, dealers and agents, or directly to purchasers, on a continuous or delayed basis. If underwriters, dealers, or agents are used to sell the securities, we will name them and describe their compensation in a prospectus supplement. In addition, the underwriters may overallot a portion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218440</wp:posOffset>
            </wp:positionV>
            <wp:extent cx="1466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May 2, 2017.</w:t>
      </w:r>
    </w:p>
    <w:p>
      <w:pPr>
        <w:sectPr>
          <w:pgSz w:w="11900" w:h="16838" w:orient="portrait"/>
          <w:cols w:equalWidth="0" w:num="1">
            <w:col w:w="11220"/>
          </w:cols>
          <w:pgMar w:left="240" w:top="459" w:right="4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392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200" w:type="dxa"/>
            <w:vAlign w:val="bottom"/>
          </w:tcPr>
          <w:p>
            <w:pPr>
              <w:spacing w:after="0"/>
              <w:rPr>
                <w:sz w:val="24"/>
                <w:szCs w:val="24"/>
                <w:color w:val="auto"/>
              </w:rPr>
            </w:pPr>
          </w:p>
        </w:tc>
        <w:tc>
          <w:tcPr>
            <w:tcW w:w="372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About This Prospectus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640" w:type="dxa"/>
            <w:vAlign w:val="bottom"/>
            <w:tcBorders>
              <w:top w:val="single" w:sz="8" w:color="0000EE"/>
            </w:tcBorders>
            <w:gridSpan w:val="8"/>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Prospectus Summary</w:t>
              </w:r>
            </w:hyperlink>
          </w:p>
        </w:tc>
        <w:tc>
          <w:tcPr>
            <w:tcW w:w="2080" w:type="dxa"/>
            <w:vAlign w:val="bottom"/>
            <w:gridSpan w:val="8"/>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2200" w:type="dxa"/>
            <w:vAlign w:val="bottom"/>
            <w:gridSpan w:val="9"/>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Forward-Looking Statements</w:t>
              </w:r>
            </w:hyperlink>
          </w:p>
        </w:tc>
        <w:tc>
          <w:tcPr>
            <w:tcW w:w="1600" w:type="dxa"/>
            <w:vAlign w:val="bottom"/>
            <w:gridSpan w:val="6"/>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Ratio of Earnings to Fixed Charges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8"/>
          </w:tcPr>
          <w:p>
            <w:pPr>
              <w:spacing w:after="0"/>
              <w:rPr>
                <w:sz w:val="17"/>
                <w:szCs w:val="17"/>
                <w:color w:val="auto"/>
              </w:rPr>
            </w:pPr>
          </w:p>
        </w:tc>
        <w:tc>
          <w:tcPr>
            <w:tcW w:w="118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Dividend Policy</w:t>
              </w:r>
            </w:hyperlink>
          </w:p>
        </w:tc>
        <w:tc>
          <w:tcPr>
            <w:tcW w:w="2540" w:type="dxa"/>
            <w:vAlign w:val="bottom"/>
            <w:gridSpan w:val="11"/>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Our Capital Stock</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Description of the Debt Securities</w:t>
              </w:r>
            </w:hyperlink>
          </w:p>
        </w:tc>
        <w:tc>
          <w:tcPr>
            <w:tcW w:w="1260" w:type="dxa"/>
            <w:vAlign w:val="bottom"/>
            <w:gridSpan w:val="4"/>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Description of the Warrants</w:t>
              </w:r>
            </w:hyperlink>
          </w:p>
        </w:tc>
        <w:tc>
          <w:tcPr>
            <w:tcW w:w="1720" w:type="dxa"/>
            <w:vAlign w:val="bottom"/>
            <w:gridSpan w:val="7"/>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Plan of Distribution</w:t>
              </w:r>
            </w:hyperlink>
          </w:p>
        </w:tc>
        <w:tc>
          <w:tcPr>
            <w:tcW w:w="2280" w:type="dxa"/>
            <w:vAlign w:val="bottom"/>
            <w:gridSpan w:val="10"/>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Legal Matters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17"/>
                <w:szCs w:val="17"/>
                <w:color w:val="auto"/>
              </w:rPr>
            </w:pPr>
          </w:p>
        </w:tc>
        <w:tc>
          <w:tcPr>
            <w:tcW w:w="2720" w:type="dxa"/>
            <w:vAlign w:val="bottom"/>
            <w:gridSpan w:val="1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Where You Can Find More Information</w:t>
              </w:r>
            </w:hyperlink>
          </w:p>
        </w:tc>
        <w:tc>
          <w:tcPr>
            <w:tcW w:w="840" w:type="dxa"/>
            <w:vAlign w:val="bottom"/>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3720" w:type="dxa"/>
            <w:vAlign w:val="bottom"/>
            <w:gridSpan w:val="1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Information Incorporated by Reference</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amount of $125,000,000.</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this prospectus and, accordingly, to the extent inconsistent, information in this prospectus is superseded by the information in the prospectus supplement.</w:t>
      </w:r>
    </w:p>
    <w:p>
      <w:pPr>
        <w:spacing w:after="0" w:line="18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We have not authorized any other person to provide you with different information. You should read this entire prospectus and any prospectus supplement and any related issuer free writing prospectus, as well as the documents incorporated by reference into this prospectus or any prospectus supplement as well as any related free writing prospectus, before making an investment decision. We do not imply or represent by delivering this prospectus that Fluidigm Corporation, or its business, is unchanged after the date on the front of this prospectus or that the information in this prospectus is correct as of any time after such date.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herein by reference. This summary is not complete and does not contain all of the information that you should consider before deciding to invest in our securities. We urge you to read this entire prospectus and the information incorporated by reference in this prospectus carefully, including the “Risk Factors” section. In this prospectus, unless the context indicates otherwise, the terms “company,” “Fluidigm”, “we,” “us,” and “our” refer to Fluidigm Corporation and its subsidiaries.</w:t>
      </w: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8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jc w:val="both"/>
        <w:ind w:left="380" w:right="240" w:firstLine="426"/>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00" w:firstLine="426"/>
        <w:spacing w:after="0" w:line="279"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We maintain an Internet website at www.fluidigm.com. We have not incorporated the information on our website by reference into this prospectus, and you should not consider it to be a part of this prospectus.</w:t>
      </w:r>
    </w:p>
    <w:p>
      <w:pPr>
        <w:spacing w:after="0" w:line="17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“Fluidigm,” the Fluidigm logo, “Access Array,” “Biomark,” “C1,” “Callisto,” “Cell-ID,” “CyTOF,” “D3,” “Delta Gene,” “Digital Array,” “Dynamic Array,” “EP1,” “FC1,” “Flex Six,” “Helios,” “High-Precision 96.96 Genotyping,” “Hyperion,” “Juno,” “Maxpar,” “MSL,” “Nanoflex” “Open App,” “Polaris,” “qdPCR 37K,” “Script Builder,” “Script Hub,” “Singular,” “SNP Trace” and “SNP Type” are trademarks or registered trademarks of Fluidigm Corporation. Other service marks,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color w:val="auto"/>
        </w:rPr>
        <w:t>We may offer or sell common stock, preferred stock, debt securities and warrants in one or more offerings and in any combination either individually or as units comprised of one or more of the other securities. The aggregate offering price of the securities sold pursuant to this prospectus will not exceed $125,000,000. Each time we offer securities with this prospectus, we will provide a prospectus supplement that will describe the specific amounts, prices and terms of the securities being offered.</w:t>
      </w:r>
    </w:p>
    <w:p>
      <w:pPr>
        <w:spacing w:after="0" w:line="187" w:lineRule="exact"/>
        <w:rPr>
          <w:sz w:val="20"/>
          <w:szCs w:val="20"/>
          <w:color w:val="auto"/>
        </w:rPr>
      </w:pPr>
    </w:p>
    <w:p>
      <w:pPr>
        <w:ind w:left="380" w:right="80" w:firstLine="426"/>
        <w:spacing w:after="0" w:line="302"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cash dividend. Each holder of common stock is entitled to one vote per share. The holders of common stock have no preemptive rights.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80" w:right="200" w:firstLine="426"/>
        <w:spacing w:after="0" w:line="279" w:lineRule="auto"/>
        <w:rPr>
          <w:sz w:val="20"/>
          <w:szCs w:val="20"/>
          <w:color w:val="auto"/>
        </w:rPr>
      </w:pPr>
      <w:r>
        <w:rPr>
          <w:rFonts w:ascii="Arial" w:cs="Arial" w:eastAsia="Arial" w:hAnsi="Arial"/>
          <w:sz w:val="17"/>
          <w:szCs w:val="17"/>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Fluidigm Corporation, voting rights and rights to convert into common stock.</w:t>
      </w:r>
    </w:p>
    <w:p>
      <w:pPr>
        <w:spacing w:after="0" w:line="171" w:lineRule="exact"/>
        <w:rPr>
          <w:sz w:val="20"/>
          <w:szCs w:val="20"/>
          <w:color w:val="auto"/>
        </w:rPr>
      </w:pPr>
    </w:p>
    <w:p>
      <w:pPr>
        <w:jc w:val="both"/>
        <w:ind w:left="380" w:firstLine="426"/>
        <w:spacing w:after="0" w:line="293" w:lineRule="auto"/>
        <w:rPr>
          <w:sz w:val="20"/>
          <w:szCs w:val="20"/>
          <w:color w:val="auto"/>
        </w:rPr>
      </w:pPr>
      <w:r>
        <w:rPr>
          <w:rFonts w:ascii="Arial" w:cs="Arial" w:eastAsia="Arial" w:hAnsi="Arial"/>
          <w:sz w:val="16"/>
          <w:szCs w:val="16"/>
          <w:color w:val="auto"/>
        </w:rPr>
        <w:t>In November 2016, our board of directors adopted a Tax Benefit Preservation Plan, or the Tax Benefit Plan. In connection with the adoption of the Tax Benefit Plan, our board of directors authorized and declared a dividend distribution of one right for each outstanding share of common stock, par value $0.001 per share, to stockholders of record as of the close of business on December 1, 2016, or the record date. Each right entitles the registered holder to purchase from us one one-thousandth of a share of our Series A participating preferred stock, par value $0.001 per share, at an exercise price of $35.00 per one one-thousandth of a preferred share, subject to adjustment. In connection with the adoption of our Tax Benefit Plan, we designated 50,000 shares of preferred stock as Series A participating preferred stock.</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jc w:val="both"/>
        <w:ind w:left="380" w:right="160" w:firstLine="426"/>
        <w:spacing w:after="0" w:line="264"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240" w:top="459" w:right="6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070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02145" cy="2070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64" w:lineRule="auto"/>
        <w:rPr>
          <w:sz w:val="20"/>
          <w:szCs w:val="20"/>
          <w:color w:val="auto"/>
        </w:rPr>
      </w:pPr>
      <w:r>
        <w:rPr>
          <w:rFonts w:ascii="Arial" w:cs="Arial" w:eastAsia="Arial" w:hAnsi="Arial"/>
          <w:sz w:val="18"/>
          <w:szCs w:val="18"/>
          <w:color w:val="auto"/>
        </w:rPr>
        <w:t>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380" w:right="880" w:firstLine="426"/>
        <w:spacing w:after="0" w:line="342" w:lineRule="auto"/>
        <w:rPr>
          <w:sz w:val="20"/>
          <w:szCs w:val="20"/>
          <w:color w:val="auto"/>
        </w:rPr>
      </w:pPr>
      <w:r>
        <w:rPr>
          <w:rFonts w:ascii="Arial" w:cs="Arial" w:eastAsia="Arial" w:hAnsi="Arial"/>
          <w:sz w:val="16"/>
          <w:szCs w:val="16"/>
          <w:color w:val="auto"/>
        </w:rPr>
        <w:t>We may issue units comprised of one or more of the other classes of securities issued by us as described in this prospectus in any combination. Each unit will be issued so that the holder of the unit is also the holder of each security included in the unit.</w:t>
      </w:r>
    </w:p>
    <w:p>
      <w:pPr>
        <w:spacing w:after="0" w:line="200" w:lineRule="exact"/>
        <w:rPr>
          <w:sz w:val="20"/>
          <w:szCs w:val="20"/>
          <w:color w:val="auto"/>
        </w:rPr>
      </w:pPr>
    </w:p>
    <w:p>
      <w:pPr>
        <w:spacing w:after="0" w:line="35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240" w:top="459" w:right="6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report on Form 10-K or “Part II—Item 1A—Risk Factors” in our Quarterly Reports on Form 10-Q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in “Part I—Item 1A—Risk Factors” of our most recent report on Form 10-K or “Part II—Item 1A—Risk Factors” in our Quarterly Reports on Form 10-Q which is incorporated by reference in this prospectus as well as other disclosures included in this prospectus or the supplement hereto, discuss some of the factors that could contribute to these differences.</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8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This prospectus and the documents incorporated by reference in this prospectus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and “Item 1A—Risk Factors” of our most recent report on Form 10-K or 10-Q which is incorporated by reference in this prospectus.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consolidated ratio of earnings to fixed charges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left="571"/>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500" w:type="dxa"/>
            <w:vAlign w:val="bottom"/>
            <w:gridSpan w:val="2"/>
          </w:tcPr>
          <w:p>
            <w:pPr>
              <w:jc w:val="center"/>
              <w:ind w:left="571"/>
              <w:spacing w:after="0"/>
              <w:rPr>
                <w:sz w:val="20"/>
                <w:szCs w:val="20"/>
                <w:color w:val="auto"/>
              </w:rPr>
            </w:pPr>
            <w:r>
              <w:rPr>
                <w:rFonts w:ascii="Arial" w:cs="Arial" w:eastAsia="Arial" w:hAnsi="Arial"/>
                <w:sz w:val="14"/>
                <w:szCs w:val="14"/>
                <w:b w:val="1"/>
                <w:bCs w:val="1"/>
                <w:color w:val="auto"/>
                <w:w w:val="96"/>
              </w:rPr>
              <w:t>2014</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640" w:right="200" w:hanging="436"/>
        <w:spacing w:after="0" w:line="25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purpose of calculating the ratio of earnings to fixed charges, earnings consist of net loss before benefit from income taxes. Fixed charges consist of interest expense and an estimate of the interest portion of rental expense. In addition, for the periods presented above, we did not have outstanding preferred securities and therefore were not required to pay any preferred security dividends. In the years ended December 31, 2012, 2013, 2014, 2015 and 2016, earnings were insufficient to cover fixed charges by $18.8 million, $16.4 million, $57.7 million, $54.8 million and $80.2 million, respectively.</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of the date of this prospectus, we have no shares of preferred stock outstanding, and consequently, our ratio of earnings to combined fixed charges and preferred share dividends and ratio of earnings to fixed charges would be identical.</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Unless we state otherwise in the applicable prospectus supplement, we expect to use the net proceeds that we will receive from the sale of the securities for working capital and other general corporate purposes and we may also use a portion of our net proceeds to acquire and invest in complementary products, technologies or businesses; however, we currently have no agreements or commitments to complete any such transaction and are not involved in negotiations to do so. Pending these uses, we may invest our net proceeds from this offering primarily in investment-grade, interest-bearing instruments.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specific allocations of the proceeds we receive from the sale of our securities will be described in the applicable prospectus supplement.</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may become subject to covenants under future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The following is a summary of the material provisions of the common stock and the preferred stock contained in our certificate of incorporation, bylaws, and Tax Benefit Plan. For more detailed definition, please refer to our certificate of incorporation, bylaws, and Tax Benefit Plan, each as amended.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authorized capital stock consists of 210,000,000 shares, all with a par value of $0.001 per share, of which:</w:t>
      </w:r>
    </w:p>
    <w:p>
      <w:pPr>
        <w:spacing w:after="0" w:line="131"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25" w:lineRule="exact"/>
        <w:rPr>
          <w:sz w:val="20"/>
          <w:szCs w:val="20"/>
          <w:color w:val="auto"/>
        </w:rPr>
      </w:pPr>
    </w:p>
    <w:p>
      <w:pPr>
        <w:ind w:left="200" w:right="800" w:firstLine="441"/>
        <w:spacing w:after="0" w:line="342" w:lineRule="auto"/>
        <w:rPr>
          <w:sz w:val="20"/>
          <w:szCs w:val="20"/>
          <w:color w:val="auto"/>
        </w:rPr>
      </w:pPr>
      <w:r>
        <w:rPr>
          <w:rFonts w:ascii="Arial" w:cs="Arial" w:eastAsia="Arial" w:hAnsi="Arial"/>
          <w:sz w:val="16"/>
          <w:szCs w:val="16"/>
          <w:color w:val="auto"/>
        </w:rPr>
        <w:t>As of December 31, 2016, we had outstanding 29,207,654 shares of common stock held of record by 94 stockholders. In addition, as of December 31, 2016, 4,624,505 shares of our common stock were subject to outstanding awards under our equity incentive plans.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 shares of preferred stock are outstanding. Our board of directors has the authority, without further action by our stockholders, to designate and issue up to 10,000,000 shares of preferred stock in one or more series. Our board of directors may also designate the rights, preferences and privileges of each such series of preferred stock, any or all of which may be greater than or senior to those of the common stock. In connection with the adoption of our Tax Benefit Plan, as described below, we designated 50,000 shares of preferred stock as Series A participating preferred stock. Other than with respect to the Series A participating preferred stock, the actual effect of any such issuance on the rights of the holders of common stock will not be known until our board of directors determines the specific rights of the holders of preferred stock; however, the potential effects of such an issuance include:</w:t>
      </w:r>
    </w:p>
    <w:p>
      <w:pPr>
        <w:spacing w:after="0" w:line="95"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reducing the likelihood that holders of common stock will receive payments in the event of our liquidation, dissolution, or winding up;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the provisions of our certificate of incorporation, holders of our common stock are entitled to one vote for each share of common stock held by such holder on any matter submitted to a vote at a meeting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stockholders. In addition, our certificate of incorporation provides that certain corporate actions require the approval of our stockholders. These actions, and the vote required, are as follows:</w:t>
      </w:r>
    </w:p>
    <w:p>
      <w:pPr>
        <w:spacing w:after="0" w:line="76" w:lineRule="exact"/>
        <w:rPr>
          <w:sz w:val="20"/>
          <w:szCs w:val="20"/>
          <w:color w:val="auto"/>
        </w:rPr>
      </w:pPr>
    </w:p>
    <w:p>
      <w:pPr>
        <w:ind w:left="106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75" w:lineRule="exact"/>
        <w:rPr>
          <w:rFonts w:ascii="Arial" w:cs="Arial" w:eastAsia="Arial" w:hAnsi="Arial"/>
          <w:sz w:val="18"/>
          <w:szCs w:val="18"/>
          <w:color w:val="auto"/>
        </w:rPr>
      </w:pPr>
    </w:p>
    <w:p>
      <w:pPr>
        <w:ind w:left="1060" w:right="20" w:hanging="316"/>
        <w:spacing w:after="0" w:line="31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the amendment provision in our certificate of incorporation require the vote of 66 2/3% of our then outstanding voting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Benefit Preservation Plan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following is a summary of certain principal terms of our Tax Benefit Plan. The Tax Benefit Plan may be further amended from time to time. A description of the rights is set forth in our registration statement on Form 8-A that was filed with the SEC on November 22, 2016 and which is incorporated herein by reference. We expect to submit the Tax Benefit Plan to a stockholder vote at our 2017 Annual Meeting of Stockholders.</w:t>
      </w:r>
    </w:p>
    <w:p>
      <w:pPr>
        <w:spacing w:after="0" w:line="166"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connection with the adoption of our Tax Benefit Plan, our board of directors authorized and declared a dividend distribution of one right for each outstanding share of common stock, par value $0.001 per share, to stockholders of record as of the close of business on December 1, 2016, or the record date. Each right entitles the registered holder to purchase from us one one-thousandth of a share of our Series A participating preferred stock, par value $0.001 per share, at an exercise price of $35.00 per one one-thousandth of a preferred share, subject to adjustment. In connection with the adoption of our Tax Benefit Plan, we designated 50,000 shares of preferred stock as Series A participating preferred stock.</w:t>
      </w:r>
    </w:p>
    <w:p>
      <w:pPr>
        <w:spacing w:after="0" w:line="1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By adopting the Tax Benefit Plan, the board of directors is seeking to protect our ability to use our net operating losses, any loss or deduction attributable to a “net unrealized built-in loss” and other tax attributes, which we refer to as the tax benefits. We view our tax benefits as highly valuable assets of ours that are likely to inure to our benefit and the benefit of our stockholders. However, if we experience an “ownership change,” as defined in Section 382 of the Internal Revenue Code, or the Code, our ability to use the tax benefits could be substantially limited, and the timing of the usage of the tax benefits could be substantially delayed, which could significantly impair the value of the tax benefits. Generally, an “ownership change” occurs if the percentage of our stock owned by one or more “five percent stockholders” increases by more than 50 percentage points over the lowest percentage of stock owned by such stockholders at any time during the prior three-year period or, if sooner, since the last “ownership change” experienced by us. The Tax Benefit Plan is intended to deter acquisitions of 4.99% or more of the outstanding shares or our common stock by any person without the approval of our board of directors. This would protect the tax benefits because changes in ownership by a person owning less than 4.99% of or outstanding shares of common stock are not included in the calculation of “ownership change” for purposes of Section 382 of the Code.</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 and Transfer of Rights; Rights Certificates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board of directors has declared a dividend of one right for each outstanding share of common stock. Rights accompany any new shares of common stock that are issued after the record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 Date</w:t>
      </w:r>
    </w:p>
    <w:p>
      <w:pPr>
        <w:spacing w:after="0" w:line="117"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Subject to certain exceptions specified in the Tax Benefit Plan, the rights will separate from the shares of common stock and become exercisable following (1) the 10th business day (or such later date as may be determined by the board of directors) after the public announcement that a person or group of affiliated or associated persons, or an acquiring person, has acquired beneficial ownership of 4.99% or more of the shares of</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common stock or (2) the 10th business day (or such later date as may be determined by the board of directors) after a person or group has first published, sent, or given a tender or exchange offer that would result in ownership by a person or group of 4.99% or more of the outstanding shares of our common stock.</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Any person or group of affiliated or associated persons who beneficially owns 4.99% or more of the outstanding shares of our common stock as of the announcement of the Tax Benefit Plan will not be an acquiring person, but only for so long as such person or group does not become the beneficial owner of additional shares of common stock equal to 0.10% or more of the shares of common stock then outstanding.</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date on which the rights separate from the shares of common stock and become exercisable is referred to as the distribution date.</w:t>
      </w:r>
    </w:p>
    <w:p>
      <w:pPr>
        <w:spacing w:after="0" w:line="23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After the distribution date, we will mail rights certificates to our stockholders as of the close of business on the distribution date and the rights will become transferable apart from the shares of common stock. Thereafter, such rights certificates alone will represent the rights.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Preferred Shares Purchasable Upon Exercise of Rights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More specifically, each one one-thousandth of a share of preferred stock, if issued, will:</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 redeemable;</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entitle holders to quarterly dividend payments of $0.001 per share, or an amount equal to the dividend paid on one share of common stock, whichever is greater;</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entitle holders upon liquidation either to receive $1.00 per share or an amount equal to the payment made on one share of common stock, whichever is greater;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same voting power as one share of common stock; and</w:t>
      </w:r>
    </w:p>
    <w:p>
      <w:pPr>
        <w:spacing w:after="0" w:line="130"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entitle holders to a per share payment equal to the payment made on one share of common stock if the shares of common stock are exchanged via merger, consolidation or a similar transaction.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Flip-In Trigger</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an acquiring person obtains beneficial ownership of 4.99% or more of the shares of common stock, except pursuant to an offer for all outstanding shares of common stock that the independent members of the board of directors determine to be fair and not inadequate and to otherwise be in the best interests of ours and our stockholders after receiving advice from one or more investment banking firms, then each right will entitle the holder thereof to purchase, for the exercise price, a number of shares of common stock (or, in certain circumstances, cash, property or other securities of ours) having a then-current market value of twice the exercise price. However, the rights are not exercisable following the occurrence of the foregoing event until such time as the rights are no longer redeemable by us, as further described below.</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Following the occurrence of an event set forth in preceding paragraph, all rights that are or, under certain circumstances specified in the Tax Benefit Plan, were beneficially owned by an acquiring person or certain of its transferees will be null and void.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Flip-Over Trigger</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after an acquiring person obtains 4.99% or more of the shares of common stock, (1) we merge into another entity, (2) an acquiring entity merges into us or (3) we sell or transfer more than 50% of our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Redemption of the Rights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rights will be redeemable at our option for $0.01 per right (payable in cash, shares of common stock or other consideration deemed appropriate by the board of directors) at any time on or prior to the 10th business day (or such later date as may be determined by the board of directors) after the public announcement that an acquiring person has acquired beneficial ownership of 4.99% or more of the shares of common stock. Immediately upon the action of the board of directors ordering redemption, the rights will terminate and the only right of the holders of the rights will be to receive the $0.01 redemption price. The redemption price will be adjusted if we undertake a stock dividend or a stock split.</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Exchange Provision</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At any time after the date on which an acquiring person beneficially owns 4.99% or more of the shares of common stock and prior to the acquisition by the acquiring person of 50% of the shares of common stock, the board of directors may exchange the rights (except for rights that have previously been voided as set forth above), in whole or in part, for shares of common stock at an exchange ratio of one share of common stock per right (subject to adjustment). In certain circumstances, we may elect to exchange the rights for cash or other securities of ours having a value approximately equal to one share of common stock.</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Expiration of the Rights</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The rights expire on the earliest of (1) 5:00 p.m., New York City time, on November 21, 2019 (unless such date is extended); (2) the redemption or exchange of the rights as described above; (3) following (a) the first annual meeting of our stockholders after the adoption of the Tax Benefit Plan if stockholders do not approve the Tax Benefit Plan or (b) the first anniversary of the adoption of the Tax Benefit Plan if the stockholders have not otherwise approved the Tax Benefit Plan; (4) the repeal of Section 382 of the Code or any other change if the board of directors determines that the Tax Benefit Plan is no longer necessary or desirable for the preservation of the tax benefits; (5) the time at which the board of directors determines that the tax benefits are fully utilized or no longer available pursuant to Section 382 of the Code or that an ownership change pursuant to Section 382 of the Code would not adversely impact in any material respect the time period in which we could use the tax benefits, or materially impair the amount of the tax benefits that could be used by us in any particular time period for applicable tax purposes; and (6) a determination by the board of directors that the Tax Benefit Plan is no longer in the best interests of ours and our stockholders.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Amendment of Terms of the Tax Benefit Plan and the Rights</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 terms of the rights and the Tax Benefit Plan may be amended in any respect without the consent of the holders of the rights on or prior to the distribution date. Thereafter, the terms of the rights and the Tax Benefit Plan may be amended without the consent of the holders of rights in order to</w:t>
      </w:r>
    </w:p>
    <w:p>
      <w:pPr>
        <w:ind w:left="200" w:right="220" w:firstLine="4"/>
        <w:spacing w:after="0" w:line="261"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 any ambiguities, (2) shorten or lengthen any time period pursuant to the Tax Benefit Plan or (3) make changes that do not adversely affect the interests of holders of the rights.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Voting Rights; Other Stockholder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rights will not have any voting rights. Until a right is exercised, the holder thereof, as such, will have no separate rights as stockholder of ours.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Anti-Dilution Provisions</w:t>
      </w:r>
    </w:p>
    <w:p>
      <w:pPr>
        <w:spacing w:after="0" w:line="117"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color w:val="auto"/>
        </w:rPr>
        <w:t>The board of directors may adjust the exercise price, the number of shares of preferred stock issuable and the number of outstanding rights to prevent dilution that may occur from a stock dividend, a stock split or a reclassification of the shares of preferred stock or shares of commons stock.</w:t>
      </w:r>
    </w:p>
    <w:p>
      <w:pPr>
        <w:spacing w:after="0" w:line="124"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With certain exceptions, no adjustments to the exercise price will be made until the cumulative adjustments amount to at least 1% of the exercise price. No fractional shares of preferred stock will be issued and, in lieu thereof, an adjustment in cash will be made based on the current market price of the shares of preferred stock.</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 Takeover Effects of Delaware Law and Our Certificate of Incorporation, Bylaws, and Tax Benefit Plan</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Certain provisions of Delaware law and our certificate of incorporation and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certificate of incorporation and bylaws include provisions that:</w:t>
      </w:r>
    </w:p>
    <w:p>
      <w:pPr>
        <w:spacing w:after="0" w:line="131"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71" w:lineRule="exact"/>
        <w:rPr>
          <w:sz w:val="20"/>
          <w:szCs w:val="20"/>
          <w:color w:val="auto"/>
        </w:rPr>
      </w:pPr>
    </w:p>
    <w:p>
      <w:pPr>
        <w:ind w:left="1060" w:right="40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80" w:hanging="316"/>
        <w:spacing w:after="0" w:line="297"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6"/>
          <w:szCs w:val="16"/>
          <w:color w:val="auto"/>
        </w:rPr>
      </w:pPr>
    </w:p>
    <w:p>
      <w:pPr>
        <w:ind w:left="1060" w:right="360" w:hanging="316"/>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58"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Benefit Plan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the Tax Benefit Plan could make it more difficult for a third party to acquire, or could discourage a third party from acquiring, us or a large block of our common stock. A third party that acquires 4.99% or more of our common stock could suffer substantial dilution of its ownership interest under the terms of the Tax Benefit Plan through the issuance of common stock or common stock equivalents to all stockholders other than the acquiring person. The Tax Benefit Plan may also adversely affect the marketability of our common stock by discouraging potential investors from acquiring our stock. Further, the Tax Benefit Plan could delay or frustrate the removal of incumbent directors and could make a merger, tender offer or proxy contest involving us more difficult, or impede an attempt to acquire a significant or controlling interest in us, even if such events might be beneficial to us and our stockholders.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(781) 575-2879.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common stock is listed on the NASDAQ Global Market under the symbol “FLDM.”</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following is a summary of selected provisions and definitions of the indentures and debt securities to which any prospectus supplement may relate. Other specific terms of the applicable indenture and debt securities will be described in the applicable prospectus supplement. The summary of selected provisions of the indentures and the debt securities appearing below is not complete and is subject to, and qualified entirely by reference to, all of the provisions of the applicable indenture and certificates evidencing the applicable debt securities. If any particular terms of the indenture or debt securities described in a prospectus supplement differ from any of the terms described below, then the terms described below will be deemed to have been superseded by that prospectus supplement. For additional information, you should look at the applicable indenture and the certificate evidencing the applicable debt security that is filed as an exhibit to the registration statement that includes the prospectus.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131"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75"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75" w:lineRule="exact"/>
        <w:rPr>
          <w:rFonts w:ascii="Arial" w:cs="Arial" w:eastAsia="Arial" w:hAnsi="Arial"/>
          <w:sz w:val="18"/>
          <w:szCs w:val="18"/>
          <w:color w:val="auto"/>
        </w:rPr>
      </w:pPr>
    </w:p>
    <w:p>
      <w:pPr>
        <w:ind w:left="1060" w:right="180" w:hanging="316"/>
        <w:spacing w:after="0" w:line="34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deletion, addition or change in any event of default;</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change or modification to the subordination provisions applicable to the subordinated debt securities if different from those described below under “Subordinated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deletion, addition or change in the covenants set forth in Article 10 of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special tax provisions that apply to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the debt securities that do not bear interest, the dates for certain required reports to the applicable trustee;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such debt securities.</w:t>
      </w:r>
    </w:p>
    <w:p>
      <w:pPr>
        <w:spacing w:after="0" w:line="225"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and Transfer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131" w:lineRule="exact"/>
        <w:rPr>
          <w:sz w:val="20"/>
          <w:szCs w:val="20"/>
          <w:color w:val="auto"/>
        </w:rPr>
      </w:pPr>
    </w:p>
    <w:p>
      <w:pPr>
        <w:ind w:left="1060" w:right="440" w:hanging="316"/>
        <w:spacing w:after="0" w:line="308"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51" w:lineRule="exact"/>
        <w:rPr>
          <w:rFonts w:ascii="Arial" w:cs="Arial" w:eastAsia="Arial" w:hAnsi="Arial"/>
          <w:sz w:val="17"/>
          <w:szCs w:val="17"/>
          <w:color w:val="auto"/>
        </w:rPr>
      </w:pPr>
    </w:p>
    <w:p>
      <w:pPr>
        <w:ind w:left="1060" w:right="4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of the debt security being redeemed in part.</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131"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76"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87"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131"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highly-leveraged transaction, whether or not such transaction results in a change in control.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Unless we indicate otherwise in a prospectus supplement with respect to a particular series of debt securities, we may not consolidate with or merge into any other person (other than one of our subsidiaries), in a transaction in which we are not the surviving corporation, or convey, transfer or lease our properties and assets substantially as an entirety to, any person (other than a subsidiary of Fluidigm Corporation), unless:</w:t>
      </w:r>
    </w:p>
    <w:p>
      <w:pPr>
        <w:spacing w:after="0" w:line="52"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76" w:lineRule="exact"/>
        <w:rPr>
          <w:sz w:val="20"/>
          <w:szCs w:val="20"/>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pay principal of or any premium on any debt security of that series when due;</w:t>
      </w:r>
    </w:p>
    <w:p>
      <w:pPr>
        <w:spacing w:after="0" w:line="130" w:lineRule="exact"/>
        <w:rPr>
          <w:rFonts w:ascii="Arial" w:cs="Arial" w:eastAsia="Arial" w:hAnsi="Arial"/>
          <w:sz w:val="18"/>
          <w:szCs w:val="18"/>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pay any interest on any debt security of that series for 30 days after it becomes due;</w:t>
      </w:r>
    </w:p>
    <w:p>
      <w:pPr>
        <w:spacing w:after="0" w:line="130" w:lineRule="exact"/>
        <w:rPr>
          <w:rFonts w:ascii="Arial" w:cs="Arial" w:eastAsia="Arial" w:hAnsi="Arial"/>
          <w:sz w:val="18"/>
          <w:szCs w:val="18"/>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deposit any sinking fund payment when due;</w:t>
      </w:r>
    </w:p>
    <w:p>
      <w:pPr>
        <w:spacing w:after="0" w:line="130" w:lineRule="exact"/>
        <w:rPr>
          <w:rFonts w:ascii="Arial" w:cs="Arial" w:eastAsia="Arial" w:hAnsi="Arial"/>
          <w:sz w:val="18"/>
          <w:szCs w:val="18"/>
          <w:color w:val="auto"/>
        </w:rPr>
      </w:pPr>
    </w:p>
    <w:p>
      <w:pPr>
        <w:ind w:left="1240" w:right="340" w:hanging="604"/>
        <w:spacing w:after="0" w:line="277" w:lineRule="auto"/>
        <w:tabs>
          <w:tab w:leader="none" w:pos="10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wefail to perform any other covenant in the indenture and such failure continues for 90 days after we are given the notice required in the indentures; and</w:t>
      </w:r>
    </w:p>
    <w:p>
      <w:pPr>
        <w:spacing w:after="0" w:line="75" w:lineRule="exact"/>
        <w:rPr>
          <w:rFonts w:ascii="Arial" w:cs="Arial" w:eastAsia="Arial" w:hAnsi="Arial"/>
          <w:sz w:val="18"/>
          <w:szCs w:val="18"/>
          <w:color w:val="auto"/>
        </w:rPr>
      </w:pPr>
    </w:p>
    <w:p>
      <w:pPr>
        <w:ind w:left="1020" w:hanging="38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certainevents involving our bankruptcy, insolvency or reorganization.</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25%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thereon, if any, to be due and payable immediately.</w:t>
      </w:r>
    </w:p>
    <w:p>
      <w:pPr>
        <w:spacing w:after="0" w:line="17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thereon, if any, will automatically become immediately due and payable. Any payment by us on the subordinated debt securities following any such acceleration will be subject to the subordination provisions described below under “Subordinated Debt Securities.”</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88"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76" w:lineRule="exact"/>
        <w:rPr>
          <w:sz w:val="20"/>
          <w:szCs w:val="20"/>
          <w:color w:val="auto"/>
        </w:rPr>
      </w:pPr>
    </w:p>
    <w:p>
      <w:pPr>
        <w:ind w:left="1020" w:hanging="384"/>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theholder has previously given to the trustee written notice of a continuing event of default with respect to the debt securities of that series;</w:t>
      </w:r>
    </w:p>
    <w:p>
      <w:pPr>
        <w:spacing w:after="0" w:line="153" w:lineRule="exact"/>
        <w:rPr>
          <w:rFonts w:ascii="Arial" w:cs="Arial" w:eastAsia="Arial" w:hAnsi="Arial"/>
          <w:sz w:val="16"/>
          <w:szCs w:val="16"/>
          <w:color w:val="auto"/>
        </w:rPr>
      </w:pPr>
    </w:p>
    <w:p>
      <w:pPr>
        <w:ind w:left="1260" w:right="360" w:hanging="624"/>
        <w:spacing w:after="0" w:line="277" w:lineRule="auto"/>
        <w:tabs>
          <w:tab w:leader="none" w:pos="10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theholders of at least 25% in aggregate principal amount of the outstanding debt securities of that series have made a written request and have offered reasonable indemnity to the trustee to institute the proceeding; and</w:t>
      </w:r>
    </w:p>
    <w:p>
      <w:pPr>
        <w:spacing w:after="0" w:line="75" w:lineRule="exact"/>
        <w:rPr>
          <w:rFonts w:ascii="Arial" w:cs="Arial" w:eastAsia="Arial" w:hAnsi="Arial"/>
          <w:sz w:val="18"/>
          <w:szCs w:val="18"/>
          <w:color w:val="auto"/>
        </w:rPr>
      </w:pPr>
    </w:p>
    <w:p>
      <w:pPr>
        <w:ind w:left="1260" w:right="360" w:hanging="624"/>
        <w:spacing w:after="0" w:line="342" w:lineRule="auto"/>
        <w:tabs>
          <w:tab w:leader="none" w:pos="10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76" w:lineRule="exact"/>
        <w:rPr>
          <w:sz w:val="20"/>
          <w:szCs w:val="20"/>
          <w:color w:val="auto"/>
        </w:rPr>
      </w:pPr>
    </w:p>
    <w:p>
      <w:pPr>
        <w:ind w:left="1060" w:right="50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evidence the succession of another person to Fluidigm, or successive successions, and the assumption by any such successor of the covenants of Fluidigm in the indentures in compliance with Article 8 of the indentures;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adding covenants;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adding events of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debt securities;</w:t>
      </w:r>
    </w:p>
    <w:p>
      <w:pPr>
        <w:spacing w:after="0" w:line="130"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indentures or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securing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establish the form or term of debt securities as permitted by Sections 2.1 and 3.1 of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conforming the indenture to the description of the securities set forth in this prospectus or the accompanying prospectus supplement;</w:t>
      </w:r>
    </w:p>
    <w:p>
      <w:pPr>
        <w:spacing w:after="0" w:line="142" w:lineRule="exact"/>
        <w:rPr>
          <w:rFonts w:ascii="Arial" w:cs="Arial" w:eastAsia="Arial" w:hAnsi="Arial"/>
          <w:sz w:val="17"/>
          <w:szCs w:val="17"/>
          <w:color w:val="auto"/>
        </w:rPr>
      </w:pPr>
    </w:p>
    <w:p>
      <w:pPr>
        <w:ind w:left="1060" w:right="8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curing any ambiguity, defect or inconsistency; provided that such action shall not adversely affect the interest of the holders in any material respect;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debt securities;</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such other provisions in regard to matters or questions arising under the indentures or under any supplemental indentures as our board of directors may deem necessary or desirable, and which does not in each case adversely affect the interests of the holders of the debt securities of a series; and</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qualifications of the indentures under the Trust Indenture Act of 1939, as amended (the “Trust Indenture Act”).</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76" w:lineRule="exact"/>
        <w:rPr>
          <w:sz w:val="20"/>
          <w:szCs w:val="20"/>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or interest on, any debt security;</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131" w:lineRule="exact"/>
        <w:rPr>
          <w:sz w:val="20"/>
          <w:szCs w:val="20"/>
          <w:color w:val="auto"/>
        </w:rPr>
      </w:pPr>
    </w:p>
    <w:p>
      <w:pPr>
        <w:ind w:left="1060" w:right="340" w:hanging="316"/>
        <w:spacing w:after="0" w:line="259"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92" w:lineRule="exact"/>
        <w:rPr>
          <w:rFonts w:ascii="Arial" w:cs="Arial" w:eastAsia="Arial" w:hAnsi="Arial"/>
          <w:sz w:val="18"/>
          <w:szCs w:val="18"/>
          <w:color w:val="auto"/>
        </w:rPr>
      </w:pPr>
    </w:p>
    <w:p>
      <w:pPr>
        <w:ind w:left="1060" w:right="200" w:hanging="316"/>
        <w:spacing w:after="0" w:line="34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5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With respect to debt securities of any series that are denominated in a currency other than United States dollars, “foreign government obligations” means:</w:t>
      </w:r>
    </w:p>
    <w:p>
      <w:pPr>
        <w:spacing w:after="0" w:line="76" w:lineRule="exact"/>
        <w:rPr>
          <w:sz w:val="20"/>
          <w:szCs w:val="20"/>
          <w:color w:val="auto"/>
        </w:rPr>
      </w:pPr>
    </w:p>
    <w:p>
      <w:pPr>
        <w:ind w:left="1060" w:right="260" w:hanging="316"/>
        <w:spacing w:after="0" w:line="30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5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New York, except to the extent that the Trust Indenture Act is applicable.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Subordinated Debt Securities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6"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subordinated indenture, we may not make payment on the subordinated debt securities if:</w:t>
      </w:r>
    </w:p>
    <w:p>
      <w:pPr>
        <w:spacing w:after="0" w:line="131" w:lineRule="exact"/>
        <w:rPr>
          <w:sz w:val="20"/>
          <w:szCs w:val="20"/>
          <w:color w:val="auto"/>
        </w:rPr>
      </w:pPr>
    </w:p>
    <w:p>
      <w:pPr>
        <w:ind w:left="1060" w:right="18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resume payments on the subordinated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130"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Additional or different subordination provisions may be described in a prospectus supplement relating to a particular series of debt securities.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76"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153" w:lineRule="exact"/>
        <w:rPr>
          <w:rFonts w:ascii="Arial" w:cs="Arial" w:eastAsia="Arial" w:hAnsi="Arial"/>
          <w:sz w:val="16"/>
          <w:szCs w:val="16"/>
          <w:color w:val="auto"/>
        </w:rPr>
      </w:pPr>
    </w:p>
    <w:p>
      <w:pPr>
        <w:ind w:left="1620" w:right="700" w:hanging="430"/>
        <w:spacing w:after="0" w:line="277"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86"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71" w:lineRule="exact"/>
        <w:rPr>
          <w:sz w:val="20"/>
          <w:szCs w:val="20"/>
          <w:color w:val="auto"/>
        </w:rPr>
      </w:pPr>
    </w:p>
    <w:p>
      <w:pPr>
        <w:ind w:left="1060" w:right="140" w:hanging="316"/>
        <w:spacing w:after="0" w:line="264"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of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WARRANTS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warrants for the purchase of common stock, preferred stock or debt securities or any combination thereof. Warrants may be issued independently or together with common stock, preferred stock or debt securities and may be attached to or separate from any offered securities. Each series of warrants will be issued under a separate warrant agreement. This summary of some provisions of the warrants is not complete. You should refer to the warrant agreement relating to the specific warrants being offered for the complete terms of the warrants.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60" w:right="8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any rights as stockholders of Fluidigm.</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Debt warrant certificates may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of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92"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underwriting discounts, commissions or agency fees and other items constituting underwriters’ or agents’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initial price to public;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66"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in each case in a manner that constitutes an “at the market” offering as defined in Rule 415(a)(4) of the Securities Act. Any such agreement will provide that any securities sold will be sold at prices related to the then prevailing market prices for our securities. Therefore, exact figures regarding proceeds that will be raised or commissions to be paid cannot be determined as of the date of this prospectus. The terms of any such agreement will be set forth in more detail in the applicable prospectus or prospectus supplement.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 Transactions and Hedging</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Auctions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 In no event will the total amount of compensation paid to the agents, underwriters and dealers upon completion of any offering exceed 8.0% of the gross proceeds of such offering.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Certain legal matters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financial statements as of December 31, 2016 and 2015 and for the two years ended December 31, 2016 and management’s assessment of the effectiveness of internal control over financial reporting (which is included in Management’s Report on Internal Control over Financial Reporting) as of December 31, 2016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as of and for the year ended December 31, 2014, included in our Annual Report on Form 10-K for the year ended December 31, 2016, as set forth in their report which is incorporated by reference in this prospectus and elsewhere in the registration statement. Our consolidated financial statements are incorporated by reference in reliance on Ernst &amp; Young LLP’s reports, given on their authority as experts in accounting and auditing.</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w:t>
      </w:r>
    </w:p>
    <w:p>
      <w:pPr>
        <w:ind w:left="200" w:right="80"/>
        <w:spacing w:after="0" w:line="292" w:lineRule="auto"/>
        <w:rPr>
          <w:sz w:val="20"/>
          <w:szCs w:val="20"/>
          <w:color w:val="auto"/>
        </w:rPr>
      </w:pPr>
      <w:r>
        <w:rPr>
          <w:rFonts w:ascii="Arial" w:cs="Arial" w:eastAsia="Arial" w:hAnsi="Arial"/>
          <w:sz w:val="16"/>
          <w:szCs w:val="16"/>
          <w:color w:val="auto"/>
        </w:rPr>
        <w:t>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charge through the investor relations page of our website located at http://investors.fluidigm.com/sec.cfm. These filings will be available as soon as reasonably practicable after we electronically file such material with, or furnish it to, the SEC. Information contained on our website is not part of this prospectus.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(excluding those portions of any Form 8-K that are not deemed “filed” pursuant to the General Instructions of Form 8-K):</w:t>
      </w:r>
    </w:p>
    <w:p>
      <w:pPr>
        <w:spacing w:after="0" w:line="77" w:lineRule="exact"/>
        <w:rPr>
          <w:sz w:val="20"/>
          <w:szCs w:val="20"/>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3,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11, 2017, February 10, 2017, and March 2, 2017;</w:t>
      </w:r>
    </w:p>
    <w:p>
      <w:pPr>
        <w:spacing w:after="0" w:line="130"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 No. 001-34180) filed with the Commission on February 7, 2011, pursuant to Section 12(b) of the Exchange Act, including any amendment or report filed for the purpose of updating such description; and</w:t>
      </w:r>
    </w:p>
    <w:p>
      <w:pPr>
        <w:spacing w:after="0" w:line="86"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description of the our preferred share purchase rights contained in our on Form 8-A (File No. 001-34180) filed with the Commission on November 22, 2016, pursuant to Section 12(b) of the Exchange Act, including any amendment or report filed for the purpose of updating such description.</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4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Attention: Investor Relations, or you may call us at (650) 266-6000.</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27"/>
          <w:szCs w:val="27"/>
          <w:b w:val="1"/>
          <w:bCs w:val="1"/>
          <w:color w:val="465361"/>
        </w:rPr>
        <w:t>8,150,000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346075</wp:posOffset>
            </wp:positionV>
            <wp:extent cx="3704590" cy="12090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0459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465361"/>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465361"/>
        </w:rPr>
        <w:t>Joint Book-Running Managers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30"/>
          <w:szCs w:val="30"/>
          <w:b w:val="1"/>
          <w:bCs w:val="1"/>
          <w:color w:val="465361"/>
        </w:rPr>
        <w:t>Piper Jaffray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b w:val="1"/>
          <w:bCs w:val="1"/>
          <w:color w:val="465361"/>
        </w:rPr>
        <w:t>UBS Investment Bank</w:t>
      </w:r>
    </w:p>
    <w:p>
      <w:pPr>
        <w:spacing w:after="0" w:line="211" w:lineRule="exact"/>
        <w:rPr>
          <w:sz w:val="20"/>
          <w:szCs w:val="20"/>
          <w:color w:val="auto"/>
        </w:rPr>
      </w:pPr>
    </w:p>
    <w:p>
      <w:pPr>
        <w:sectPr>
          <w:pgSz w:w="11900" w:h="16838" w:orient="portrait"/>
          <w:cols w:equalWidth="0" w:num="2">
            <w:col w:w="7420" w:space="720"/>
            <w:col w:w="3080"/>
          </w:cols>
          <w:pgMar w:left="240" w:top="459" w:right="439" w:bottom="1440" w:gutter="0" w:footer="0" w:header="0"/>
          <w:type w:val="continuous"/>
        </w:sectPr>
      </w:pPr>
    </w:p>
    <w:p>
      <w:pPr>
        <w:spacing w:after="0" w:line="63" w:lineRule="exact"/>
        <w:rPr>
          <w:sz w:val="20"/>
          <w:szCs w:val="20"/>
          <w:color w:val="auto"/>
        </w:rPr>
      </w:pPr>
    </w:p>
    <w:p>
      <w:pPr>
        <w:jc w:val="center"/>
        <w:ind w:right="-219"/>
        <w:spacing w:after="0"/>
        <w:rPr>
          <w:sz w:val="20"/>
          <w:szCs w:val="20"/>
          <w:color w:val="auto"/>
        </w:rPr>
      </w:pPr>
      <w:r>
        <w:rPr>
          <w:rFonts w:ascii="Arial" w:cs="Arial" w:eastAsia="Arial" w:hAnsi="Arial"/>
          <w:sz w:val="16"/>
          <w:szCs w:val="16"/>
          <w:i w:val="1"/>
          <w:iCs w:val="1"/>
          <w:color w:val="465361"/>
        </w:rPr>
        <w:t>Co-Managers</w:t>
      </w:r>
    </w:p>
    <w:p>
      <w:pPr>
        <w:sectPr>
          <w:pgSz w:w="11900" w:h="16838" w:orient="portrait"/>
          <w:cols w:equalWidth="0" w:num="1">
            <w:col w:w="11220"/>
          </w:cols>
          <w:pgMar w:left="240" w:top="459" w:right="439" w:bottom="1440" w:gutter="0" w:footer="0" w:header="0"/>
          <w:type w:val="continuous"/>
        </w:sect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26"/>
          <w:szCs w:val="26"/>
          <w:b w:val="1"/>
          <w:bCs w:val="1"/>
          <w:color w:val="465361"/>
        </w:rPr>
        <w:t>Janney Montgomery Scott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9"/>
          <w:szCs w:val="29"/>
          <w:b w:val="1"/>
          <w:bCs w:val="1"/>
          <w:color w:val="465361"/>
        </w:rPr>
        <w:t>BTIG</w:t>
      </w:r>
    </w:p>
    <w:p>
      <w:pPr>
        <w:spacing w:after="0" w:line="200" w:lineRule="exact"/>
        <w:rPr>
          <w:sz w:val="20"/>
          <w:szCs w:val="20"/>
          <w:color w:val="auto"/>
        </w:rPr>
      </w:pPr>
    </w:p>
    <w:p>
      <w:pPr>
        <w:sectPr>
          <w:pgSz w:w="11900" w:h="16838" w:orient="portrait"/>
          <w:cols w:equalWidth="0" w:num="2">
            <w:col w:w="9780" w:space="720"/>
            <w:col w:w="720"/>
          </w:cols>
          <w:pgMar w:left="240" w:top="459" w:right="4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465361"/>
        </w:rPr>
        <w:t>December 11, 2018</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Letter"/>
      <w:start w:val="2"/>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Roman"/>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lvl w:ilvl="1">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2019-12-06T19:07:52Z</dcterms:created>
  <dcterms:modified xsi:type="dcterms:W3CDTF">2019-12-06T19:07:52Z</dcterms:modified>
</cp:coreProperties>
</file>