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324" w:lineRule="exact"/>
        <w:rPr>
          <w:sz w:val="24"/>
          <w:szCs w:val="24"/>
          <w:color w:val="auto"/>
        </w:rPr>
      </w:pPr>
    </w:p>
    <w:p>
      <w:pPr>
        <w:jc w:val="center"/>
        <w:ind w:right="140"/>
        <w:spacing w:after="0" w:line="288" w:lineRule="exact"/>
        <w:rPr>
          <w:sz w:val="20"/>
          <w:szCs w:val="20"/>
          <w:color w:val="auto"/>
        </w:rPr>
      </w:pPr>
      <w:r>
        <w:rPr>
          <w:rFonts w:ascii="Arial" w:cs="Arial" w:eastAsia="Arial" w:hAnsi="Arial"/>
          <w:sz w:val="25"/>
          <w:szCs w:val="25"/>
          <w:b w:val="1"/>
          <w:bCs w:val="1"/>
          <w:color w:val="auto"/>
        </w:rPr>
        <w:t>FORM 8</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126"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33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April 21, 2020</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Fluidigm Corporation</w:t>
      </w:r>
    </w:p>
    <w:p>
      <w:pPr>
        <w:spacing w:after="0" w:line="69"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60"/>
          </w:cols>
          <w:pgMar w:left="320" w:top="517" w:right="319" w:bottom="1440" w:gutter="0" w:footer="0" w:header="0"/>
        </w:sectPr>
      </w:pPr>
    </w:p>
    <w:p>
      <w:pPr>
        <w:spacing w:after="0" w:line="200" w:lineRule="exact"/>
        <w:rPr>
          <w:sz w:val="24"/>
          <w:szCs w:val="24"/>
          <w:color w:val="auto"/>
        </w:rPr>
      </w:pPr>
    </w:p>
    <w:p>
      <w:pPr>
        <w:spacing w:after="0" w:line="386"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6" w:lineRule="exact"/>
        <w:rPr>
          <w:sz w:val="24"/>
          <w:szCs w:val="24"/>
          <w:color w:val="auto"/>
        </w:rPr>
      </w:pPr>
    </w:p>
    <w:p>
      <w:pPr>
        <w:sectPr>
          <w:pgSz w:w="11900" w:h="16838" w:orient="portrait"/>
          <w:cols w:equalWidth="0" w:num="3">
            <w:col w:w="4640" w:space="720"/>
            <w:col w:w="2920" w:space="720"/>
            <w:col w:w="2260"/>
          </w:cols>
          <w:pgMar w:left="320" w:top="517" w:right="319" w:bottom="1440" w:gutter="0" w:footer="0" w:header="0"/>
          <w:type w:val="continuous"/>
        </w:sectPr>
      </w:pPr>
    </w:p>
    <w:p>
      <w:pPr>
        <w:ind w:left="6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20" w:space="720"/>
            <w:col w:w="2860"/>
          </w:cols>
          <w:pgMar w:left="320" w:top="517" w:right="319" w:bottom="1440" w:gutter="0" w:footer="0" w:header="0"/>
          <w:type w:val="continuous"/>
        </w:sectPr>
      </w:pP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 Tower Place, Suite 2000, South San Francisco, California 94080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(Zip Code)</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ind w:left="370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61" w:lineRule="exact"/>
        <w:rPr>
          <w:sz w:val="24"/>
          <w:szCs w:val="24"/>
          <w:color w:val="auto"/>
        </w:rPr>
      </w:pPr>
    </w:p>
    <w:p>
      <w:pPr>
        <w:ind w:left="1000" w:hanging="425"/>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21" w:lineRule="exact"/>
        <w:rPr>
          <w:rFonts w:ascii="Arial" w:cs="Arial" w:eastAsia="Arial" w:hAnsi="Arial"/>
          <w:sz w:val="16"/>
          <w:szCs w:val="16"/>
          <w:color w:val="auto"/>
        </w:rPr>
      </w:pPr>
    </w:p>
    <w:p>
      <w:pPr>
        <w:ind w:left="1000" w:hanging="425"/>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sz w:val="24"/>
          <w:szCs w:val="24"/>
          <w:color w:val="auto"/>
        </w:rPr>
      </w:pPr>
    </w:p>
    <w:p>
      <w:pPr>
        <w:ind w:left="940" w:hanging="446"/>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 pursuant to Rule 14d-2(b) under the Exchange Act (17 CFR 240.14d-2(b))</w:t>
      </w:r>
    </w:p>
    <w:p>
      <w:pPr>
        <w:spacing w:after="0" w:line="221" w:lineRule="exact"/>
        <w:rPr>
          <w:rFonts w:ascii="Arial" w:cs="Arial" w:eastAsia="Arial" w:hAnsi="Arial"/>
          <w:sz w:val="16"/>
          <w:szCs w:val="16"/>
          <w:color w:val="auto"/>
        </w:rPr>
      </w:pPr>
    </w:p>
    <w:p>
      <w:pPr>
        <w:ind w:left="940" w:hanging="446"/>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60"/>
        </w:trPr>
        <w:tc>
          <w:tcPr>
            <w:tcW w:w="418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4260" w:type="dxa"/>
            <w:vAlign w:val="bottom"/>
            <w:tcBorders>
              <w:bottom w:val="single" w:sz="8" w:color="auto"/>
              <w:right w:val="single" w:sz="8" w:color="auto"/>
            </w:tcBorders>
          </w:tcPr>
          <w:p>
            <w:pPr>
              <w:spacing w:after="0"/>
              <w:rPr>
                <w:sz w:val="5"/>
                <w:szCs w:val="5"/>
                <w:color w:val="auto"/>
              </w:rPr>
            </w:pPr>
          </w:p>
        </w:tc>
      </w:tr>
      <w:tr>
        <w:trPr>
          <w:trHeight w:val="237"/>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4260" w:type="dxa"/>
            <w:vAlign w:val="bottom"/>
            <w:tcBorders>
              <w:bottom w:val="single" w:sz="8" w:color="auto"/>
              <w:right w:val="single" w:sz="8" w:color="auto"/>
            </w:tcBorders>
          </w:tcPr>
          <w:p>
            <w:pPr>
              <w:spacing w:after="0"/>
              <w:rPr>
                <w:sz w:val="4"/>
                <w:szCs w:val="4"/>
                <w:color w:val="auto"/>
              </w:rPr>
            </w:pPr>
          </w:p>
        </w:tc>
      </w:tr>
    </w:tbl>
    <w:p>
      <w:pPr>
        <w:spacing w:after="0" w:line="260" w:lineRule="exact"/>
        <w:rPr>
          <w:sz w:val="24"/>
          <w:szCs w:val="24"/>
          <w:color w:val="auto"/>
        </w:rPr>
      </w:pPr>
    </w:p>
    <w:p>
      <w:pPr>
        <w:ind w:left="40" w:right="60"/>
        <w:spacing w:after="0" w:line="26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320"/>
        <w:spacing w:after="0"/>
        <w:rPr>
          <w:sz w:val="20"/>
          <w:szCs w:val="20"/>
          <w:color w:val="auto"/>
        </w:rPr>
      </w:pPr>
      <w:r>
        <w:rPr>
          <w:rFonts w:ascii="Arial" w:cs="Arial" w:eastAsia="Arial" w:hAnsi="Arial"/>
          <w:sz w:val="15"/>
          <w:szCs w:val="15"/>
          <w:color w:val="auto"/>
        </w:rPr>
        <w:t>Emerging growth company o</w:t>
      </w:r>
    </w:p>
    <w:p>
      <w:pPr>
        <w:spacing w:after="0" w:line="134" w:lineRule="exact"/>
        <w:rPr>
          <w:sz w:val="24"/>
          <w:szCs w:val="24"/>
          <w:color w:val="auto"/>
        </w:rPr>
      </w:pPr>
    </w:p>
    <w:p>
      <w:pPr>
        <w:ind w:left="40"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60"/>
          </w:cols>
          <w:pgMar w:left="320" w:top="51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ind w:firstLine="391"/>
        <w:spacing w:after="0" w:line="275" w:lineRule="auto"/>
        <w:rPr>
          <w:sz w:val="20"/>
          <w:szCs w:val="20"/>
          <w:color w:val="auto"/>
        </w:rPr>
      </w:pPr>
      <w:r>
        <w:rPr>
          <w:rFonts w:ascii="Arial" w:cs="Arial" w:eastAsia="Arial" w:hAnsi="Arial"/>
          <w:sz w:val="18"/>
          <w:szCs w:val="18"/>
          <w:color w:val="auto"/>
        </w:rPr>
        <w:t xml:space="preserve">On April 21, 2020, </w:t>
      </w:r>
      <w:r>
        <w:rPr>
          <w:rFonts w:ascii="Arial" w:cs="Arial" w:eastAsia="Arial" w:hAnsi="Arial"/>
          <w:sz w:val="18"/>
          <w:szCs w:val="18"/>
          <w:color w:val="212529"/>
        </w:rPr>
        <w:t>Fluidigm Corporation (the “Company”)</w:t>
      </w:r>
      <w:r>
        <w:rPr>
          <w:rFonts w:ascii="Arial" w:cs="Arial" w:eastAsia="Arial" w:hAnsi="Arial"/>
          <w:sz w:val="18"/>
          <w:szCs w:val="18"/>
          <w:color w:val="auto"/>
        </w:rPr>
        <w:t xml:space="preserve"> and Silicon Valley Bank (“SVB”) entered into the Third Amendment to Loan and Security Agreement (the “Amendment”), which amends the Loan and Security Agreement dated as of August 2, 2018, between the Company and SVB (as amended by the Default Waiver and First Amendment to Loan and Security Agreement dated September 7, 2018, and the Second Amendment to Loan and Security Agreement dated November 20, 2019, the “Loan Agreement”).</w:t>
      </w:r>
    </w:p>
    <w:p>
      <w:pPr>
        <w:spacing w:after="0" w:line="199" w:lineRule="exact"/>
        <w:rPr>
          <w:sz w:val="20"/>
          <w:szCs w:val="20"/>
          <w:color w:val="auto"/>
        </w:rPr>
      </w:pPr>
    </w:p>
    <w:p>
      <w:pPr>
        <w:ind w:right="20" w:firstLine="391"/>
        <w:spacing w:after="0" w:line="324" w:lineRule="auto"/>
        <w:rPr>
          <w:sz w:val="20"/>
          <w:szCs w:val="20"/>
          <w:color w:val="auto"/>
        </w:rPr>
      </w:pPr>
      <w:r>
        <w:rPr>
          <w:rFonts w:ascii="Arial" w:cs="Arial" w:eastAsia="Arial" w:hAnsi="Arial"/>
          <w:sz w:val="17"/>
          <w:szCs w:val="17"/>
          <w:color w:val="auto"/>
        </w:rPr>
        <w:t>The Amendment extends the maturity date of the Loan Agreement by two years, to August 2, 2022 and amends the interest rate to be the greater of (i) prime rate (as customarily defined), plus 0.50%, floating, and (ii) 5.25%. The Amendment also includes various administrative changes.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amounts are outstanding under the Loan Agreement, as amended, as of the date of this report.</w:t>
      </w:r>
    </w:p>
    <w:p>
      <w:pPr>
        <w:spacing w:after="0" w:line="252" w:lineRule="exact"/>
        <w:rPr>
          <w:sz w:val="20"/>
          <w:szCs w:val="20"/>
          <w:color w:val="auto"/>
        </w:rPr>
      </w:pPr>
    </w:p>
    <w:p>
      <w:pPr>
        <w:ind w:firstLine="391"/>
        <w:spacing w:after="0" w:line="293" w:lineRule="auto"/>
        <w:rPr>
          <w:sz w:val="20"/>
          <w:szCs w:val="20"/>
          <w:color w:val="auto"/>
        </w:rPr>
      </w:pPr>
      <w:r>
        <w:rPr>
          <w:rFonts w:ascii="Arial" w:cs="Arial" w:eastAsia="Arial" w:hAnsi="Arial"/>
          <w:sz w:val="18"/>
          <w:szCs w:val="18"/>
          <w:color w:val="auto"/>
        </w:rPr>
        <w:t>The foregoing description of the Amendment is qualified in its entirety by reference to the Amendment attached as Exhibit 10.1 to this Current Report on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220"/>
          </w:cols>
          <w:pgMar w:left="320" w:top="351" w:right="3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22" w:lineRule="exact"/>
        <w:rPr>
          <w:sz w:val="20"/>
          <w:szCs w:val="20"/>
          <w:color w:val="auto"/>
        </w:rPr>
      </w:pPr>
    </w:p>
    <w:p>
      <w:pPr>
        <w:sectPr>
          <w:pgSz w:w="11900" w:h="16838" w:orient="portrait"/>
          <w:cols w:equalWidth="0" w:num="2">
            <w:col w:w="980" w:space="720"/>
            <w:col w:w="9520"/>
          </w:cols>
          <w:pgMar w:left="320" w:top="351" w:right="359" w:bottom="1440" w:gutter="0" w:footer="0" w:header="0"/>
          <w:type w:val="continuous"/>
        </w:sectPr>
      </w:pPr>
    </w:p>
    <w:p>
      <w:pPr>
        <w:spacing w:after="0" w:line="176"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Third Amendment to Loan and Security Agreement, dated April 21, 2020, between the Company and Silicon Valley Bank.</w:t>
        </w:r>
      </w:hyperlink>
    </w:p>
    <w:p>
      <w:pPr>
        <w:sectPr>
          <w:pgSz w:w="11900" w:h="16838" w:orient="portrait"/>
          <w:cols w:equalWidth="0" w:num="2">
            <w:col w:w="980" w:space="720"/>
            <w:col w:w="9520"/>
          </w:cols>
          <w:pgMar w:left="320" w:top="351" w:right="35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4760" w:val="left"/>
          <w:tab w:leader="none" w:pos="5340" w:val="left"/>
        </w:tabs>
        <w:rPr>
          <w:sz w:val="20"/>
          <w:szCs w:val="20"/>
          <w:color w:val="auto"/>
        </w:rPr>
      </w:pPr>
      <w:r>
        <w:rPr>
          <w:rFonts w:ascii="Arial" w:cs="Arial" w:eastAsia="Arial" w:hAnsi="Arial"/>
          <w:sz w:val="18"/>
          <w:szCs w:val="18"/>
          <w:color w:val="auto"/>
        </w:rPr>
        <w:t>Date: April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2648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20"/>
          </w:cols>
          <w:pgMar w:left="320" w:top="33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w:t>
      </w: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20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This Third Amendment to Loan and Security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is entered into this 21st day of April, 2020, by and among </w:t>
      </w:r>
      <w:r>
        <w:rPr>
          <w:rFonts w:ascii="Arial" w:cs="Arial" w:eastAsia="Arial" w:hAnsi="Arial"/>
          <w:sz w:val="20"/>
          <w:szCs w:val="20"/>
          <w:b w:val="1"/>
          <w:bCs w:val="1"/>
          <w:color w:val="auto"/>
        </w:rPr>
        <w:t>SILICON VALLEY BANK</w:t>
      </w:r>
      <w:r>
        <w:rPr>
          <w:rFonts w:ascii="Arial" w:cs="Arial" w:eastAsia="Arial" w:hAnsi="Arial"/>
          <w:sz w:val="20"/>
          <w:szCs w:val="20"/>
          <w:color w:val="auto"/>
        </w:rPr>
        <w:t xml:space="preserve"> (“</w:t>
      </w:r>
      <w:r>
        <w:rPr>
          <w:rFonts w:ascii="Arial" w:cs="Arial" w:eastAsia="Arial" w:hAnsi="Arial"/>
          <w:sz w:val="20"/>
          <w:szCs w:val="20"/>
          <w:b w:val="1"/>
          <w:bCs w:val="1"/>
          <w:color w:val="auto"/>
        </w:rPr>
        <w:t>Bank</w:t>
      </w:r>
      <w:r>
        <w:rPr>
          <w:rFonts w:ascii="Arial" w:cs="Arial" w:eastAsia="Arial" w:hAnsi="Arial"/>
          <w:sz w:val="20"/>
          <w:szCs w:val="20"/>
          <w:color w:val="auto"/>
        </w:rPr>
        <w:t xml:space="preserve">”), and </w:t>
      </w:r>
      <w:r>
        <w:rPr>
          <w:rFonts w:ascii="Arial" w:cs="Arial" w:eastAsia="Arial" w:hAnsi="Arial"/>
          <w:sz w:val="20"/>
          <w:szCs w:val="20"/>
          <w:b w:val="1"/>
          <w:bCs w:val="1"/>
          <w:color w:val="auto"/>
        </w:rPr>
        <w:t>FLUIDIGM CORPORATION</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46" w:lineRule="auto"/>
        <w:tabs>
          <w:tab w:leader="none" w:pos="1066"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Bank and Borrower have entered into that certain Loan and Security Agreement dated as of August 2, 2018 (as may from time to time be further amended, modified, supplemented or restated, including, without limitation, by that certain Default Waiver and First Amendment to Loan and Security Agreement dated as of September 7, 2018, and that certain Second Amendment to Loan and Security Agreement dated as of November 20, 2019, collectively, the “</w:t>
      </w:r>
      <w:r>
        <w:rPr>
          <w:rFonts w:ascii="Arial" w:cs="Arial" w:eastAsia="Arial" w:hAnsi="Arial"/>
          <w:sz w:val="20"/>
          <w:szCs w:val="20"/>
          <w:b w:val="1"/>
          <w:bCs w:val="1"/>
          <w:color w:val="auto"/>
        </w:rPr>
        <w:t>Loan Agreement</w:t>
      </w:r>
      <w:r>
        <w:rPr>
          <w:rFonts w:ascii="Arial" w:cs="Arial" w:eastAsia="Arial" w:hAnsi="Arial"/>
          <w:sz w:val="20"/>
          <w:szCs w:val="20"/>
          <w:color w:val="auto"/>
        </w:rPr>
        <w:t>”).</w:t>
      </w:r>
    </w:p>
    <w:p>
      <w:pPr>
        <w:spacing w:after="0" w:line="191" w:lineRule="exact"/>
        <w:rPr>
          <w:rFonts w:ascii="Arial" w:cs="Arial" w:eastAsia="Arial" w:hAnsi="Arial"/>
          <w:sz w:val="20"/>
          <w:szCs w:val="20"/>
          <w:b w:val="1"/>
          <w:bCs w:val="1"/>
          <w:color w:val="auto"/>
        </w:rPr>
      </w:pPr>
    </w:p>
    <w:p>
      <w:pPr>
        <w:ind w:left="1040" w:hanging="384"/>
        <w:spacing w:after="0"/>
        <w:tabs>
          <w:tab w:leader="none" w:pos="10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Bank has extended credit to Borrower for the purposes permitted in the Loan Agreement.</w:t>
      </w:r>
    </w:p>
    <w:p>
      <w:pPr>
        <w:spacing w:after="0" w:line="215" w:lineRule="exact"/>
        <w:rPr>
          <w:rFonts w:ascii="Arial" w:cs="Arial" w:eastAsia="Arial" w:hAnsi="Arial"/>
          <w:sz w:val="20"/>
          <w:szCs w:val="20"/>
          <w:b w:val="1"/>
          <w:bCs w:val="1"/>
          <w:color w:val="auto"/>
        </w:rPr>
      </w:pPr>
    </w:p>
    <w:p>
      <w:pPr>
        <w:ind w:right="20" w:firstLine="656"/>
        <w:spacing w:after="0" w:line="260" w:lineRule="auto"/>
        <w:tabs>
          <w:tab w:leader="none" w:pos="1094"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Borrower has requested that Bank amend the Loan Agreement to (i) extend the Revolving Line Maturity Date, and (ii) make certain other revisions to the Loan Agreement as more fully set forth herein.</w:t>
      </w:r>
    </w:p>
    <w:p>
      <w:pPr>
        <w:spacing w:after="0" w:line="176" w:lineRule="exact"/>
        <w:rPr>
          <w:rFonts w:ascii="Arial" w:cs="Arial" w:eastAsia="Arial" w:hAnsi="Arial"/>
          <w:sz w:val="20"/>
          <w:szCs w:val="20"/>
          <w:b w:val="1"/>
          <w:bCs w:val="1"/>
          <w:color w:val="auto"/>
        </w:rPr>
      </w:pPr>
    </w:p>
    <w:p>
      <w:pPr>
        <w:ind w:firstLine="656"/>
        <w:spacing w:after="0" w:line="260" w:lineRule="auto"/>
        <w:tabs>
          <w:tab w:leader="none" w:pos="109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63" w:lineRule="exact"/>
        <w:rPr>
          <w:sz w:val="20"/>
          <w:szCs w:val="20"/>
          <w:color w:val="auto"/>
        </w:rPr>
      </w:pPr>
    </w:p>
    <w:p>
      <w:pPr>
        <w:ind w:left="1460" w:hanging="804"/>
        <w:spacing w:after="0"/>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 Loan</w:t>
      </w:r>
    </w:p>
    <w:p>
      <w:pPr>
        <w:spacing w:after="0" w:line="3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Agreement.</w:t>
      </w:r>
    </w:p>
    <w:p>
      <w:pPr>
        <w:spacing w:after="0" w:line="180"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p>
    <w:p>
      <w:pPr>
        <w:spacing w:after="0" w:line="108"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color w:val="auto"/>
        </w:rPr>
        <w:t>All references to “Borrowing Base Report” shall hereinafter be updated to reflect “Borrowing Base Statement.”</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color w:val="auto"/>
        </w:rPr>
        <w:t>All references to “Compliance Certificate” shall hereinafter be updated to reflect “Compliance Statement.”</w:t>
      </w:r>
    </w:p>
    <w:p>
      <w:pPr>
        <w:spacing w:after="0" w:line="216"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2.3 Section 2.3 (Payment of Interest on the Credit Extensions)</w:t>
      </w:r>
      <w:r>
        <w:rPr>
          <w:rFonts w:ascii="Arial" w:cs="Arial" w:eastAsia="Arial" w:hAnsi="Arial"/>
          <w:sz w:val="20"/>
          <w:szCs w:val="20"/>
          <w:color w:val="auto"/>
        </w:rPr>
        <w:t>. Section 2.3(a) of the Loan Agreement hereby is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in its entirety and replaced with the following:</w:t>
      </w:r>
    </w:p>
    <w:p>
      <w:pPr>
        <w:spacing w:after="0" w:line="16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Interest Rate</w:t>
      </w:r>
      <w:r>
        <w:rPr>
          <w:rFonts w:ascii="Arial" w:cs="Arial" w:eastAsia="Arial" w:hAnsi="Arial"/>
          <w:sz w:val="20"/>
          <w:szCs w:val="20"/>
          <w:color w:val="auto"/>
        </w:rPr>
        <w:t xml:space="preserve">. Subject to Section 2.4(b), the principal amount outstanding under the Revolving Line shall accrue interest at the </w:t>
      </w:r>
      <w:r>
        <w:rPr>
          <w:rFonts w:ascii="Arial" w:cs="Arial" w:eastAsia="Arial" w:hAnsi="Arial"/>
          <w:sz w:val="20"/>
          <w:szCs w:val="20"/>
          <w:i w:val="1"/>
          <w:iCs w:val="1"/>
          <w:u w:val="single" w:color="auto"/>
          <w:color w:val="auto"/>
        </w:rPr>
        <w:t>greater of</w:t>
      </w:r>
      <w:r>
        <w:rPr>
          <w:rFonts w:ascii="Arial" w:cs="Arial" w:eastAsia="Arial" w:hAnsi="Arial"/>
          <w:sz w:val="20"/>
          <w:szCs w:val="20"/>
          <w:color w:val="auto"/>
        </w:rPr>
        <w:t xml:space="preserve"> (i) a floating per annum rate equal to one-half of one percentage point (0.50%) above the Prime Rate or (ii) a fixed per</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WEST\289776852.4</w:t>
      </w:r>
    </w:p>
    <w:p>
      <w:pPr>
        <w:sectPr>
          <w:pgSz w:w="11900" w:h="16838" w:orient="portrait"/>
          <w:cols w:equalWidth="0" w:num="1">
            <w:col w:w="11240"/>
          </w:cols>
          <w:pgMar w:left="320" w:top="589" w:right="339" w:bottom="1440" w:gutter="0" w:footer="0" w:header="0"/>
        </w:sectPr>
      </w:pPr>
    </w:p>
    <w:bookmarkStart w:id="4" w:name="page5"/>
    <w:bookmarkEnd w:id="4"/>
    <w:p>
      <w:pPr>
        <w:jc w:val="both"/>
        <w:ind w:left="660"/>
        <w:spacing w:after="0" w:line="260" w:lineRule="auto"/>
        <w:rPr>
          <w:sz w:val="20"/>
          <w:szCs w:val="20"/>
          <w:color w:val="auto"/>
        </w:rPr>
      </w:pPr>
      <w:r>
        <w:rPr>
          <w:rFonts w:ascii="Arial" w:cs="Arial" w:eastAsia="Arial" w:hAnsi="Arial"/>
          <w:sz w:val="20"/>
          <w:szCs w:val="20"/>
          <w:color w:val="auto"/>
        </w:rPr>
        <w:t>annum rate equal to five and one quarter percentage points (5.25%) which interest shall be payable monthly in accordance with Section 2.4(d) below.”</w:t>
      </w:r>
    </w:p>
    <w:p>
      <w:pPr>
        <w:spacing w:after="0" w:line="171"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2.4 Section 2.5 (Fees)</w:t>
      </w:r>
      <w:r>
        <w:rPr>
          <w:rFonts w:ascii="Arial" w:cs="Arial" w:eastAsia="Arial" w:hAnsi="Arial"/>
          <w:sz w:val="20"/>
          <w:szCs w:val="20"/>
          <w:color w:val="auto"/>
        </w:rPr>
        <w:t>. Sections 2.5(a) and 2.5(c) of the Loan Agreement hereby are amended and restated in their 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and replaced with the following:</w:t>
      </w:r>
    </w:p>
    <w:p>
      <w:pPr>
        <w:spacing w:after="0" w:line="169"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Revolving Line Commitment Fee</w:t>
      </w:r>
      <w:r>
        <w:rPr>
          <w:rFonts w:ascii="Arial" w:cs="Arial" w:eastAsia="Arial" w:hAnsi="Arial"/>
          <w:sz w:val="20"/>
          <w:szCs w:val="20"/>
          <w:color w:val="auto"/>
        </w:rPr>
        <w:t>. A fully earned, non-refundable commitment fee of One Hundred Twelve Thousand Five Hundred Dollars ($112,500) (the “</w:t>
      </w:r>
      <w:r>
        <w:rPr>
          <w:rFonts w:ascii="Arial" w:cs="Arial" w:eastAsia="Arial" w:hAnsi="Arial"/>
          <w:sz w:val="20"/>
          <w:szCs w:val="20"/>
          <w:b w:val="1"/>
          <w:bCs w:val="1"/>
          <w:color w:val="auto"/>
        </w:rPr>
        <w:t>Revolving Line Commitment Fee</w:t>
      </w:r>
      <w:r>
        <w:rPr>
          <w:rFonts w:ascii="Arial" w:cs="Arial" w:eastAsia="Arial" w:hAnsi="Arial"/>
          <w:sz w:val="20"/>
          <w:szCs w:val="20"/>
          <w:color w:val="auto"/>
        </w:rPr>
        <w:t xml:space="preserve">”) on each of (I) the Effective Date, and with respect to each anniversary of the Effective Date thereafter through the Revolving Maturity Date, (II) the earliest of (a) </w:t>
      </w:r>
      <w:r>
        <w:rPr>
          <w:rFonts w:ascii="Arial" w:cs="Arial" w:eastAsia="Arial" w:hAnsi="Arial"/>
          <w:sz w:val="20"/>
          <w:szCs w:val="20"/>
          <w:i w:val="1"/>
          <w:iCs w:val="1"/>
          <w:u w:val="single" w:color="auto"/>
          <w:color w:val="auto"/>
        </w:rPr>
        <w:t>each</w:t>
      </w:r>
      <w:r>
        <w:rPr>
          <w:rFonts w:ascii="Arial" w:cs="Arial" w:eastAsia="Arial" w:hAnsi="Arial"/>
          <w:sz w:val="20"/>
          <w:szCs w:val="20"/>
          <w:color w:val="auto"/>
        </w:rPr>
        <w:t xml:space="preserve"> such anniversary of the Effective Date, (b) the date on which Borrower terminates this Agreement or (c) the occurrence and continuance of an Event of Default;</w:t>
      </w:r>
    </w:p>
    <w:p>
      <w:pPr>
        <w:spacing w:after="0" w:line="208" w:lineRule="exact"/>
        <w:rPr>
          <w:sz w:val="20"/>
          <w:szCs w:val="20"/>
          <w:color w:val="auto"/>
        </w:rPr>
      </w:pPr>
    </w:p>
    <w:p>
      <w:pPr>
        <w:jc w:val="both"/>
        <w:ind w:left="660" w:firstLine="644"/>
        <w:spacing w:after="0" w:line="243" w:lineRule="auto"/>
        <w:tabs>
          <w:tab w:leader="none" w:pos="1793"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Unused Revolving Line Facility Fee</w:t>
      </w:r>
      <w:r>
        <w:rPr>
          <w:rFonts w:ascii="Arial" w:cs="Arial" w:eastAsia="Arial" w:hAnsi="Arial"/>
          <w:sz w:val="20"/>
          <w:szCs w:val="20"/>
          <w:color w:val="auto"/>
        </w:rPr>
        <w:t>. Payable quarterly in arrears on the last day of each calendar quarter occurring thereafter prior to the Revolving Line Maturity Date, and on the Revolving Line Maturity Date, a fee (the “</w:t>
      </w:r>
      <w:r>
        <w:rPr>
          <w:rFonts w:ascii="Arial" w:cs="Arial" w:eastAsia="Arial" w:hAnsi="Arial"/>
          <w:sz w:val="20"/>
          <w:szCs w:val="20"/>
          <w:b w:val="1"/>
          <w:bCs w:val="1"/>
          <w:color w:val="auto"/>
        </w:rPr>
        <w:t>Unused Revolving Line</w:t>
      </w:r>
      <w:r>
        <w:rPr>
          <w:rFonts w:ascii="Arial" w:cs="Arial" w:eastAsia="Arial" w:hAnsi="Arial"/>
          <w:sz w:val="20"/>
          <w:szCs w:val="20"/>
          <w:color w:val="auto"/>
        </w:rPr>
        <w:t xml:space="preserve"> </w:t>
      </w:r>
      <w:r>
        <w:rPr>
          <w:rFonts w:ascii="Arial" w:cs="Arial" w:eastAsia="Arial" w:hAnsi="Arial"/>
          <w:sz w:val="20"/>
          <w:szCs w:val="20"/>
          <w:b w:val="1"/>
          <w:bCs w:val="1"/>
          <w:color w:val="auto"/>
        </w:rPr>
        <w:t>Facility Fee</w:t>
      </w:r>
      <w:r>
        <w:rPr>
          <w:rFonts w:ascii="Arial" w:cs="Arial" w:eastAsia="Arial" w:hAnsi="Arial"/>
          <w:sz w:val="20"/>
          <w:szCs w:val="20"/>
          <w:color w:val="auto"/>
        </w:rPr>
        <w:t>”) in an amount equal to three quarters of one percent (0.75%) per annum of the average unused portion of the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Line, as determined by Bank, computed on the basis of a year with the applicable number of days as set forth in Section 2.4(d). The unused portion of the Revolving Line, for purposes of this calculation, shall be calculated on a calendar year basis and shall equal the difference between (i) the Availability Amount, and (ii) the average for the period of the daily closing balances of the Revolving Line outstanding;”</w:t>
      </w:r>
    </w:p>
    <w:p>
      <w:pPr>
        <w:spacing w:after="0" w:line="200" w:lineRule="exact"/>
        <w:rPr>
          <w:sz w:val="20"/>
          <w:szCs w:val="20"/>
          <w:color w:val="auto"/>
        </w:rPr>
      </w:pPr>
    </w:p>
    <w:p>
      <w:pPr>
        <w:ind w:firstLine="1296"/>
        <w:spacing w:after="0" w:line="323" w:lineRule="auto"/>
        <w:rPr>
          <w:sz w:val="20"/>
          <w:szCs w:val="20"/>
          <w:color w:val="auto"/>
        </w:rPr>
      </w:pPr>
      <w:r>
        <w:rPr>
          <w:rFonts w:ascii="Arial" w:cs="Arial" w:eastAsia="Arial" w:hAnsi="Arial"/>
          <w:sz w:val="18"/>
          <w:szCs w:val="18"/>
          <w:b w:val="1"/>
          <w:bCs w:val="1"/>
          <w:color w:val="auto"/>
        </w:rPr>
        <w:t>2.5 Section 3.2 (Conditions Precedent to all Credit Extensions)</w:t>
      </w:r>
      <w:r>
        <w:rPr>
          <w:rFonts w:ascii="Arial" w:cs="Arial" w:eastAsia="Arial" w:hAnsi="Arial"/>
          <w:sz w:val="18"/>
          <w:szCs w:val="18"/>
          <w:color w:val="auto"/>
        </w:rPr>
        <w:t>. Section 3.2 of the Loan Agreement hereby is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by (i) renumbering Subsections (a), (b), and (c), to now reflect (b), (c), and (d), and (ii) adding new Subsection (a) to read as follows:</w:t>
      </w:r>
    </w:p>
    <w:p>
      <w:pPr>
        <w:spacing w:after="0" w:line="124"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“(a) prior to the first Advance following the Third Amendment Effective Date, Bank shall complete an audit of the Accounts, the Collateral and Borrower’s Books with results satisfactory to Bank in its reasonable business discretion;”</w:t>
      </w:r>
    </w:p>
    <w:p>
      <w:pPr>
        <w:spacing w:after="0" w:line="184"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2.6 Section 5.5 (Financial Statements; Financial Condition). </w:t>
      </w:r>
      <w:r>
        <w:rPr>
          <w:rFonts w:ascii="Arial" w:cs="Arial" w:eastAsia="Arial" w:hAnsi="Arial"/>
          <w:sz w:val="20"/>
          <w:szCs w:val="20"/>
          <w:color w:val="auto"/>
        </w:rPr>
        <w:t>Section 5.5 of the Loan Agreement is hereby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in its entirety as follows:</w:t>
      </w:r>
    </w:p>
    <w:p>
      <w:pPr>
        <w:spacing w:after="0" w:line="163" w:lineRule="exact"/>
        <w:rPr>
          <w:sz w:val="20"/>
          <w:szCs w:val="20"/>
          <w:color w:val="auto"/>
        </w:rPr>
      </w:pPr>
    </w:p>
    <w:p>
      <w:pPr>
        <w:jc w:val="both"/>
        <w:ind w:left="660"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5.5 Financial Statements; Financial Condition</w:t>
      </w:r>
      <w:r>
        <w:rPr>
          <w:rFonts w:ascii="Arial" w:cs="Arial" w:eastAsia="Arial" w:hAnsi="Arial"/>
          <w:sz w:val="19"/>
          <w:szCs w:val="19"/>
          <w:color w:val="auto"/>
        </w:rPr>
        <w:t>. All consolidated financial statements for Borrower and any of its Subsidiaries delivered to Bank by submission to the Financial Statement Repository or otherwise submitted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the Financial Statement Repository or otherwise submitted to Bank.”</w:t>
      </w:r>
    </w:p>
    <w:p>
      <w:pPr>
        <w:spacing w:after="0" w:line="17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8"/>
          <w:szCs w:val="18"/>
          <w:b w:val="1"/>
          <w:bCs w:val="1"/>
          <w:color w:val="auto"/>
        </w:rPr>
        <w:t xml:space="preserve">Section 5.11 (Full Disclosure). </w:t>
      </w:r>
      <w:r>
        <w:rPr>
          <w:rFonts w:ascii="Arial" w:cs="Arial" w:eastAsia="Arial" w:hAnsi="Arial"/>
          <w:sz w:val="18"/>
          <w:szCs w:val="18"/>
          <w:color w:val="auto"/>
        </w:rPr>
        <w:t>Section 5.11 of the Loan Agreement is hereby amended and restated in its entirety as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5.11 Full Disclosure</w:t>
      </w:r>
      <w:r>
        <w:rPr>
          <w:rFonts w:ascii="Arial" w:cs="Arial" w:eastAsia="Arial" w:hAnsi="Arial"/>
          <w:sz w:val="20"/>
          <w:szCs w:val="20"/>
          <w:color w:val="auto"/>
        </w:rPr>
        <w:t>. No written representation, warranty or other statement of Borrower in any report, certificate, or written statement submitted to the Financial Statement Repository or otherwise submitted to Bank, as of the date such representation, warranty,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95" w:right="339" w:bottom="1440" w:gutter="0" w:footer="0" w:header="0"/>
        </w:sectPr>
      </w:pPr>
    </w:p>
    <w:bookmarkStart w:id="5" w:name="page6"/>
    <w:bookmarkEnd w:id="5"/>
    <w:p>
      <w:pPr>
        <w:jc w:val="both"/>
        <w:ind w:left="660"/>
        <w:spacing w:after="0" w:line="243" w:lineRule="auto"/>
        <w:rPr>
          <w:sz w:val="20"/>
          <w:szCs w:val="20"/>
          <w:color w:val="auto"/>
        </w:rPr>
      </w:pPr>
      <w:r>
        <w:rPr>
          <w:rFonts w:ascii="Arial" w:cs="Arial" w:eastAsia="Arial" w:hAnsi="Arial"/>
          <w:sz w:val="20"/>
          <w:szCs w:val="20"/>
          <w:color w:val="auto"/>
        </w:rPr>
        <w:t>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90"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2.8 Section 6.2 (Financial Statements, Reports, Certificates). </w:t>
      </w:r>
      <w:r>
        <w:rPr>
          <w:rFonts w:ascii="Arial" w:cs="Arial" w:eastAsia="Arial" w:hAnsi="Arial"/>
          <w:sz w:val="20"/>
          <w:szCs w:val="20"/>
          <w:color w:val="auto"/>
        </w:rPr>
        <w:t>Section 6.2 of the Loan Agreement is hereby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in its entirety as follows:</w:t>
      </w:r>
    </w:p>
    <w:p>
      <w:pPr>
        <w:spacing w:after="0" w:line="163" w:lineRule="exact"/>
        <w:rPr>
          <w:sz w:val="20"/>
          <w:szCs w:val="20"/>
          <w:color w:val="auto"/>
        </w:rPr>
      </w:pPr>
    </w:p>
    <w:p>
      <w:pPr>
        <w:ind w:left="66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6.2 Financial Statements, Reports</w:t>
      </w:r>
      <w:r>
        <w:rPr>
          <w:rFonts w:ascii="Arial" w:cs="Arial" w:eastAsia="Arial" w:hAnsi="Arial"/>
          <w:sz w:val="20"/>
          <w:szCs w:val="20"/>
          <w:color w:val="auto"/>
        </w:rPr>
        <w:t>. Provide Bank with the following by submitting to the Financial Statement Repository or otherwise submitting to Bank:</w:t>
      </w:r>
    </w:p>
    <w:p>
      <w:pPr>
        <w:spacing w:after="0" w:line="169" w:lineRule="exact"/>
        <w:rPr>
          <w:sz w:val="20"/>
          <w:szCs w:val="20"/>
          <w:color w:val="auto"/>
        </w:rPr>
      </w:pPr>
    </w:p>
    <w:p>
      <w:pPr>
        <w:jc w:val="both"/>
        <w:ind w:left="660" w:firstLine="1292"/>
        <w:spacing w:after="0" w:line="257" w:lineRule="auto"/>
        <w:tabs>
          <w:tab w:leader="none" w:pos="2403" w:val="left"/>
        </w:tabs>
        <w:numPr>
          <w:ilvl w:val="0"/>
          <w:numId w:val="6"/>
        </w:numPr>
        <w:rPr>
          <w:rFonts w:ascii="Arial" w:cs="Arial" w:eastAsia="Arial" w:hAnsi="Arial"/>
          <w:sz w:val="19"/>
          <w:szCs w:val="19"/>
          <w:color w:val="auto"/>
        </w:rPr>
      </w:pPr>
      <w:r>
        <w:rPr>
          <w:rFonts w:ascii="Arial" w:cs="Arial" w:eastAsia="Arial" w:hAnsi="Arial"/>
          <w:sz w:val="19"/>
          <w:szCs w:val="19"/>
          <w:color w:val="auto"/>
        </w:rPr>
        <w:t>a Borrowing Base Statement (and any schedules related thereto and including any other information requested by Bank with respect to Borrower’s Accounts): (i) no later than Friday of each week when a Streamline Period is not in effect and the principal amount outstanding under the Revolving Line is greater than Zero Dollars ($0.00); (ii) within seven (7) days after the end of each month (provided however that if such seventh day is not a Business Day, then such Borrowing Base Statement shall be delivered on next Business Day) when a Streamline Period is in effect at all times during such month and the principal amount outstanding under the Revolving Line was greater than Zero Dollars ($0.00) at any time during such calendar month; and (iii) within seven (7) days after the end of each fiscal quarter when the principal amount outstanding under the Revolving Line was equal to Zero Dollars ($0.00) at all times during such fiscal quarter;</w:t>
      </w:r>
    </w:p>
    <w:p>
      <w:pPr>
        <w:spacing w:after="0" w:line="193" w:lineRule="exact"/>
        <w:rPr>
          <w:rFonts w:ascii="Arial" w:cs="Arial" w:eastAsia="Arial" w:hAnsi="Arial"/>
          <w:sz w:val="19"/>
          <w:szCs w:val="19"/>
          <w:color w:val="auto"/>
        </w:rPr>
      </w:pPr>
    </w:p>
    <w:p>
      <w:pPr>
        <w:jc w:val="both"/>
        <w:ind w:left="660" w:firstLine="1292"/>
        <w:spacing w:after="0" w:line="242" w:lineRule="auto"/>
        <w:tabs>
          <w:tab w:leader="none" w:pos="2407" w:val="left"/>
        </w:tabs>
        <w:numPr>
          <w:ilvl w:val="0"/>
          <w:numId w:val="6"/>
        </w:numPr>
        <w:rPr>
          <w:rFonts w:ascii="Arial" w:cs="Arial" w:eastAsia="Arial" w:hAnsi="Arial"/>
          <w:sz w:val="20"/>
          <w:szCs w:val="20"/>
          <w:color w:val="auto"/>
        </w:rPr>
      </w:pPr>
      <w:r>
        <w:rPr>
          <w:rFonts w:ascii="Arial" w:cs="Arial" w:eastAsia="Arial" w:hAnsi="Arial"/>
          <w:sz w:val="20"/>
          <w:szCs w:val="20"/>
          <w:color w:val="auto"/>
        </w:rPr>
        <w:t>(i) Within thirty (30) days after the end of each fiscal quarter when the principal amount outstanding under the Revolving Line was equal to Zero Dollars ($0.00) at all times during such fiscal quarter, and (ii) within thirty (30) days after the end of each month when the principal amount outstanding under the Revolving Line was greater than Zero Dollars ($0.00) at any time during such calendar month, (A) monthly accounts receivable agings, aged by invoice date, (B) monthly accounts payable agings, aged by invoice date (C) monthly reconciliations of accounts receivable agings (aged by invoice date) and general ledger, and (D) monthly perpetual inventory reports for Inventory consisting of finished products valued on a first-in, first-out basis at the lower of cost or market (in accordance with GAAP) or such other inventory reports as are requested by Bank in its good faith business judgment;</w:t>
      </w:r>
    </w:p>
    <w:p>
      <w:pPr>
        <w:spacing w:after="0" w:line="210" w:lineRule="exact"/>
        <w:rPr>
          <w:rFonts w:ascii="Arial" w:cs="Arial" w:eastAsia="Arial" w:hAnsi="Arial"/>
          <w:sz w:val="20"/>
          <w:szCs w:val="20"/>
          <w:color w:val="auto"/>
        </w:rPr>
      </w:pPr>
    </w:p>
    <w:p>
      <w:pPr>
        <w:jc w:val="both"/>
        <w:ind w:left="660" w:firstLine="1292"/>
        <w:spacing w:after="0" w:line="244" w:lineRule="auto"/>
        <w:tabs>
          <w:tab w:leader="none" w:pos="2382"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Bank (the “</w:t>
      </w:r>
      <w:r>
        <w:rPr>
          <w:rFonts w:ascii="Arial" w:cs="Arial" w:eastAsia="Arial" w:hAnsi="Arial"/>
          <w:sz w:val="20"/>
          <w:szCs w:val="20"/>
          <w:b w:val="1"/>
          <w:bCs w:val="1"/>
          <w:color w:val="auto"/>
        </w:rPr>
        <w:t>Quarterly Financial Statements</w:t>
      </w:r>
      <w:r>
        <w:rPr>
          <w:rFonts w:ascii="Arial" w:cs="Arial" w:eastAsia="Arial" w:hAnsi="Arial"/>
          <w:sz w:val="20"/>
          <w:szCs w:val="20"/>
          <w:color w:val="auto"/>
        </w:rPr>
        <w:t>”); provided, however, notwithstanding the foregoing, the Quarterly Financial Statements for Borrower’s fourth (4th) quarter of each fiscal year, shall be due within ninety (90) days of such fiscal quarter;</w:t>
      </w:r>
    </w:p>
    <w:p>
      <w:pPr>
        <w:spacing w:after="0" w:line="207" w:lineRule="exact"/>
        <w:rPr>
          <w:rFonts w:ascii="Arial" w:cs="Arial" w:eastAsia="Arial" w:hAnsi="Arial"/>
          <w:sz w:val="20"/>
          <w:szCs w:val="20"/>
          <w:color w:val="auto"/>
        </w:rPr>
      </w:pPr>
    </w:p>
    <w:p>
      <w:pPr>
        <w:ind w:left="660" w:firstLine="1292"/>
        <w:spacing w:after="0" w:line="260" w:lineRule="auto"/>
        <w:tabs>
          <w:tab w:leader="none" w:pos="2408" w:val="left"/>
        </w:tabs>
        <w:numPr>
          <w:ilvl w:val="0"/>
          <w:numId w:val="6"/>
        </w:numPr>
        <w:rPr>
          <w:rFonts w:ascii="Arial" w:cs="Arial" w:eastAsia="Arial" w:hAnsi="Arial"/>
          <w:sz w:val="20"/>
          <w:szCs w:val="20"/>
          <w:color w:val="auto"/>
        </w:rPr>
      </w:pPr>
      <w:r>
        <w:rPr>
          <w:rFonts w:ascii="Arial" w:cs="Arial" w:eastAsia="Arial" w:hAnsi="Arial"/>
          <w:sz w:val="20"/>
          <w:szCs w:val="20"/>
          <w:color w:val="auto"/>
        </w:rPr>
        <w:t>(i) within forty-five (45) days after the end of each fiscal quarter when the principal amount outstanding under the Revolving Line was equal to Zero Dollars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95" w:right="3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9"/>
          <w:szCs w:val="19"/>
          <w:color w:val="auto"/>
        </w:rPr>
        <w:t>($0.00) at all times during such fiscal quarter, and (ii) within thirty (30) days after the end of each month when the principal amount outstanding under the Revolving Line was greater than Zero Dollars ($0.00) at any time during such calendar month, and together with the Quarterly Financial Statements when due in accordance with the terms set forth in Section 6.2(d)(i) above, a completed Compliance Statement, confirming that, as of the end of such month, Borrower was in full compliance with all of the terms and conditions of this Agreement and such other information as Bank may reasonably request;</w:t>
      </w:r>
    </w:p>
    <w:p>
      <w:pPr>
        <w:spacing w:after="0" w:line="194" w:lineRule="exact"/>
        <w:rPr>
          <w:sz w:val="20"/>
          <w:szCs w:val="20"/>
          <w:color w:val="auto"/>
        </w:rPr>
      </w:pPr>
    </w:p>
    <w:p>
      <w:pPr>
        <w:jc w:val="both"/>
        <w:ind w:firstLine="1292"/>
        <w:spacing w:after="0" w:line="244" w:lineRule="auto"/>
        <w:tabs>
          <w:tab w:leader="none" w:pos="1744" w:val="left"/>
        </w:tabs>
        <w:numPr>
          <w:ilvl w:val="0"/>
          <w:numId w:val="7"/>
        </w:numPr>
        <w:rPr>
          <w:rFonts w:ascii="Arial" w:cs="Arial" w:eastAsia="Arial" w:hAnsi="Arial"/>
          <w:sz w:val="20"/>
          <w:szCs w:val="20"/>
          <w:color w:val="auto"/>
        </w:rPr>
      </w:pPr>
      <w:r>
        <w:rPr>
          <w:rFonts w:ascii="Arial" w:cs="Arial" w:eastAsia="Arial" w:hAnsi="Arial"/>
          <w:sz w:val="20"/>
          <w:szCs w:val="20"/>
          <w:color w:val="auto"/>
        </w:rPr>
        <w:t>within thirty (30) days of the end of each fiscal year of Borrower, and within seven (7) days of any updates or amendments thereto, (A) consolidated annual operating budgets (including income statements, balance sheets and cash flow statements, by quarter) for the then-current fiscal year of Borrower and its Subsidiaries and (B) annual financial projections for the then-current fiscal year (on a quarterly basis), in each case as approved by the Board, together with any related business forecasts used in the preparation of such annual financial projections;</w:t>
      </w:r>
    </w:p>
    <w:p>
      <w:pPr>
        <w:spacing w:after="0" w:line="207" w:lineRule="exact"/>
        <w:rPr>
          <w:rFonts w:ascii="Arial" w:cs="Arial" w:eastAsia="Arial" w:hAnsi="Arial"/>
          <w:sz w:val="20"/>
          <w:szCs w:val="20"/>
          <w:color w:val="auto"/>
        </w:rPr>
      </w:pPr>
    </w:p>
    <w:p>
      <w:pPr>
        <w:jc w:val="both"/>
        <w:ind w:firstLine="1292"/>
        <w:spacing w:after="0" w:line="268" w:lineRule="auto"/>
        <w:tabs>
          <w:tab w:leader="none" w:pos="1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4" w:lineRule="exact"/>
        <w:rPr>
          <w:rFonts w:ascii="Arial" w:cs="Arial" w:eastAsia="Arial" w:hAnsi="Arial"/>
          <w:sz w:val="18"/>
          <w:szCs w:val="18"/>
          <w:color w:val="auto"/>
        </w:rPr>
      </w:pPr>
    </w:p>
    <w:p>
      <w:pPr>
        <w:jc w:val="both"/>
        <w:ind w:firstLine="1292"/>
        <w:spacing w:after="0" w:line="241" w:lineRule="auto"/>
        <w:tabs>
          <w:tab w:leader="none" w:pos="175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w:t>
      </w:r>
    </w:p>
    <w:p>
      <w:pPr>
        <w:spacing w:after="0" w:line="209" w:lineRule="exact"/>
        <w:rPr>
          <w:rFonts w:ascii="Arial" w:cs="Arial" w:eastAsia="Arial" w:hAnsi="Arial"/>
          <w:sz w:val="20"/>
          <w:szCs w:val="20"/>
          <w:color w:val="auto"/>
        </w:rPr>
      </w:pPr>
    </w:p>
    <w:p>
      <w:pPr>
        <w:ind w:firstLine="1292"/>
        <w:spacing w:after="0" w:line="287" w:lineRule="auto"/>
        <w:tabs>
          <w:tab w:leader="none" w:pos="1731" w:val="left"/>
        </w:tabs>
        <w:numPr>
          <w:ilvl w:val="0"/>
          <w:numId w:val="7"/>
        </w:numPr>
        <w:rPr>
          <w:rFonts w:ascii="Arial" w:cs="Arial" w:eastAsia="Arial" w:hAnsi="Arial"/>
          <w:sz w:val="19"/>
          <w:szCs w:val="19"/>
          <w:color w:val="auto"/>
        </w:rPr>
      </w:pPr>
      <w:r>
        <w:rPr>
          <w:rFonts w:ascii="Arial" w:cs="Arial" w:eastAsia="Arial" w:hAnsi="Arial"/>
          <w:sz w:val="19"/>
          <w:szCs w:val="19"/>
          <w:color w:val="auto"/>
        </w:rPr>
        <w:t>within thirty (30) days of the end of each calendar quarter, an update on the status of any litigation disclosed on the Perfection Certificate along with such other information relating thereto as reasonably requested by Bank;</w:t>
      </w:r>
    </w:p>
    <w:p>
      <w:pPr>
        <w:spacing w:after="0" w:line="165" w:lineRule="exact"/>
        <w:rPr>
          <w:rFonts w:ascii="Arial" w:cs="Arial" w:eastAsia="Arial" w:hAnsi="Arial"/>
          <w:sz w:val="19"/>
          <w:szCs w:val="19"/>
          <w:color w:val="auto"/>
        </w:rPr>
      </w:pPr>
    </w:p>
    <w:p>
      <w:pPr>
        <w:jc w:val="both"/>
        <w:ind w:firstLine="1292"/>
        <w:spacing w:after="0" w:line="246" w:lineRule="auto"/>
        <w:tabs>
          <w:tab w:leader="none" w:pos="1796"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prompt written notice of any changes to the beneficial ownership information set out in Section 13 to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spacing w:after="0" w:line="204" w:lineRule="exact"/>
        <w:rPr>
          <w:rFonts w:ascii="Arial" w:cs="Arial" w:eastAsia="Arial" w:hAnsi="Arial"/>
          <w:sz w:val="20"/>
          <w:szCs w:val="20"/>
          <w:color w:val="auto"/>
        </w:rPr>
      </w:pPr>
    </w:p>
    <w:p>
      <w:pPr>
        <w:ind w:firstLine="1292"/>
        <w:spacing w:after="0" w:line="260" w:lineRule="auto"/>
        <w:tabs>
          <w:tab w:leader="none" w:pos="1735"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promptly, from time to time, such other information regarding Borrower or compliance with the terms of any Loan Documents as reasonably requested by Bank.</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Any submission by Borrower of a Compliance Statement, a Borrowing Base Statement or any other financial statement submitted to the Financial Statement Repository pursuant to this Section 6.2 or otherwise submitted to Bank shall be deemed to</w:t>
      </w:r>
    </w:p>
    <w:p>
      <w:pPr>
        <w:spacing w:after="0" w:line="29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595" w:right="339" w:bottom="1440" w:gutter="0" w:footer="0" w:header="0"/>
        </w:sectPr>
      </w:pPr>
    </w:p>
    <w:bookmarkStart w:id="7" w:name="page8"/>
    <w:bookmarkEnd w:id="7"/>
    <w:p>
      <w:pPr>
        <w:jc w:val="both"/>
        <w:ind w:left="660"/>
        <w:spacing w:after="0" w:line="270" w:lineRule="auto"/>
        <w:rPr>
          <w:sz w:val="20"/>
          <w:szCs w:val="20"/>
          <w:color w:val="auto"/>
        </w:rPr>
      </w:pPr>
      <w:r>
        <w:rPr>
          <w:rFonts w:ascii="Arial" w:cs="Arial" w:eastAsia="Arial" w:hAnsi="Arial"/>
          <w:sz w:val="18"/>
          <w:szCs w:val="18"/>
          <w:color w:val="auto"/>
        </w:rPr>
        <w:t>be a representation by Borrower that (i) as of the date of such Compliance Statement, Borrowing Base Statement or other financial statement, the information and calculations set forth therein are true, accurate and correct, (ii) as of the end of the compliance period set forth in such submission, Borrower is in complete compliance with all required covenants except as noted in such Compliance Statement, Borrowing Base Statement or other financial statement, as applicable, (iii) as of the date of such submission, no Events of Default have occurred or are continuing, (iv) all representations and warranties other than any representations or warranties that are made as of a specific date in Section 5 remain true and correct in all material respects as of the date of such submission except as noted in such Compliance Statement, Borrowing Base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29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8"/>
          <w:szCs w:val="18"/>
          <w:b w:val="1"/>
          <w:bCs w:val="1"/>
          <w:color w:val="auto"/>
        </w:rPr>
        <w:t xml:space="preserve">Section 6.13 (Dispositions). </w:t>
      </w:r>
      <w:r>
        <w:rPr>
          <w:rFonts w:ascii="Arial" w:cs="Arial" w:eastAsia="Arial" w:hAnsi="Arial"/>
          <w:sz w:val="18"/>
          <w:szCs w:val="18"/>
          <w:color w:val="auto"/>
        </w:rPr>
        <w:t>Section 6.13 of the Loan Agreement is hereby amended and restated in its entirety as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94"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6.13 Formation or Acquisition of Subsidiaries</w:t>
      </w:r>
      <w:r>
        <w:rPr>
          <w:rFonts w:ascii="Arial" w:cs="Arial" w:eastAsia="Arial" w:hAnsi="Arial"/>
          <w:sz w:val="18"/>
          <w:szCs w:val="18"/>
          <w:color w:val="auto"/>
        </w:rPr>
        <w:t>. Notwithstanding and without limiting the negative covenants contained in Sections 7.3 and 7.7 hereof, at the time that Borrower or any Guarantor forms any direct or indirect Subsidiary or acquires any direct or indirect Subsidiary after the Effective Date (including, without limitation, pursuant to a Division), Borrower and such Guarantor shall (a) with respect to Domestic Subsidiaries only, cause such new Domestic Subsidiary to provide to Bank a joinder to this Agreement to become a co-borrower hereunder or a Guaranty to become a Guarantor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Domestic Subsidiary),</w:t>
      </w:r>
    </w:p>
    <w:p>
      <w:pPr>
        <w:spacing w:after="0" w:line="5" w:lineRule="exact"/>
        <w:rPr>
          <w:sz w:val="20"/>
          <w:szCs w:val="20"/>
          <w:color w:val="auto"/>
        </w:rPr>
      </w:pPr>
    </w:p>
    <w:p>
      <w:pPr>
        <w:jc w:val="both"/>
        <w:ind w:left="660" w:hanging="4"/>
        <w:spacing w:after="0" w:line="272" w:lineRule="auto"/>
        <w:tabs>
          <w:tab w:leader="none" w:pos="9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to Bank appropriate certificates and powers and financing statements, pledging all of the direct or beneficial ownership interest in such new Subsidiary, in form and substance satisfactory to Bank, provided, however, that Borrower shall not be required to pledge more than sixty-five percent (65%) of the direct or beneficial ownership interest of any Foreign Subsidiary;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8"/>
          <w:szCs w:val="18"/>
          <w:b w:val="1"/>
          <w:bCs w:val="1"/>
          <w:color w:val="auto"/>
        </w:rPr>
        <w:t xml:space="preserve">Section 7.1 (Dispositions). </w:t>
      </w:r>
      <w:r>
        <w:rPr>
          <w:rFonts w:ascii="Arial" w:cs="Arial" w:eastAsia="Arial" w:hAnsi="Arial"/>
          <w:sz w:val="18"/>
          <w:szCs w:val="18"/>
          <w:color w:val="auto"/>
        </w:rPr>
        <w:t>Section 7.1 of the Loan Agreement is hereby amended and restated in its entirety as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94"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7.1 Dispositions</w:t>
      </w:r>
      <w:r>
        <w:rPr>
          <w:rFonts w:ascii="Arial" w:cs="Arial" w:eastAsia="Arial" w:hAnsi="Arial"/>
          <w:sz w:val="20"/>
          <w:szCs w:val="20"/>
          <w:color w:val="auto"/>
        </w:rPr>
        <w:t>. Convey, sell, lease, transfer, assign, or otherwise dispose of (including, without limitation, pursuant to a Division) (collectively, “</w:t>
      </w:r>
      <w:r>
        <w:rPr>
          <w:rFonts w:ascii="Arial" w:cs="Arial" w:eastAsia="Arial" w:hAnsi="Arial"/>
          <w:sz w:val="20"/>
          <w:szCs w:val="20"/>
          <w:b w:val="1"/>
          <w:bCs w:val="1"/>
          <w:color w:val="auto"/>
        </w:rPr>
        <w:t>Transfer</w:t>
      </w:r>
      <w:r>
        <w:rPr>
          <w:rFonts w:ascii="Arial" w:cs="Arial" w:eastAsia="Arial" w:hAnsi="Arial"/>
          <w:sz w:val="20"/>
          <w:szCs w:val="20"/>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95" w:right="339" w:bottom="1440" w:gutter="0" w:footer="0" w:header="0"/>
        </w:sectPr>
      </w:pPr>
    </w:p>
    <w:bookmarkStart w:id="8" w:name="page9"/>
    <w:bookmarkEnd w:id="8"/>
    <w:p>
      <w:pPr>
        <w:jc w:val="both"/>
        <w:ind w:left="660"/>
        <w:spacing w:after="0" w:line="273" w:lineRule="auto"/>
        <w:rPr>
          <w:sz w:val="20"/>
          <w:szCs w:val="20"/>
          <w:color w:val="auto"/>
        </w:rPr>
      </w:pPr>
      <w:r>
        <w:rPr>
          <w:rFonts w:ascii="Arial" w:cs="Arial" w:eastAsia="Arial" w:hAnsi="Arial"/>
          <w:sz w:val="18"/>
          <w:szCs w:val="18"/>
          <w:color w:val="auto"/>
        </w:rPr>
        <w:t>practicable to maintain or useful in the ordinary course of business of Borrower; (c) 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162"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2.11 Section 7.3 (Mergers or Acquisitions). </w:t>
      </w:r>
      <w:r>
        <w:rPr>
          <w:rFonts w:ascii="Arial" w:cs="Arial" w:eastAsia="Arial" w:hAnsi="Arial"/>
          <w:sz w:val="20"/>
          <w:szCs w:val="20"/>
          <w:color w:val="auto"/>
        </w:rPr>
        <w:t>Section 7.3 of the Loan Agreement is hereby amended and restated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as follows:</w:t>
      </w:r>
    </w:p>
    <w:p>
      <w:pPr>
        <w:spacing w:after="0" w:line="163"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 permit any of its Subsidiaries to acquire, all or substantially all of the capital stock or property of another Person (including, without limitation, by the formation of any Subsidiary or pursuant to a Division). Notwithstanding the foregoing,</w:t>
      </w:r>
    </w:p>
    <w:p>
      <w:pPr>
        <w:spacing w:after="0" w:line="2" w:lineRule="exact"/>
        <w:rPr>
          <w:sz w:val="20"/>
          <w:szCs w:val="20"/>
          <w:color w:val="auto"/>
        </w:rPr>
      </w:pPr>
    </w:p>
    <w:p>
      <w:pPr>
        <w:ind w:left="660" w:hanging="4"/>
        <w:spacing w:after="0" w:line="244" w:lineRule="auto"/>
        <w:tabs>
          <w:tab w:leader="none" w:pos="944" w:val="left"/>
        </w:tabs>
        <w:numPr>
          <w:ilvl w:val="0"/>
          <w:numId w:val="9"/>
        </w:numPr>
        <w:rPr>
          <w:rFonts w:ascii="Arial" w:cs="Arial" w:eastAsia="Arial" w:hAnsi="Arial"/>
          <w:sz w:val="20"/>
          <w:szCs w:val="20"/>
          <w:color w:val="auto"/>
        </w:rPr>
      </w:pPr>
      <w:r>
        <w:rPr>
          <w:rFonts w:ascii="Arial" w:cs="Arial" w:eastAsia="Arial" w:hAnsi="Arial"/>
          <w:sz w:val="20"/>
          <w:szCs w:val="20"/>
          <w:color w:val="auto"/>
        </w:rPr>
        <w:t>a Subsidiary may merge or consolidate into another Subsidiary or into Borrower and (b) Borrower may consummate Permitted Acquisitions.”</w:t>
      </w:r>
    </w:p>
    <w:p>
      <w:pPr>
        <w:spacing w:after="0" w:line="185"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2.12 Section 13 (Definitions)</w:t>
      </w:r>
      <w:r>
        <w:rPr>
          <w:rFonts w:ascii="Arial" w:cs="Arial" w:eastAsia="Arial" w:hAnsi="Arial"/>
          <w:sz w:val="20"/>
          <w:szCs w:val="20"/>
          <w:color w:val="auto"/>
        </w:rPr>
        <w:t>. The following terms and their respective definitions set forth in Section 13.1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hereby are added or amended and restated in their entirety, as appropriate, as follows:</w:t>
      </w:r>
    </w:p>
    <w:p>
      <w:pPr>
        <w:spacing w:after="0" w:line="163"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 Base Statement</w:t>
      </w:r>
      <w:r>
        <w:rPr>
          <w:rFonts w:ascii="Arial" w:cs="Arial" w:eastAsia="Arial" w:hAnsi="Arial"/>
          <w:sz w:val="20"/>
          <w:szCs w:val="20"/>
          <w:color w:val="auto"/>
        </w:rPr>
        <w:t>” is that certain report of the value of certain Collateral in the form specified by Bank to Borrower from time to time.</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Statement</w:t>
      </w:r>
      <w:r>
        <w:rPr>
          <w:rFonts w:ascii="Arial" w:cs="Arial" w:eastAsia="Arial" w:hAnsi="Arial"/>
          <w:sz w:val="20"/>
          <w:szCs w:val="20"/>
          <w:color w:val="auto"/>
        </w:rPr>
        <w:t xml:space="preserve">” is that certain statement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Division</w:t>
      </w:r>
      <w:r>
        <w:rPr>
          <w:rFonts w:ascii="Arial" w:cs="Arial" w:eastAsia="Arial" w:hAnsi="Arial"/>
          <w:sz w:val="20"/>
          <w:szCs w:val="20"/>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200" w:lineRule="exact"/>
        <w:rPr>
          <w:sz w:val="20"/>
          <w:szCs w:val="20"/>
          <w:color w:val="auto"/>
        </w:rPr>
      </w:pPr>
    </w:p>
    <w:p>
      <w:pPr>
        <w:jc w:val="both"/>
        <w:ind w:left="660" w:firstLine="648"/>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Statement Repository</w:t>
      </w:r>
      <w:r>
        <w:rPr>
          <w:rFonts w:ascii="Arial" w:cs="Arial" w:eastAsia="Arial" w:hAnsi="Arial"/>
          <w:sz w:val="20"/>
          <w:szCs w:val="20"/>
          <w:color w:val="auto"/>
        </w:rPr>
        <w:t xml:space="preserve">” is </w:t>
      </w:r>
      <w:r>
        <w:rPr>
          <w:rFonts w:ascii="Arial" w:cs="Arial" w:eastAsia="Arial" w:hAnsi="Arial"/>
          <w:sz w:val="21"/>
          <w:szCs w:val="21"/>
          <w:u w:val="single" w:color="auto"/>
          <w:color w:val="0000FF"/>
        </w:rPr>
        <w:t>l43f1c@svb.com</w:t>
      </w:r>
      <w:r>
        <w:rPr>
          <w:rFonts w:ascii="Arial" w:cs="Arial" w:eastAsia="Arial" w:hAnsi="Arial"/>
          <w:sz w:val="20"/>
          <w:szCs w:val="20"/>
          <w:color w:val="auto"/>
        </w:rPr>
        <w:t xml:space="preserve"> or such other means of collecting information approved and designated by Bank after providing notice thereof to Borrower from time to time.</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Quarterly Financial Statements</w:t>
      </w:r>
      <w:r>
        <w:rPr>
          <w:rFonts w:ascii="Arial" w:cs="Arial" w:eastAsia="Arial" w:hAnsi="Arial"/>
          <w:sz w:val="20"/>
          <w:szCs w:val="20"/>
          <w:color w:val="auto"/>
        </w:rPr>
        <w:t>” is defined in Section 6.2(c).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Line Maturity Date</w:t>
      </w:r>
      <w:r>
        <w:rPr>
          <w:rFonts w:ascii="Arial" w:cs="Arial" w:eastAsia="Arial" w:hAnsi="Arial"/>
          <w:sz w:val="20"/>
          <w:szCs w:val="20"/>
          <w:color w:val="auto"/>
        </w:rPr>
        <w:t>” is August 2, 2022.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95" w:right="339" w:bottom="1440" w:gutter="0" w:footer="0" w:header="0"/>
        </w:sectPr>
      </w:pPr>
    </w:p>
    <w:bookmarkStart w:id="9" w:name="page10"/>
    <w:bookmarkEnd w:id="9"/>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 Effective Date</w:t>
      </w:r>
      <w:r>
        <w:rPr>
          <w:rFonts w:ascii="Arial" w:cs="Arial" w:eastAsia="Arial" w:hAnsi="Arial"/>
          <w:sz w:val="20"/>
          <w:szCs w:val="20"/>
          <w:color w:val="auto"/>
        </w:rPr>
        <w:t>” is April 21, 2020</w:t>
      </w:r>
    </w:p>
    <w:p>
      <w:pPr>
        <w:spacing w:after="0" w:line="21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2.13 Section 13 (Definitions)</w:t>
      </w:r>
      <w:r>
        <w:rPr>
          <w:rFonts w:ascii="Arial" w:cs="Arial" w:eastAsia="Arial" w:hAnsi="Arial"/>
          <w:sz w:val="20"/>
          <w:szCs w:val="20"/>
          <w:color w:val="auto"/>
        </w:rPr>
        <w:t>. The following terms and their respective definitions set forth in Section 13.1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hereby are deleted:</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 Base Report</w:t>
      </w:r>
      <w:r>
        <w:rPr>
          <w:rFonts w:ascii="Arial" w:cs="Arial" w:eastAsia="Arial" w:hAnsi="Arial"/>
          <w:sz w:val="20"/>
          <w:szCs w:val="20"/>
          <w:color w:val="auto"/>
        </w:rPr>
        <w:t>”, “</w:t>
      </w:r>
      <w:r>
        <w:rPr>
          <w:rFonts w:ascii="Arial" w:cs="Arial" w:eastAsia="Arial" w:hAnsi="Arial"/>
          <w:sz w:val="20"/>
          <w:szCs w:val="20"/>
          <w:b w:val="1"/>
          <w:bCs w:val="1"/>
          <w:color w:val="auto"/>
        </w:rPr>
        <w:t>Compliance Certificate</w:t>
      </w:r>
      <w:r>
        <w:rPr>
          <w:rFonts w:ascii="Arial" w:cs="Arial" w:eastAsia="Arial" w:hAnsi="Arial"/>
          <w:sz w:val="20"/>
          <w:szCs w:val="20"/>
          <w:color w:val="auto"/>
        </w:rPr>
        <w:t>”, “</w:t>
      </w:r>
      <w:r>
        <w:rPr>
          <w:rFonts w:ascii="Arial" w:cs="Arial" w:eastAsia="Arial" w:hAnsi="Arial"/>
          <w:sz w:val="20"/>
          <w:szCs w:val="20"/>
          <w:b w:val="1"/>
          <w:bCs w:val="1"/>
          <w:color w:val="auto"/>
        </w:rPr>
        <w:t>Monthly Financial Statements</w:t>
      </w:r>
      <w:r>
        <w:rPr>
          <w:rFonts w:ascii="Arial" w:cs="Arial" w:eastAsia="Arial" w:hAnsi="Arial"/>
          <w:sz w:val="20"/>
          <w:szCs w:val="20"/>
          <w:color w:val="auto"/>
        </w:rPr>
        <w:t>”</w:t>
      </w:r>
    </w:p>
    <w:p>
      <w:pPr>
        <w:spacing w:after="0" w:line="22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8"/>
          <w:szCs w:val="18"/>
          <w:u w:val="single" w:color="auto"/>
          <w:color w:val="auto"/>
        </w:rPr>
        <w:t xml:space="preserve">Exhibit B </w:t>
      </w:r>
      <w:r>
        <w:rPr>
          <w:rFonts w:ascii="Arial" w:cs="Arial" w:eastAsia="Arial" w:hAnsi="Arial"/>
          <w:sz w:val="18"/>
          <w:szCs w:val="18"/>
          <w:color w:val="auto"/>
        </w:rPr>
        <w:t>of the Loan Agreement hereby is replaced with</w:t>
      </w:r>
      <w:r>
        <w:rPr>
          <w:rFonts w:ascii="Arial" w:cs="Arial" w:eastAsia="Arial" w:hAnsi="Arial"/>
          <w:sz w:val="18"/>
          <w:szCs w:val="18"/>
          <w:u w:val="single" w:color="auto"/>
          <w:color w:val="auto"/>
        </w:rPr>
        <w:t xml:space="preserve"> Exhibit B </w:t>
      </w:r>
      <w:r>
        <w:rPr>
          <w:rFonts w:ascii="Arial" w:cs="Arial" w:eastAsia="Arial" w:hAnsi="Arial"/>
          <w:sz w:val="18"/>
          <w:szCs w:val="18"/>
          <w:color w:val="auto"/>
        </w:rPr>
        <w:t>(including Schedule 1) attached hereto.</w:t>
      </w:r>
    </w:p>
    <w:p>
      <w:pPr>
        <w:spacing w:after="0" w:line="21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Limitation of Amendment.</w:t>
      </w:r>
    </w:p>
    <w:p>
      <w:pPr>
        <w:spacing w:after="0" w:line="21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This Amendment is effective for the purposes set forth herein and shall be limited precisely as written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4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color w:val="auto"/>
        </w:rPr>
        <w:t>This Amendment shall be construed in connection with and as part of the Loan Documents, and all terms,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representations, warranties, covenants and agreements set forth in the Loan Documents are hereby ratified and confirmed and shall remain in full force and effect.</w:t>
      </w:r>
    </w:p>
    <w:p>
      <w:pPr>
        <w:spacing w:after="0" w:line="17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Borrower represents and warrants to Bank as follows:</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(a) the representations and warranties contained in the Loan Documents are true, accurate and complete in all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respects as of the date hereof (except to the extent such representations and warranties relate to an earlier date, in which case they are true and correct as of such date), and (b) no Event of Default has occurred and is continuing;</w:t>
      </w:r>
    </w:p>
    <w:p>
      <w:pPr>
        <w:spacing w:after="0" w:line="17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Borrower has the power and authority to execute and deliver this Amendment and to perform its obligations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Loan Agreement;</w:t>
      </w:r>
    </w:p>
    <w:p>
      <w:pPr>
        <w:spacing w:after="0" w:line="16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The organizational documents of Borrower delivered to Bank on the Effective Date remain true, accurate and complete</w:t>
      </w:r>
      <w:r>
        <w:rPr>
          <w:rFonts w:ascii="Arial" w:cs="Arial" w:eastAsia="Arial" w:hAnsi="Arial"/>
          <w:sz w:val="20"/>
          <w:szCs w:val="20"/>
          <w:b w:val="1"/>
          <w:bCs w:val="1"/>
          <w:color w:val="auto"/>
        </w:rPr>
        <w:t xml:space="preserve"> </w:t>
      </w:r>
      <w:r>
        <w:rPr>
          <w:rFonts w:ascii="Arial" w:cs="Arial" w:eastAsia="Arial" w:hAnsi="Arial"/>
          <w:sz w:val="20"/>
          <w:szCs w:val="20"/>
          <w:color w:val="auto"/>
        </w:rPr>
        <w:t>and have not been amended, supplemented or restated and are and continue to be in full force and effect;</w:t>
      </w:r>
    </w:p>
    <w:p>
      <w:pPr>
        <w:spacing w:after="0" w:line="163"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The execution and delivery by Borrower of this Amendment and the performance by Borrower of its obligations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Agreement have been duly authorized by all necessary action on the part of Borrower;</w:t>
      </w:r>
    </w:p>
    <w:p>
      <w:pPr>
        <w:spacing w:after="0" w:line="16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color w:val="auto"/>
        </w:rPr>
        <w:t>The execution and delivery by Borrower of this Amendment and the performance by Borrower of its obligations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Loan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4.6 </w:t>
      </w:r>
      <w:r>
        <w:rPr>
          <w:rFonts w:ascii="Arial" w:cs="Arial" w:eastAsia="Arial" w:hAnsi="Arial"/>
          <w:sz w:val="20"/>
          <w:szCs w:val="20"/>
          <w:color w:val="auto"/>
        </w:rPr>
        <w:t>The execution and delivery by Borrower of this Amendment and the performance by Borrower of its obligations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Agreement do not require any order, consent, approval, license, authorization or validation of, or filing, recording or registration with, or exemption by any governmental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89"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or public body or authority, or subdivision thereof, binding on either Borrower, except as already has been obtained or made; and</w:t>
      </w:r>
    </w:p>
    <w:p>
      <w:pPr>
        <w:spacing w:after="0" w:line="22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4.7 </w:t>
      </w:r>
      <w:r>
        <w:rPr>
          <w:rFonts w:ascii="Arial" w:cs="Arial" w:eastAsia="Arial" w:hAnsi="Arial"/>
          <w:sz w:val="20"/>
          <w:szCs w:val="20"/>
          <w:color w:val="auto"/>
        </w:rPr>
        <w:t>This Amendment has been duly executed and delivered by Borrower and is the binding obligation of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3" w:lineRule="exact"/>
        <w:rPr>
          <w:sz w:val="20"/>
          <w:szCs w:val="20"/>
          <w:color w:val="auto"/>
        </w:rPr>
      </w:pPr>
    </w:p>
    <w:p>
      <w:pPr>
        <w:jc w:val="both"/>
        <w:ind w:firstLine="656"/>
        <w:spacing w:after="0" w:line="258" w:lineRule="auto"/>
        <w:tabs>
          <w:tab w:leader="none" w:pos="1111"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Ratification of Perfection Certificate</w:t>
      </w:r>
      <w:r>
        <w:rPr>
          <w:rFonts w:ascii="Arial" w:cs="Arial" w:eastAsia="Arial" w:hAnsi="Arial"/>
          <w:sz w:val="19"/>
          <w:szCs w:val="19"/>
          <w:color w:val="auto"/>
        </w:rPr>
        <w:t>. Borrower hereby ratifies, confirms and reaffirms, all and singular,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disclosures contained in a certain Perfection Certificate dated on or prior to the Effective Date, as supplemented by a First Supplement, dated as of July 25, 2018, a Second Supplement, dated as of July 25, 2018 and a Third Supplement, dated as of August 28, 2019, and a Fourth Supplement, dated as of April 21, 2020, and as supplemented by all other notices to the Bank under the Loan Agreement changing any such information previously provided, and acknowledges, confirms and agrees that the disclosures and information Borrower provided to Bank in such Perfection Certificate, as supplemented, have not changed, as of the date hereof, in any material respect except for (i) average monthly bank balances which change from time to time, and (ii) changes in litigation set forth in Borrower’s periodic filings with the Securities and Exchange Commission from time to time.</w:t>
      </w:r>
    </w:p>
    <w:p>
      <w:pPr>
        <w:spacing w:after="0" w:line="173" w:lineRule="exact"/>
        <w:rPr>
          <w:rFonts w:ascii="Arial" w:cs="Arial" w:eastAsia="Arial" w:hAnsi="Arial"/>
          <w:sz w:val="19"/>
          <w:szCs w:val="19"/>
          <w:b w:val="1"/>
          <w:bCs w:val="1"/>
          <w:color w:val="auto"/>
        </w:rPr>
      </w:pPr>
    </w:p>
    <w:p>
      <w:pPr>
        <w:jc w:val="both"/>
        <w:ind w:firstLine="656"/>
        <w:spacing w:after="0" w:line="294" w:lineRule="auto"/>
        <w:tabs>
          <w:tab w:leader="none" w:pos="100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w:t>
      </w:r>
      <w:r>
        <w:rPr>
          <w:rFonts w:ascii="Arial" w:cs="Arial" w:eastAsia="Arial" w:hAnsi="Arial"/>
          <w:sz w:val="18"/>
          <w:szCs w:val="18"/>
          <w:b w:val="1"/>
          <w:bCs w:val="1"/>
          <w:color w:val="auto"/>
        </w:rPr>
        <w:t xml:space="preserve"> </w:t>
      </w:r>
      <w:r>
        <w:rPr>
          <w:rFonts w:ascii="Arial" w:cs="Arial" w:eastAsia="Arial" w:hAnsi="Arial"/>
          <w:sz w:val="18"/>
          <w:szCs w:val="18"/>
          <w:color w:val="auto"/>
        </w:rPr>
        <w:t>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43" w:lineRule="exact"/>
        <w:rPr>
          <w:rFonts w:ascii="Arial" w:cs="Arial" w:eastAsia="Arial" w:hAnsi="Arial"/>
          <w:sz w:val="18"/>
          <w:szCs w:val="18"/>
          <w:b w:val="1"/>
          <w:bCs w:val="1"/>
          <w:color w:val="auto"/>
        </w:rPr>
      </w:pPr>
    </w:p>
    <w:p>
      <w:pPr>
        <w:ind w:firstLine="656"/>
        <w:spacing w:after="0" w:line="267" w:lineRule="auto"/>
        <w:tabs>
          <w:tab w:leader="none" w:pos="1044"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 counterparts taken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constitute one and the same instrument.</w:t>
      </w:r>
    </w:p>
    <w:p>
      <w:pPr>
        <w:spacing w:after="0" w:line="163" w:lineRule="exact"/>
        <w:rPr>
          <w:rFonts w:ascii="Arial" w:cs="Arial" w:eastAsia="Arial" w:hAnsi="Arial"/>
          <w:sz w:val="20"/>
          <w:szCs w:val="20"/>
          <w:b w:val="1"/>
          <w:bCs w:val="1"/>
          <w:color w:val="auto"/>
        </w:rPr>
      </w:pPr>
    </w:p>
    <w:p>
      <w:pPr>
        <w:jc w:val="both"/>
        <w:ind w:firstLine="656"/>
        <w:spacing w:after="0" w:line="246" w:lineRule="auto"/>
        <w:tabs>
          <w:tab w:leader="none" w:pos="976"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Effectiveness</w:t>
      </w:r>
      <w:r>
        <w:rPr>
          <w:rFonts w:ascii="Arial" w:cs="Arial" w:eastAsia="Arial" w:hAnsi="Arial"/>
          <w:sz w:val="20"/>
          <w:szCs w:val="20"/>
          <w:color w:val="auto"/>
        </w:rPr>
        <w:t>. The parties agree that this amendment shall be effective upon (A) the due execution and delivery to</w:t>
      </w:r>
      <w:r>
        <w:rPr>
          <w:rFonts w:ascii="Arial" w:cs="Arial" w:eastAsia="Arial" w:hAnsi="Arial"/>
          <w:sz w:val="20"/>
          <w:szCs w:val="20"/>
          <w:b w:val="1"/>
          <w:bCs w:val="1"/>
          <w:color w:val="auto"/>
        </w:rPr>
        <w:t xml:space="preserve"> </w:t>
      </w:r>
      <w:r>
        <w:rPr>
          <w:rFonts w:ascii="Arial" w:cs="Arial" w:eastAsia="Arial" w:hAnsi="Arial"/>
          <w:sz w:val="20"/>
          <w:szCs w:val="20"/>
          <w:color w:val="auto"/>
        </w:rPr>
        <w:t>Bank of (i) this Amendment by each party hereto, and (ii) an updated Corporate Borrowing Certificate in the form attached hereto, and (B) Borrower’s payment of all Bank Expenses due and owing as of the date hereof, which may be debited from any of Borrower’s accounts at Bank. Bank shall apply to such Bank Expenses the Twenty-Five Thousand Dollars ($25,000) good faith deposit that Borrower deposited with the Bank prior to the Third Amendment Effective Date.</w:t>
      </w:r>
    </w:p>
    <w:p>
      <w:pPr>
        <w:spacing w:after="0" w:line="184" w:lineRule="exact"/>
        <w:rPr>
          <w:rFonts w:ascii="Arial" w:cs="Arial" w:eastAsia="Arial" w:hAnsi="Arial"/>
          <w:sz w:val="20"/>
          <w:szCs w:val="20"/>
          <w:b w:val="1"/>
          <w:bCs w:val="1"/>
          <w:color w:val="auto"/>
        </w:rPr>
      </w:pPr>
    </w:p>
    <w:p>
      <w:pPr>
        <w:ind w:left="980" w:hanging="324"/>
        <w:spacing w:after="0"/>
        <w:tabs>
          <w:tab w:leader="none" w:pos="9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color w:val="auto"/>
        </w:rPr>
        <w:t>This Amendment shall constitute a Loan Document under the Loan Agreement; the failure to comply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contained herein shall constitute an Event of Default under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spacing w:after="0" w:line="18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color w:val="auto"/>
        </w:rPr>
        <w:t>Each provision of this Amendment is severable from every other provision in determining the enforceability of 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provision.</w:t>
      </w:r>
    </w:p>
    <w:p>
      <w:pPr>
        <w:spacing w:after="0" w:line="194" w:lineRule="exact"/>
        <w:rPr>
          <w:sz w:val="20"/>
          <w:szCs w:val="20"/>
          <w:color w:val="auto"/>
        </w:rPr>
      </w:pPr>
    </w:p>
    <w:p>
      <w:pPr>
        <w:ind w:firstLine="656"/>
        <w:spacing w:after="0" w:line="267" w:lineRule="auto"/>
        <w:tabs>
          <w:tab w:leader="none" w:pos="1116"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Amendment and the rights and obligations of the parties hereto shall be governed by and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California.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95" w:right="339" w:bottom="1440" w:gutter="0" w:footer="0" w:header="0"/>
        </w:sectPr>
      </w:pPr>
    </w:p>
    <w:bookmarkStart w:id="11" w:name="page12"/>
    <w:bookmarkEnd w:id="11"/>
    <w:p>
      <w:pPr>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Amendment to be duly executed and delivered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above.</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800" w:type="dxa"/>
            <w:vAlign w:val="bottom"/>
            <w:gridSpan w:val="6"/>
          </w:tcPr>
          <w:p>
            <w:pPr>
              <w:spacing w:after="0"/>
              <w:rPr>
                <w:sz w:val="20"/>
                <w:szCs w:val="20"/>
                <w:color w:val="auto"/>
              </w:rPr>
            </w:pPr>
            <w:r>
              <w:rPr>
                <w:rFonts w:ascii="Arial" w:cs="Arial" w:eastAsia="Arial" w:hAnsi="Arial"/>
                <w:sz w:val="20"/>
                <w:szCs w:val="20"/>
                <w:b w:val="1"/>
                <w:bCs w:val="1"/>
                <w:color w:val="auto"/>
              </w:rPr>
              <w:t>BANK</w:t>
            </w:r>
          </w:p>
        </w:tc>
        <w:tc>
          <w:tcPr>
            <w:tcW w:w="4060" w:type="dxa"/>
            <w:vAlign w:val="bottom"/>
            <w:gridSpan w:val="6"/>
          </w:tcPr>
          <w:p>
            <w:pPr>
              <w:ind w:left="1480"/>
              <w:spacing w:after="0"/>
              <w:rPr>
                <w:sz w:val="20"/>
                <w:szCs w:val="20"/>
                <w:color w:val="auto"/>
              </w:rPr>
            </w:pPr>
            <w:r>
              <w:rPr>
                <w:rFonts w:ascii="Arial" w:cs="Arial" w:eastAsia="Arial" w:hAnsi="Arial"/>
                <w:sz w:val="20"/>
                <w:szCs w:val="20"/>
                <w:b w:val="1"/>
                <w:bCs w:val="1"/>
                <w:color w:val="auto"/>
              </w:rPr>
              <w:t>BORROWER</w:t>
            </w:r>
          </w:p>
        </w:tc>
      </w:tr>
      <w:tr>
        <w:trPr>
          <w:trHeight w:val="513"/>
        </w:trPr>
        <w:tc>
          <w:tcPr>
            <w:tcW w:w="3800" w:type="dxa"/>
            <w:vAlign w:val="bottom"/>
            <w:gridSpan w:val="6"/>
          </w:tcPr>
          <w:p>
            <w:pPr>
              <w:spacing w:after="0"/>
              <w:rPr>
                <w:sz w:val="20"/>
                <w:szCs w:val="20"/>
                <w:color w:val="auto"/>
              </w:rPr>
            </w:pPr>
            <w:r>
              <w:rPr>
                <w:rFonts w:ascii="Arial" w:cs="Arial" w:eastAsia="Arial" w:hAnsi="Arial"/>
                <w:sz w:val="20"/>
                <w:szCs w:val="20"/>
                <w:b w:val="1"/>
                <w:bCs w:val="1"/>
                <w:color w:val="auto"/>
              </w:rPr>
              <w:t>SILICON VALLEY BANK</w:t>
            </w:r>
          </w:p>
        </w:tc>
        <w:tc>
          <w:tcPr>
            <w:tcW w:w="4060" w:type="dxa"/>
            <w:vAlign w:val="bottom"/>
            <w:gridSpan w:val="6"/>
          </w:tcPr>
          <w:p>
            <w:pPr>
              <w:ind w:left="1480"/>
              <w:spacing w:after="0"/>
              <w:rPr>
                <w:sz w:val="20"/>
                <w:szCs w:val="20"/>
                <w:color w:val="auto"/>
              </w:rPr>
            </w:pPr>
            <w:r>
              <w:rPr>
                <w:rFonts w:ascii="Arial" w:cs="Arial" w:eastAsia="Arial" w:hAnsi="Arial"/>
                <w:sz w:val="20"/>
                <w:szCs w:val="20"/>
                <w:b w:val="1"/>
                <w:bCs w:val="1"/>
                <w:color w:val="auto"/>
              </w:rPr>
              <w:t>FLUIDIGM CORPORATION</w:t>
            </w:r>
          </w:p>
        </w:tc>
      </w:tr>
      <w:tr>
        <w:trPr>
          <w:trHeight w:val="523"/>
        </w:trPr>
        <w:tc>
          <w:tcPr>
            <w:tcW w:w="3800" w:type="dxa"/>
            <w:vAlign w:val="bottom"/>
            <w:gridSpan w:val="6"/>
          </w:tcPr>
          <w:p>
            <w:pPr>
              <w:spacing w:after="0"/>
              <w:rPr>
                <w:sz w:val="20"/>
                <w:szCs w:val="20"/>
                <w:color w:val="auto"/>
              </w:rPr>
            </w:pPr>
            <w:r>
              <w:rPr>
                <w:rFonts w:ascii="Arial" w:cs="Arial" w:eastAsia="Arial" w:hAnsi="Arial"/>
                <w:sz w:val="20"/>
                <w:szCs w:val="20"/>
                <w:color w:val="auto"/>
              </w:rPr>
              <w:t>By: /s/ Shawn Parry</w:t>
            </w:r>
          </w:p>
        </w:tc>
        <w:tc>
          <w:tcPr>
            <w:tcW w:w="4060" w:type="dxa"/>
            <w:vAlign w:val="bottom"/>
            <w:gridSpan w:val="6"/>
          </w:tcPr>
          <w:p>
            <w:pPr>
              <w:ind w:left="1480"/>
              <w:spacing w:after="0"/>
              <w:rPr>
                <w:sz w:val="20"/>
                <w:szCs w:val="20"/>
                <w:color w:val="auto"/>
              </w:rPr>
            </w:pPr>
            <w:r>
              <w:rPr>
                <w:rFonts w:ascii="Arial" w:cs="Arial" w:eastAsia="Arial" w:hAnsi="Arial"/>
                <w:sz w:val="20"/>
                <w:szCs w:val="20"/>
                <w:color w:val="auto"/>
              </w:rPr>
              <w:t>By: /s/ Vikram Jog</w:t>
            </w:r>
          </w:p>
        </w:tc>
      </w:tr>
      <w:tr>
        <w:trPr>
          <w:trHeight w:val="20"/>
        </w:trPr>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55"/>
        </w:trPr>
        <w:tc>
          <w:tcPr>
            <w:tcW w:w="3800" w:type="dxa"/>
            <w:vAlign w:val="bottom"/>
            <w:gridSpan w:val="6"/>
          </w:tcPr>
          <w:p>
            <w:pPr>
              <w:spacing w:after="0"/>
              <w:rPr>
                <w:sz w:val="20"/>
                <w:szCs w:val="20"/>
                <w:color w:val="auto"/>
              </w:rPr>
            </w:pPr>
            <w:r>
              <w:rPr>
                <w:rFonts w:ascii="Arial" w:cs="Arial" w:eastAsia="Arial" w:hAnsi="Arial"/>
                <w:sz w:val="20"/>
                <w:szCs w:val="20"/>
                <w:color w:val="auto"/>
              </w:rPr>
              <w:t>Name: Shawn Parry</w:t>
            </w:r>
          </w:p>
        </w:tc>
        <w:tc>
          <w:tcPr>
            <w:tcW w:w="4060" w:type="dxa"/>
            <w:vAlign w:val="bottom"/>
            <w:gridSpan w:val="6"/>
          </w:tcPr>
          <w:p>
            <w:pPr>
              <w:ind w:left="1480"/>
              <w:spacing w:after="0"/>
              <w:rPr>
                <w:sz w:val="20"/>
                <w:szCs w:val="20"/>
                <w:color w:val="auto"/>
              </w:rPr>
            </w:pPr>
            <w:r>
              <w:rPr>
                <w:rFonts w:ascii="Arial" w:cs="Arial" w:eastAsia="Arial" w:hAnsi="Arial"/>
                <w:sz w:val="20"/>
                <w:szCs w:val="20"/>
                <w:color w:val="auto"/>
              </w:rPr>
              <w:t>Name: Vikram Jog</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55"/>
        </w:trPr>
        <w:tc>
          <w:tcPr>
            <w:tcW w:w="3800" w:type="dxa"/>
            <w:vAlign w:val="bottom"/>
            <w:gridSpan w:val="6"/>
          </w:tcPr>
          <w:p>
            <w:pPr>
              <w:spacing w:after="0"/>
              <w:rPr>
                <w:sz w:val="20"/>
                <w:szCs w:val="20"/>
                <w:color w:val="auto"/>
              </w:rPr>
            </w:pPr>
            <w:r>
              <w:rPr>
                <w:rFonts w:ascii="Arial" w:cs="Arial" w:eastAsia="Arial" w:hAnsi="Arial"/>
                <w:sz w:val="20"/>
                <w:szCs w:val="20"/>
                <w:color w:val="auto"/>
              </w:rPr>
              <w:t>Title: Managing Director</w:t>
            </w:r>
          </w:p>
        </w:tc>
        <w:tc>
          <w:tcPr>
            <w:tcW w:w="4060" w:type="dxa"/>
            <w:vAlign w:val="bottom"/>
            <w:gridSpan w:val="6"/>
          </w:tcPr>
          <w:p>
            <w:pPr>
              <w:ind w:left="1480"/>
              <w:spacing w:after="0"/>
              <w:rPr>
                <w:sz w:val="20"/>
                <w:szCs w:val="20"/>
                <w:color w:val="auto"/>
              </w:rPr>
            </w:pPr>
            <w:r>
              <w:rPr>
                <w:rFonts w:ascii="Arial" w:cs="Arial" w:eastAsia="Arial" w:hAnsi="Arial"/>
                <w:sz w:val="20"/>
                <w:szCs w:val="20"/>
                <w:color w:val="auto"/>
              </w:rPr>
              <w:t>Title: Chief Financial Officer</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 to Third Amendment to Loan and Security Agreement</w:t>
      </w:r>
      <w:r>
        <w:rPr>
          <w:rFonts w:ascii="Arial" w:cs="Arial" w:eastAsia="Arial" w:hAnsi="Arial"/>
          <w:sz w:val="20"/>
          <w:szCs w:val="20"/>
          <w:b w:val="1"/>
          <w:bCs w:val="1"/>
          <w:color w:val="auto"/>
        </w:rPr>
        <w:t>]</w:t>
      </w:r>
    </w:p>
    <w:p>
      <w:pPr>
        <w:sectPr>
          <w:pgSz w:w="11900" w:h="16838" w:orient="portrait"/>
          <w:cols w:equalWidth="0" w:num="1">
            <w:col w:w="11240"/>
          </w:cols>
          <w:pgMar w:left="320" w:top="589" w:right="339"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COMPLIANCE STATEMENT</w:t>
      </w:r>
    </w:p>
    <w:p>
      <w:pPr>
        <w:sectPr>
          <w:pgSz w:w="11900" w:h="16838" w:orient="portrait"/>
          <w:cols w:equalWidth="0" w:num="1">
            <w:col w:w="11260"/>
          </w:cols>
          <w:pgMar w:left="320" w:top="594"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tab/>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FROM: FLUIDIGM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10795</wp:posOffset>
            </wp:positionV>
            <wp:extent cx="457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2800" w:space="580"/>
            <w:col w:w="7880"/>
          </w:cols>
          <w:pgMar w:left="320" w:top="594" w:right="319" w:bottom="1440" w:gutter="0" w:footer="0" w:header="0"/>
          <w:type w:val="continuous"/>
        </w:sectPr>
      </w:pPr>
    </w:p>
    <w:p>
      <w:pPr>
        <w:spacing w:after="0" w:line="22"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Borrower and Bank (the “Agreement”): Borrower is in complete compliance for the period ending _______________ with all required covenants except as noted below. Attached are the required documents</w:t>
      </w:r>
    </w:p>
    <w:p>
      <w:pPr>
        <w:jc w:val="both"/>
        <w:ind w:right="20"/>
        <w:spacing w:after="0" w:line="255" w:lineRule="auto"/>
        <w:rPr>
          <w:sz w:val="20"/>
          <w:szCs w:val="20"/>
          <w:color w:val="auto"/>
        </w:rPr>
      </w:pPr>
      <w:r>
        <w:rPr>
          <w:rFonts w:ascii="Arial" w:cs="Arial" w:eastAsia="Arial" w:hAnsi="Arial"/>
          <w:sz w:val="18"/>
          <w:szCs w:val="18"/>
          <w:color w:val="auto"/>
        </w:rPr>
        <w:t>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760" w:type="dxa"/>
            <w:vAlign w:val="bottom"/>
            <w:tcBorders>
              <w:top w:val="single" w:sz="8" w:color="auto"/>
              <w:left w:val="single" w:sz="8" w:color="auto"/>
              <w:right w:val="single" w:sz="8" w:color="auto"/>
            </w:tcBorders>
            <w:gridSpan w:val="3"/>
          </w:tcPr>
          <w:p>
            <w:pPr>
              <w:ind w:left="1560"/>
              <w:spacing w:after="0"/>
              <w:rPr>
                <w:sz w:val="20"/>
                <w:szCs w:val="20"/>
                <w:color w:val="auto"/>
              </w:rPr>
            </w:pPr>
            <w:r>
              <w:rPr>
                <w:rFonts w:ascii="Arial" w:cs="Arial" w:eastAsia="Arial" w:hAnsi="Arial"/>
                <w:sz w:val="18"/>
                <w:szCs w:val="18"/>
                <w:b w:val="1"/>
                <w:bCs w:val="1"/>
                <w:color w:val="auto"/>
              </w:rPr>
              <w:t>Reporting Covenants</w:t>
            </w:r>
          </w:p>
        </w:tc>
        <w:tc>
          <w:tcPr>
            <w:tcW w:w="1980" w:type="dxa"/>
            <w:vAlign w:val="bottom"/>
            <w:tcBorders>
              <w:top w:val="single" w:sz="8" w:color="auto"/>
            </w:tcBorders>
          </w:tcPr>
          <w:p>
            <w:pPr>
              <w:spacing w:after="0"/>
              <w:rPr>
                <w:sz w:val="18"/>
                <w:szCs w:val="18"/>
                <w:color w:val="auto"/>
              </w:rPr>
            </w:pPr>
          </w:p>
        </w:tc>
        <w:tc>
          <w:tcPr>
            <w:tcW w:w="2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52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1560" w:type="dxa"/>
            <w:vAlign w:val="bottom"/>
            <w:tcBorders>
              <w:left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91"/>
        </w:trPr>
        <w:tc>
          <w:tcPr>
            <w:tcW w:w="156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r>
      <w:tr>
        <w:trPr>
          <w:trHeight w:val="237"/>
        </w:trPr>
        <w:tc>
          <w:tcPr>
            <w:tcW w:w="4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Quarterly Financial Statements*</w:t>
            </w: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Within 45 days after the end of each fiscal quarter</w:t>
            </w:r>
          </w:p>
        </w:tc>
        <w:tc>
          <w:tcPr>
            <w:tcW w:w="52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7"/>
        </w:trPr>
        <w:tc>
          <w:tcPr>
            <w:tcW w:w="15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2"/>
        </w:trPr>
        <w:tc>
          <w:tcPr>
            <w:tcW w:w="4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Compliance Statement</w:t>
            </w: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(i) within 45 days after the end of each fiscal quarter when the</w:t>
            </w:r>
          </w:p>
        </w:tc>
        <w:tc>
          <w:tcPr>
            <w:tcW w:w="5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principal amount outstanding under the Revolving Line = $0.00</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at all times during such fiscal quarter, and (ii) within 30 days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after the end of each month when the principal amount</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outstanding under the Revolving Line is &gt; $0.00 at any time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0"/>
        </w:trPr>
        <w:tc>
          <w:tcPr>
            <w:tcW w:w="15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during such calendar month</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7"/>
        </w:trPr>
        <w:tc>
          <w:tcPr>
            <w:tcW w:w="15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10-Q, 10-K and 8-K</w:t>
            </w: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Within 5 days</w:t>
            </w:r>
          </w:p>
        </w:tc>
        <w:tc>
          <w:tcPr>
            <w:tcW w:w="52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7"/>
        </w:trPr>
        <w:tc>
          <w:tcPr>
            <w:tcW w:w="15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2"/>
        </w:trPr>
        <w:tc>
          <w:tcPr>
            <w:tcW w:w="4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A/R &amp; A/P Agings and</w:t>
            </w: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(i) within 30 days after the end of each fiscal quarter when the</w:t>
            </w:r>
          </w:p>
        </w:tc>
        <w:tc>
          <w:tcPr>
            <w:tcW w:w="5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16"/>
        </w:trPr>
        <w:tc>
          <w:tcPr>
            <w:tcW w:w="4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Monthly Perpetual Inventory Reports</w:t>
            </w: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principal amount outstanding under the Revolving Line = $0.00</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at all times during such fiscal quarter, and (ii) within 30 days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after the end of each month when the principal amount</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outstanding under the Revolving Line is &gt; $0.00 at any time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0"/>
        </w:trPr>
        <w:tc>
          <w:tcPr>
            <w:tcW w:w="15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during such calendar month</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7"/>
        </w:trPr>
        <w:tc>
          <w:tcPr>
            <w:tcW w:w="15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2"/>
        </w:trPr>
        <w:tc>
          <w:tcPr>
            <w:tcW w:w="4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Borrowing Base Statement</w:t>
            </w: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(i) no later than Friday of each week when a Streamline Period</w:t>
            </w:r>
          </w:p>
        </w:tc>
        <w:tc>
          <w:tcPr>
            <w:tcW w:w="5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is not in effect and the principal amount outstanding under the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9"/>
              </w:rPr>
              <w:t>Revolving Line is &gt; $0.00, (ii) within 7 days after the end of</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each month (provided however that if such seventh day is not a</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Business Day, then such Borrowing Base Statement shall be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1"/>
              </w:rPr>
              <w:t>delivered on next Business Day) when a Streamline Period is in</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8"/>
              </w:rPr>
              <w:t>effect and when the principal amount outstanding under the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9"/>
              </w:rPr>
              <w:t>Revolving Line is &gt; $0.00 at any time during such calendar</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1"/>
              </w:rPr>
              <w:t>month, and (iii) within 7 days after the end of each fiscal quarter</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8"/>
              </w:rPr>
              <w:t>when the principal amount outstanding under the Revolving</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0"/>
        </w:trPr>
        <w:tc>
          <w:tcPr>
            <w:tcW w:w="15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Line = $0.00 at all times during such fiscal quarter</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7"/>
        </w:trPr>
        <w:tc>
          <w:tcPr>
            <w:tcW w:w="15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594" w:right="319"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6"/>
          <w:szCs w:val="16"/>
          <w:color w:val="auto"/>
        </w:rPr>
        <w:t>Board Approved Projections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Within 30 days of each fiscal year of Borrower, and within 7 days of any updates/amendments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-319405</wp:posOffset>
            </wp:positionV>
            <wp:extent cx="7140575" cy="840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 No</w:t>
      </w:r>
    </w:p>
    <w:p>
      <w:pPr>
        <w:spacing w:after="0" w:line="315" w:lineRule="exact"/>
        <w:rPr>
          <w:sz w:val="20"/>
          <w:szCs w:val="20"/>
          <w:color w:val="auto"/>
        </w:rPr>
      </w:pPr>
    </w:p>
    <w:p>
      <w:pPr>
        <w:sectPr>
          <w:pgSz w:w="11900" w:h="16838" w:orient="portrait"/>
          <w:cols w:equalWidth="0" w:num="3">
            <w:col w:w="4060" w:space="720"/>
            <w:col w:w="4580" w:space="720"/>
            <w:col w:w="1160"/>
          </w:cols>
          <w:pgMar w:left="320" w:top="773" w:right="339" w:bottom="1440" w:gutter="0" w:footer="0" w:header="0"/>
        </w:sectPr>
      </w:pPr>
    </w:p>
    <w:p>
      <w:pPr>
        <w:ind w:left="40" w:right="300"/>
        <w:spacing w:after="0" w:line="277" w:lineRule="auto"/>
        <w:rPr>
          <w:sz w:val="20"/>
          <w:szCs w:val="20"/>
          <w:color w:val="auto"/>
        </w:rPr>
      </w:pPr>
      <w:r>
        <w:rPr>
          <w:rFonts w:ascii="Arial" w:cs="Arial" w:eastAsia="Arial" w:hAnsi="Arial"/>
          <w:sz w:val="18"/>
          <w:szCs w:val="18"/>
          <w:i w:val="1"/>
          <w:iCs w:val="1"/>
          <w:color w:val="auto"/>
        </w:rPr>
        <w:t>*Provided, however, notwithstanding the foregoing, the Quarterly Financial Statements for Borrower’s fourth (4th) quarter of each fiscal year, shall be due within ninety (90) days of such fiscal quarter.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40" w:type="dxa"/>
            <w:vAlign w:val="bottom"/>
            <w:tcBorders>
              <w:top w:val="single" w:sz="8" w:color="00000A"/>
              <w:left w:val="single" w:sz="8" w:color="00000A"/>
            </w:tcBorders>
          </w:tcPr>
          <w:p>
            <w:pPr>
              <w:spacing w:after="0"/>
              <w:rPr>
                <w:sz w:val="18"/>
                <w:szCs w:val="18"/>
                <w:color w:val="auto"/>
              </w:rPr>
            </w:pPr>
          </w:p>
        </w:tc>
        <w:tc>
          <w:tcPr>
            <w:tcW w:w="306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8"/>
                <w:szCs w:val="18"/>
                <w:b w:val="1"/>
                <w:bCs w:val="1"/>
                <w:color w:val="auto"/>
              </w:rPr>
              <w:t>Streamline</w:t>
            </w:r>
          </w:p>
        </w:tc>
        <w:tc>
          <w:tcPr>
            <w:tcW w:w="234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Required</w:t>
            </w:r>
          </w:p>
        </w:tc>
        <w:tc>
          <w:tcPr>
            <w:tcW w:w="460" w:type="dxa"/>
            <w:vAlign w:val="bottom"/>
            <w:tcBorders>
              <w:top w:val="single" w:sz="8" w:color="00000A"/>
            </w:tcBorders>
          </w:tcPr>
          <w:p>
            <w:pPr>
              <w:spacing w:after="0"/>
              <w:rPr>
                <w:sz w:val="18"/>
                <w:szCs w:val="18"/>
                <w:color w:val="auto"/>
              </w:rPr>
            </w:pPr>
          </w:p>
        </w:tc>
        <w:tc>
          <w:tcPr>
            <w:tcW w:w="9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8"/>
                <w:szCs w:val="18"/>
                <w:b w:val="1"/>
                <w:bCs w:val="1"/>
                <w:color w:val="auto"/>
              </w:rPr>
              <w:t>Actual</w:t>
            </w:r>
          </w:p>
        </w:tc>
        <w:tc>
          <w:tcPr>
            <w:tcW w:w="760" w:type="dxa"/>
            <w:vAlign w:val="bottom"/>
            <w:tcBorders>
              <w:top w:val="single" w:sz="8" w:color="00000A"/>
            </w:tcBorders>
          </w:tcPr>
          <w:p>
            <w:pPr>
              <w:spacing w:after="0"/>
              <w:rPr>
                <w:sz w:val="18"/>
                <w:szCs w:val="18"/>
                <w:color w:val="auto"/>
              </w:rPr>
            </w:pPr>
          </w:p>
        </w:tc>
        <w:tc>
          <w:tcPr>
            <w:tcW w:w="1360" w:type="dxa"/>
            <w:vAlign w:val="bottom"/>
            <w:tcBorders>
              <w:top w:val="single" w:sz="8" w:color="00000A"/>
              <w:right w:val="single" w:sz="8" w:color="00000A"/>
            </w:tcBorders>
            <w:gridSpan w:val="2"/>
          </w:tcPr>
          <w:p>
            <w:pPr>
              <w:jc w:val="center"/>
              <w:ind w:right="780"/>
              <w:spacing w:after="0"/>
              <w:rPr>
                <w:sz w:val="20"/>
                <w:szCs w:val="20"/>
                <w:color w:val="auto"/>
              </w:rPr>
            </w:pPr>
            <w:r>
              <w:rPr>
                <w:rFonts w:ascii="Arial" w:cs="Arial" w:eastAsia="Arial" w:hAnsi="Arial"/>
                <w:sz w:val="18"/>
                <w:szCs w:val="18"/>
                <w:b w:val="1"/>
                <w:bCs w:val="1"/>
                <w:color w:val="auto"/>
                <w:w w:val="89"/>
              </w:rPr>
              <w:t>Applies</w:t>
            </w:r>
          </w:p>
        </w:tc>
      </w:tr>
      <w:tr>
        <w:trPr>
          <w:trHeight w:val="48"/>
        </w:trPr>
        <w:tc>
          <w:tcPr>
            <w:tcW w:w="22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auto"/>
              <w:bottom w:val="single" w:sz="8" w:color="00000A"/>
            </w:tcBorders>
          </w:tcPr>
          <w:p>
            <w:pPr>
              <w:spacing w:after="0"/>
              <w:rPr>
                <w:sz w:val="4"/>
                <w:szCs w:val="4"/>
                <w:color w:val="auto"/>
              </w:rPr>
            </w:pPr>
          </w:p>
        </w:tc>
        <w:tc>
          <w:tcPr>
            <w:tcW w:w="2220" w:type="dxa"/>
            <w:vAlign w:val="bottom"/>
            <w:tcBorders>
              <w:bottom w:val="single" w:sz="8" w:color="00000A"/>
              <w:right w:val="single" w:sz="8" w:color="00000A"/>
            </w:tcBorders>
          </w:tcPr>
          <w:p>
            <w:pPr>
              <w:spacing w:after="0"/>
              <w:rPr>
                <w:sz w:val="4"/>
                <w:szCs w:val="4"/>
                <w:color w:val="auto"/>
              </w:rPr>
            </w:pPr>
          </w:p>
        </w:tc>
        <w:tc>
          <w:tcPr>
            <w:tcW w:w="80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820" w:type="dxa"/>
            <w:vAlign w:val="bottom"/>
            <w:tcBorders>
              <w:bottom w:val="single" w:sz="8" w:color="00000A"/>
              <w:right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520" w:type="dxa"/>
            <w:vAlign w:val="bottom"/>
            <w:tcBorders>
              <w:top w:val="single" w:sz="8" w:color="auto"/>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760" w:type="dxa"/>
            <w:vAlign w:val="bottom"/>
            <w:tcBorders>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right w:val="single" w:sz="8" w:color="00000A"/>
            </w:tcBorders>
          </w:tcPr>
          <w:p>
            <w:pPr>
              <w:spacing w:after="0"/>
              <w:rPr>
                <w:sz w:val="4"/>
                <w:szCs w:val="4"/>
                <w:color w:val="auto"/>
              </w:rPr>
            </w:pPr>
          </w:p>
        </w:tc>
      </w:tr>
      <w:tr>
        <w:trPr>
          <w:trHeight w:val="291"/>
        </w:trPr>
        <w:tc>
          <w:tcPr>
            <w:tcW w:w="2240" w:type="dxa"/>
            <w:vAlign w:val="bottom"/>
            <w:tcBorders>
              <w:left w:val="single" w:sz="8" w:color="00000A"/>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222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820" w:type="dxa"/>
            <w:vAlign w:val="bottom"/>
            <w:tcBorders>
              <w:bottom w:val="single" w:sz="8" w:color="00000A"/>
              <w:right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52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780" w:type="dxa"/>
            <w:vAlign w:val="bottom"/>
            <w:tcBorders>
              <w:bottom w:val="single" w:sz="8" w:color="00000A"/>
              <w:right w:val="single" w:sz="8" w:color="00000A"/>
            </w:tcBorders>
          </w:tcPr>
          <w:p>
            <w:pPr>
              <w:spacing w:after="0"/>
              <w:rPr>
                <w:sz w:val="24"/>
                <w:szCs w:val="24"/>
                <w:color w:val="auto"/>
              </w:rPr>
            </w:pPr>
          </w:p>
        </w:tc>
      </w:tr>
      <w:tr>
        <w:trPr>
          <w:trHeight w:val="237"/>
        </w:trPr>
        <w:tc>
          <w:tcPr>
            <w:tcW w:w="530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8"/>
                <w:szCs w:val="18"/>
                <w:b w:val="1"/>
                <w:bCs w:val="1"/>
                <w:color w:val="auto"/>
              </w:rPr>
              <w:t>Maintain as indicated:</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right w:val="single" w:sz="8" w:color="00000A"/>
            </w:tcBorders>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Borders>
              <w:right w:val="single" w:sz="8" w:color="00000A"/>
            </w:tcBorders>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r>
      <w:tr>
        <w:trPr>
          <w:trHeight w:val="27"/>
        </w:trPr>
        <w:tc>
          <w:tcPr>
            <w:tcW w:w="2240" w:type="dxa"/>
            <w:vAlign w:val="bottom"/>
            <w:tcBorders>
              <w:left w:val="single" w:sz="8" w:color="00000A"/>
              <w:bottom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46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r>
        <w:trPr>
          <w:trHeight w:val="237"/>
        </w:trPr>
        <w:tc>
          <w:tcPr>
            <w:tcW w:w="530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8"/>
                <w:szCs w:val="18"/>
                <w:b w:val="1"/>
                <w:bCs w:val="1"/>
                <w:color w:val="auto"/>
              </w:rPr>
              <w:t>Liquidity</w:t>
            </w:r>
          </w:p>
        </w:tc>
        <w:tc>
          <w:tcPr>
            <w:tcW w:w="2340" w:type="dxa"/>
            <w:vAlign w:val="bottom"/>
            <w:tcBorders>
              <w:right w:val="single" w:sz="8" w:color="00000A"/>
            </w:tcBorders>
            <w:gridSpan w:val="3"/>
          </w:tcPr>
          <w:p>
            <w:pPr>
              <w:jc w:val="right"/>
              <w:ind w:right="660"/>
              <w:spacing w:after="0"/>
              <w:rPr>
                <w:sz w:val="20"/>
                <w:szCs w:val="20"/>
                <w:color w:val="auto"/>
              </w:rPr>
            </w:pPr>
            <w:r>
              <w:rPr>
                <w:rFonts w:ascii="Arial" w:cs="Arial" w:eastAsia="Arial" w:hAnsi="Arial"/>
                <w:sz w:val="18"/>
                <w:szCs w:val="18"/>
                <w:b w:val="1"/>
                <w:bCs w:val="1"/>
                <w:color w:val="auto"/>
              </w:rPr>
              <w:t>&gt; $20,000,000</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$_________</w:t>
            </w:r>
          </w:p>
        </w:tc>
        <w:tc>
          <w:tcPr>
            <w:tcW w:w="460" w:type="dxa"/>
            <w:vAlign w:val="bottom"/>
            <w:tcBorders>
              <w:right w:val="single" w:sz="8" w:color="00000A"/>
            </w:tcBorders>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Borders>
              <w:right w:val="single" w:sz="8" w:color="00000A"/>
            </w:tcBorders>
            <w:gridSpan w:val="2"/>
          </w:tcPr>
          <w:p>
            <w:pPr>
              <w:jc w:val="center"/>
              <w:ind w:right="760"/>
              <w:spacing w:after="0"/>
              <w:rPr>
                <w:sz w:val="20"/>
                <w:szCs w:val="20"/>
                <w:color w:val="auto"/>
              </w:rPr>
            </w:pPr>
            <w:r>
              <w:rPr>
                <w:rFonts w:ascii="Arial" w:cs="Arial" w:eastAsia="Arial" w:hAnsi="Arial"/>
                <w:sz w:val="18"/>
                <w:szCs w:val="18"/>
                <w:b w:val="1"/>
                <w:bCs w:val="1"/>
                <w:color w:val="auto"/>
                <w:w w:val="85"/>
              </w:rPr>
              <w:t>Yes No</w:t>
            </w:r>
          </w:p>
        </w:tc>
      </w:tr>
      <w:tr>
        <w:trPr>
          <w:trHeight w:val="27"/>
        </w:trPr>
        <w:tc>
          <w:tcPr>
            <w:tcW w:w="2240" w:type="dxa"/>
            <w:vAlign w:val="bottom"/>
            <w:tcBorders>
              <w:left w:val="single" w:sz="8" w:color="00000A"/>
              <w:bottom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720" w:type="dxa"/>
            <w:vAlign w:val="bottom"/>
            <w:tcBorders>
              <w:bottom w:val="single" w:sz="8" w:color="00000A"/>
            </w:tcBorders>
          </w:tcPr>
          <w:p>
            <w:pPr>
              <w:spacing w:after="0"/>
              <w:rPr>
                <w:sz w:val="2"/>
                <w:szCs w:val="2"/>
                <w:color w:val="auto"/>
              </w:rPr>
            </w:pPr>
          </w:p>
        </w:tc>
        <w:tc>
          <w:tcPr>
            <w:tcW w:w="820" w:type="dxa"/>
            <w:vAlign w:val="bottom"/>
            <w:tcBorders>
              <w:bottom w:val="single" w:sz="8" w:color="00000A"/>
              <w:right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460" w:type="dxa"/>
            <w:vAlign w:val="bottom"/>
            <w:tcBorders>
              <w:bottom w:val="single" w:sz="8" w:color="00000A"/>
              <w:right w:val="single" w:sz="8" w:color="00000A"/>
            </w:tcBorders>
          </w:tcPr>
          <w:p>
            <w:pPr>
              <w:spacing w:after="0"/>
              <w:rPr>
                <w:sz w:val="2"/>
                <w:szCs w:val="2"/>
                <w:color w:val="auto"/>
              </w:rPr>
            </w:pPr>
          </w:p>
        </w:tc>
        <w:tc>
          <w:tcPr>
            <w:tcW w:w="76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streamline analysis and information set forth in Schedule 1 attached hereto are true and accurate as of the date of this Compliance Statement.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Borrower represents that, except as set forth below (i) as of the date of this Compliance Statement, the information and calculations set forth therein are true, accurate and correct, (ii) as of the end of the compliance period set forth herein, Borrower is in complete compliance with all required covenants except as noted herein, (iii) as of the date hereof, no Events of Default have occurred or are continuing, (iv) all representations and warranties other than any representations or warranties that are made as of a specific date in Section 5 of the Agreement remain true and correct in all material respects as of the date of such submission except as noted below, (v) as of the date hereof,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(vi) as of the date hereof, no Liens have been levied or claims made against Borrower or any of its Subsidiaries relating to unpaid employee payroll or benefits of which Borrower has not previously provided written notification to Bank</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w:t>
      </w:r>
    </w:p>
    <w:p>
      <w:pPr>
        <w:sectPr>
          <w:pgSz w:w="11900" w:h="16838" w:orient="portrait"/>
          <w:cols w:equalWidth="0" w:num="1">
            <w:col w:w="11240"/>
          </w:cols>
          <w:pgMar w:left="320" w:top="773" w:right="339" w:bottom="1440" w:gutter="0" w:footer="0" w:header="0"/>
          <w:type w:val="continuous"/>
        </w:sectPr>
      </w:pPr>
    </w:p>
    <w:bookmarkStart w:id="14" w:name="page15"/>
    <w:bookmarkEnd w:id="14"/>
    <w:p>
      <w:pPr>
        <w:ind w:left="4200"/>
        <w:spacing w:after="0"/>
        <w:rPr>
          <w:sz w:val="20"/>
          <w:szCs w:val="20"/>
          <w:color w:val="auto"/>
        </w:rPr>
      </w:pPr>
      <w:r>
        <w:rPr>
          <w:rFonts w:ascii="Arial" w:cs="Arial" w:eastAsia="Arial" w:hAnsi="Arial"/>
          <w:sz w:val="18"/>
          <w:szCs w:val="18"/>
          <w:b w:val="1"/>
          <w:bCs w:val="1"/>
          <w:u w:val="single" w:color="auto"/>
          <w:color w:val="auto"/>
        </w:rPr>
        <w:t>Schedule 1 to Compliance Statement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conflict between this Schedule and the Agreement, the terms of the Agreement shall govern.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____________________</w:t>
      </w:r>
    </w:p>
    <w:p>
      <w:pPr>
        <w:spacing w:after="0" w:line="221" w:lineRule="exact"/>
        <w:rPr>
          <w:sz w:val="20"/>
          <w:szCs w:val="20"/>
          <w:color w:val="auto"/>
        </w:rPr>
      </w:pPr>
    </w:p>
    <w:p>
      <w:pPr>
        <w:ind w:right="6960" w:firstLine="8"/>
        <w:spacing w:after="0" w:line="566" w:lineRule="auto"/>
        <w:tabs>
          <w:tab w:leader="none" w:pos="753"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w:t>
      </w:r>
      <w:r>
        <w:rPr>
          <w:rFonts w:ascii="Arial" w:cs="Arial" w:eastAsia="Arial" w:hAnsi="Arial"/>
          <w:sz w:val="16"/>
          <w:szCs w:val="16"/>
          <w:i w:val="1"/>
          <w:iCs w:val="1"/>
          <w:color w:val="auto"/>
        </w:rPr>
        <w:t>Streamline Calculation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Liquidity &gt; $20,000,000</w:t>
      </w:r>
    </w:p>
    <w:p>
      <w:pPr>
        <w:spacing w:after="0"/>
        <w:rPr>
          <w:rFonts w:ascii="Arial" w:cs="Arial" w:eastAsia="Arial" w:hAnsi="Arial"/>
          <w:sz w:val="16"/>
          <w:szCs w:val="16"/>
          <w:color w:val="auto"/>
        </w:rPr>
      </w:pPr>
      <w:r>
        <w:rPr>
          <w:rFonts w:ascii="Arial" w:cs="Arial" w:eastAsia="Arial" w:hAnsi="Arial"/>
          <w:sz w:val="18"/>
          <w:szCs w:val="18"/>
          <w:color w:val="auto"/>
        </w:rPr>
        <w:t>Actual:</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59"/>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8820" w:type="dxa"/>
            <w:vAlign w:val="bottom"/>
          </w:tcPr>
          <w:p>
            <w:pPr>
              <w:ind w:left="240"/>
              <w:spacing w:after="0"/>
              <w:rPr>
                <w:sz w:val="20"/>
                <w:szCs w:val="20"/>
                <w:color w:val="auto"/>
              </w:rPr>
            </w:pPr>
            <w:r>
              <w:rPr>
                <w:rFonts w:ascii="Arial" w:cs="Arial" w:eastAsia="Arial" w:hAnsi="Arial"/>
                <w:sz w:val="18"/>
                <w:szCs w:val="18"/>
                <w:color w:val="auto"/>
              </w:rPr>
              <w:t>Aggregate value of Borrower’s unrestricted cash held at Bank</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r>
      <w:tr>
        <w:trPr>
          <w:trHeight w:val="466"/>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8820" w:type="dxa"/>
            <w:vAlign w:val="bottom"/>
          </w:tcPr>
          <w:p>
            <w:pPr>
              <w:ind w:left="240"/>
              <w:spacing w:after="0"/>
              <w:rPr>
                <w:sz w:val="20"/>
                <w:szCs w:val="20"/>
                <w:color w:val="auto"/>
              </w:rPr>
            </w:pPr>
            <w:r>
              <w:rPr>
                <w:rFonts w:ascii="Arial" w:cs="Arial" w:eastAsia="Arial" w:hAnsi="Arial"/>
                <w:sz w:val="18"/>
                <w:szCs w:val="18"/>
                <w:color w:val="auto"/>
                <w:w w:val="98"/>
              </w:rPr>
              <w:t>Aggregate value of Borrower’s unrestricted cash at accounts outside Bank but subject to a Control Agreement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r>
      <w:tr>
        <w:trPr>
          <w:trHeight w:val="466"/>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8820" w:type="dxa"/>
            <w:vAlign w:val="bottom"/>
          </w:tcPr>
          <w:p>
            <w:pPr>
              <w:ind w:left="240"/>
              <w:spacing w:after="0"/>
              <w:rPr>
                <w:sz w:val="20"/>
                <w:szCs w:val="20"/>
                <w:color w:val="auto"/>
              </w:rPr>
            </w:pPr>
            <w:r>
              <w:rPr>
                <w:rFonts w:ascii="Arial" w:cs="Arial" w:eastAsia="Arial" w:hAnsi="Arial"/>
                <w:sz w:val="18"/>
                <w:szCs w:val="18"/>
                <w:color w:val="auto"/>
              </w:rPr>
              <w:t>Availability Amount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r>
      <w:tr>
        <w:trPr>
          <w:trHeight w:val="466"/>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8820" w:type="dxa"/>
            <w:vAlign w:val="bottom"/>
          </w:tcPr>
          <w:p>
            <w:pPr>
              <w:ind w:left="240"/>
              <w:spacing w:after="0"/>
              <w:rPr>
                <w:sz w:val="20"/>
                <w:szCs w:val="20"/>
                <w:color w:val="auto"/>
              </w:rPr>
            </w:pPr>
            <w:r>
              <w:rPr>
                <w:rFonts w:ascii="Arial" w:cs="Arial" w:eastAsia="Arial" w:hAnsi="Arial"/>
                <w:sz w:val="18"/>
                <w:szCs w:val="18"/>
                <w:color w:val="auto"/>
              </w:rPr>
              <w:t>Liquidity (the sum of lines A, B, and C)</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 line D greater than $20,000,000?</w:t>
      </w:r>
    </w:p>
    <w:p>
      <w:pPr>
        <w:spacing w:after="0" w:line="225" w:lineRule="exact"/>
        <w:rPr>
          <w:sz w:val="20"/>
          <w:szCs w:val="20"/>
          <w:color w:val="auto"/>
        </w:rPr>
      </w:pPr>
    </w:p>
    <w:p>
      <w:pPr>
        <w:ind w:left="3620"/>
        <w:spacing w:after="0"/>
        <w:tabs>
          <w:tab w:leader="none" w:pos="6800" w:val="left"/>
        </w:tabs>
        <w:rPr>
          <w:sz w:val="20"/>
          <w:szCs w:val="20"/>
          <w:color w:val="auto"/>
        </w:rPr>
      </w:pPr>
      <w:r>
        <w:rPr>
          <w:rFonts w:ascii="Arial" w:cs="Arial" w:eastAsia="Arial" w:hAnsi="Arial"/>
          <w:sz w:val="18"/>
          <w:szCs w:val="18"/>
          <w:color w:val="auto"/>
        </w:rPr>
        <w:t xml:space="preserve">No (Streamline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apply)</w:t>
      </w:r>
      <w:r>
        <w:rPr>
          <w:sz w:val="20"/>
          <w:szCs w:val="20"/>
          <w:color w:val="auto"/>
        </w:rPr>
        <w:tab/>
      </w:r>
      <w:r>
        <w:rPr>
          <w:rFonts w:ascii="Arial" w:cs="Arial" w:eastAsia="Arial" w:hAnsi="Arial"/>
          <w:sz w:val="16"/>
          <w:szCs w:val="16"/>
          <w:color w:val="auto"/>
        </w:rPr>
        <w:t xml:space="preserve">Yes (Streamline </w:t>
      </w:r>
      <w:r>
        <w:rPr>
          <w:rFonts w:ascii="Arial" w:cs="Arial" w:eastAsia="Arial" w:hAnsi="Arial"/>
          <w:sz w:val="16"/>
          <w:szCs w:val="16"/>
          <w:u w:val="single" w:color="auto"/>
          <w:color w:val="auto"/>
        </w:rPr>
        <w:t>does</w:t>
      </w:r>
      <w:r>
        <w:rPr>
          <w:rFonts w:ascii="Arial" w:cs="Arial" w:eastAsia="Arial" w:hAnsi="Arial"/>
          <w:sz w:val="16"/>
          <w:szCs w:val="16"/>
          <w:color w:val="auto"/>
        </w:rPr>
        <w:t xml:space="preserve">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-10160</wp:posOffset>
            </wp:positionV>
            <wp:extent cx="114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0280"/>
          </w:cols>
          <w:pgMar w:left="320" w:top="594" w:right="12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142303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9433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BORROWING CERTIFICATE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r>
        <w:rPr>
          <w:rFonts w:ascii="Arial" w:cs="Arial" w:eastAsia="Arial" w:hAnsi="Arial"/>
          <w:sz w:val="20"/>
          <w:szCs w:val="20"/>
          <w:color w:val="auto"/>
        </w:rPr>
        <w:t>:</w:t>
      </w:r>
      <w:r>
        <w:rPr>
          <w:rFonts w:ascii="Arial" w:cs="Arial" w:eastAsia="Arial" w:hAnsi="Arial"/>
          <w:sz w:val="20"/>
          <w:szCs w:val="20"/>
          <w:b w:val="1"/>
          <w:bCs w:val="1"/>
          <w:color w:val="auto"/>
        </w:rPr>
        <w:t xml:space="preserve"> FLUIDIGM CORPORATION</w:t>
      </w:r>
    </w:p>
    <w:p>
      <w:pPr>
        <w:spacing w:after="0" w:line="2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b w:val="1"/>
          <w:bCs w:val="1"/>
          <w:color w:val="auto"/>
        </w:rPr>
        <w:t>BANK:</w:t>
        <w:tab/>
        <w:t>SILICON VALLEY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April __, 2020</w:t>
      </w:r>
    </w:p>
    <w:p>
      <w:pPr>
        <w:spacing w:after="0" w:line="474" w:lineRule="exact"/>
        <w:rPr>
          <w:sz w:val="20"/>
          <w:szCs w:val="20"/>
          <w:color w:val="auto"/>
        </w:rPr>
      </w:pPr>
    </w:p>
    <w:p>
      <w:pPr>
        <w:sectPr>
          <w:pgSz w:w="11900" w:h="16838" w:orient="portrait"/>
          <w:cols w:equalWidth="0" w:num="2">
            <w:col w:w="4000" w:space="720"/>
            <w:col w:w="6520"/>
          </w:cols>
          <w:pgMar w:left="320" w:top="1440"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 hereby certify as follows, as of the date set forth above:</w:t>
      </w:r>
    </w:p>
    <w:p>
      <w:pPr>
        <w:spacing w:after="0" w:line="10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am the Secretary, Assistant Secretary or other officer of Borrower. My title is as set forth below.</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Borrower’s exact legal name is set forth above. Borrower is a corporation existing under the laws of the State of Delaware.</w:t>
      </w:r>
    </w:p>
    <w:p>
      <w:pPr>
        <w:spacing w:after="0" w:line="229" w:lineRule="exact"/>
        <w:rPr>
          <w:rFonts w:ascii="Arial" w:cs="Arial" w:eastAsia="Arial" w:hAnsi="Arial"/>
          <w:sz w:val="20"/>
          <w:szCs w:val="20"/>
          <w:color w:val="auto"/>
        </w:rPr>
      </w:pPr>
    </w:p>
    <w:p>
      <w:pPr>
        <w:jc w:val="both"/>
        <w:ind w:firstLine="8"/>
        <w:spacing w:after="0" w:line="269" w:lineRule="auto"/>
        <w:tabs>
          <w:tab w:leader="none" w:pos="379" w:val="left"/>
        </w:tabs>
        <w:numPr>
          <w:ilvl w:val="0"/>
          <w:numId w:val="14"/>
        </w:numPr>
        <w:rPr>
          <w:rFonts w:ascii="Arial" w:cs="Arial" w:eastAsia="Arial" w:hAnsi="Arial"/>
          <w:sz w:val="19"/>
          <w:szCs w:val="19"/>
          <w:color w:val="auto"/>
        </w:rPr>
      </w:pPr>
      <w:r>
        <w:rPr>
          <w:rFonts w:ascii="Arial" w:cs="Arial" w:eastAsia="Arial" w:hAnsi="Arial"/>
          <w:sz w:val="19"/>
          <w:szCs w:val="19"/>
          <w:color w:val="auto"/>
        </w:rPr>
        <w:t>Attached hereto are true, correct and complete copies of Borrower’s Certificate of Incorporation (including amendments), as filed with the Secretary of State of the state in which Borrower is incorporated as set forth above. Such Certificate of Incorporation has not been amended, annulled, rescinded, revoked or supplemented, and remains in full force and effect as of the date hereof.</w:t>
      </w:r>
    </w:p>
    <w:p>
      <w:pPr>
        <w:spacing w:after="0" w:line="183" w:lineRule="exact"/>
        <w:rPr>
          <w:rFonts w:ascii="Arial" w:cs="Arial" w:eastAsia="Arial" w:hAnsi="Arial"/>
          <w:sz w:val="19"/>
          <w:szCs w:val="19"/>
          <w:color w:val="auto"/>
        </w:rPr>
      </w:pPr>
    </w:p>
    <w:p>
      <w:pPr>
        <w:jc w:val="both"/>
        <w:ind w:firstLine="8"/>
        <w:spacing w:after="0" w:line="246" w:lineRule="auto"/>
        <w:tabs>
          <w:tab w:leader="none" w:pos="377"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Silicon Valley Bank (“Bank”) may rely on them until Bank receives written notice of revocation from Borrower.</w:t>
      </w:r>
    </w:p>
    <w:p>
      <w:pPr>
        <w:spacing w:after="0" w:line="199"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w:t>
      </w:r>
      <w:r>
        <w:rPr>
          <w:rFonts w:ascii="Arial" w:cs="Arial" w:eastAsia="Arial" w:hAnsi="Arial"/>
          <w:sz w:val="20"/>
          <w:szCs w:val="20"/>
          <w:b w:val="1"/>
          <w:bCs w:val="1"/>
          <w:color w:val="auto"/>
        </w:rPr>
        <w:t xml:space="preserve"> any one </w:t>
      </w:r>
      <w:r>
        <w:rPr>
          <w:rFonts w:ascii="Arial" w:cs="Arial" w:eastAsia="Arial" w:hAnsi="Arial"/>
          <w:sz w:val="20"/>
          <w:szCs w:val="20"/>
          <w:color w:val="auto"/>
        </w:rPr>
        <w:t>of the following officers or employees of Borrower, whose names, titles and signatures are below, may</w:t>
      </w:r>
      <w:r>
        <w:rPr>
          <w:rFonts w:ascii="Arial" w:cs="Arial" w:eastAsia="Arial" w:hAnsi="Arial"/>
          <w:sz w:val="20"/>
          <w:szCs w:val="20"/>
          <w:b w:val="1"/>
          <w:bCs w:val="1"/>
          <w:color w:val="auto"/>
        </w:rPr>
        <w:t xml:space="preserve"> </w:t>
      </w:r>
      <w:r>
        <w:rPr>
          <w:rFonts w:ascii="Arial" w:cs="Arial" w:eastAsia="Arial" w:hAnsi="Arial"/>
          <w:sz w:val="20"/>
          <w:szCs w:val="20"/>
          <w:color w:val="auto"/>
        </w:rPr>
        <w:t>act on behalf of Borrower:</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Arial" w:cs="Arial" w:eastAsia="Arial" w:hAnsi="Arial"/>
                <w:sz w:val="20"/>
                <w:szCs w:val="20"/>
                <w:color w:val="auto"/>
                <w:w w:val="94"/>
              </w:rPr>
              <w:t>Authorized to Add</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center"/>
              <w:ind w:right="601"/>
              <w:spacing w:after="0"/>
              <w:rPr>
                <w:sz w:val="20"/>
                <w:szCs w:val="20"/>
                <w:color w:val="auto"/>
              </w:rPr>
            </w:pPr>
            <w:r>
              <w:rPr>
                <w:rFonts w:ascii="Arial" w:cs="Arial" w:eastAsia="Arial" w:hAnsi="Arial"/>
                <w:sz w:val="20"/>
                <w:szCs w:val="20"/>
                <w:color w:val="auto"/>
              </w:rPr>
              <w:t>or</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2060" w:type="dxa"/>
            <w:vAlign w:val="bottom"/>
            <w:gridSpan w:val="3"/>
          </w:tcPr>
          <w:p>
            <w:pPr>
              <w:spacing w:after="0" w:line="206" w:lineRule="exact"/>
              <w:rPr>
                <w:sz w:val="20"/>
                <w:szCs w:val="20"/>
                <w:color w:val="auto"/>
              </w:rPr>
            </w:pPr>
            <w:r>
              <w:rPr>
                <w:rFonts w:ascii="Arial" w:cs="Arial" w:eastAsia="Arial" w:hAnsi="Arial"/>
                <w:sz w:val="20"/>
                <w:szCs w:val="20"/>
                <w:color w:val="auto"/>
              </w:rPr>
              <w:t>Name</w:t>
            </w:r>
          </w:p>
        </w:tc>
        <w:tc>
          <w:tcPr>
            <w:tcW w:w="2680" w:type="dxa"/>
            <w:vAlign w:val="bottom"/>
            <w:gridSpan w:val="4"/>
          </w:tcPr>
          <w:p>
            <w:pPr>
              <w:ind w:left="1100"/>
              <w:spacing w:after="0" w:line="206" w:lineRule="exact"/>
              <w:rPr>
                <w:sz w:val="20"/>
                <w:szCs w:val="20"/>
                <w:color w:val="auto"/>
              </w:rPr>
            </w:pPr>
            <w:r>
              <w:rPr>
                <w:rFonts w:ascii="Arial" w:cs="Arial" w:eastAsia="Arial" w:hAnsi="Arial"/>
                <w:sz w:val="20"/>
                <w:szCs w:val="20"/>
                <w:color w:val="auto"/>
              </w:rPr>
              <w:t>Title</w:t>
            </w:r>
          </w:p>
        </w:tc>
        <w:tc>
          <w:tcPr>
            <w:tcW w:w="3340" w:type="dxa"/>
            <w:vAlign w:val="bottom"/>
            <w:gridSpan w:val="3"/>
          </w:tcPr>
          <w:p>
            <w:pPr>
              <w:ind w:left="1280"/>
              <w:spacing w:after="0" w:line="206" w:lineRule="exact"/>
              <w:rPr>
                <w:sz w:val="20"/>
                <w:szCs w:val="20"/>
                <w:color w:val="auto"/>
              </w:rPr>
            </w:pPr>
            <w:r>
              <w:rPr>
                <w:rFonts w:ascii="Arial" w:cs="Arial" w:eastAsia="Arial" w:hAnsi="Arial"/>
                <w:sz w:val="20"/>
                <w:szCs w:val="20"/>
                <w:color w:val="auto"/>
              </w:rPr>
              <w:t>Signature</w:t>
            </w:r>
          </w:p>
        </w:tc>
        <w:tc>
          <w:tcPr>
            <w:tcW w:w="1620" w:type="dxa"/>
            <w:vAlign w:val="bottom"/>
            <w:gridSpan w:val="2"/>
          </w:tcPr>
          <w:p>
            <w:pPr>
              <w:jc w:val="center"/>
              <w:spacing w:after="0" w:line="206" w:lineRule="exact"/>
              <w:rPr>
                <w:sz w:val="20"/>
                <w:szCs w:val="20"/>
                <w:color w:val="auto"/>
              </w:rPr>
            </w:pPr>
            <w:r>
              <w:rPr>
                <w:rFonts w:ascii="Arial" w:cs="Arial" w:eastAsia="Arial" w:hAnsi="Arial"/>
                <w:sz w:val="20"/>
                <w:szCs w:val="20"/>
                <w:color w:val="auto"/>
                <w:w w:val="87"/>
              </w:rPr>
              <w:t>Remove Signatories</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Vikram Jog</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color w:val="auto"/>
              </w:rPr>
              <w:t>Chief Financial Officer</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jc w:val="center"/>
              <w:ind w:right="601"/>
              <w:spacing w:after="0" w:line="201" w:lineRule="exact"/>
              <w:rPr>
                <w:sz w:val="20"/>
                <w:szCs w:val="20"/>
                <w:color w:val="auto"/>
              </w:rPr>
            </w:pPr>
            <w:r>
              <w:rPr>
                <w:rFonts w:ascii="MS PGothic" w:cs="MS PGothic" w:eastAsia="MS PGothic" w:hAnsi="MS PGothic"/>
                <w:sz w:val="20"/>
                <w:szCs w:val="20"/>
                <w:color w:val="auto"/>
                <w:w w:val="89"/>
              </w:rPr>
              <w:t>☒</w:t>
            </w:r>
          </w:p>
        </w:tc>
        <w:tc>
          <w:tcPr>
            <w:tcW w:w="0" w:type="dxa"/>
            <w:vAlign w:val="bottom"/>
          </w:tcPr>
          <w:p>
            <w:pPr>
              <w:spacing w:after="0"/>
              <w:rPr>
                <w:sz w:val="1"/>
                <w:szCs w:val="1"/>
                <w:color w:val="auto"/>
              </w:rPr>
            </w:pPr>
          </w:p>
        </w:tc>
      </w:tr>
      <w:tr>
        <w:trPr>
          <w:trHeight w:val="278"/>
        </w:trPr>
        <w:tc>
          <w:tcPr>
            <w:tcW w:w="3560" w:type="dxa"/>
            <w:vAlign w:val="bottom"/>
            <w:gridSpan w:val="4"/>
          </w:tcPr>
          <w:p>
            <w:pPr>
              <w:ind w:left="40"/>
              <w:spacing w:after="0"/>
              <w:rPr>
                <w:sz w:val="20"/>
                <w:szCs w:val="20"/>
                <w:color w:val="auto"/>
              </w:rPr>
            </w:pPr>
            <w:r>
              <w:rPr>
                <w:rFonts w:ascii="Arial" w:cs="Arial" w:eastAsia="Arial" w:hAnsi="Arial"/>
                <w:sz w:val="20"/>
                <w:szCs w:val="20"/>
                <w:color w:val="auto"/>
              </w:rPr>
              <w:t>Stephen Christopher Linthwaite</w:t>
            </w:r>
          </w:p>
        </w:tc>
        <w:tc>
          <w:tcPr>
            <w:tcW w:w="2680" w:type="dxa"/>
            <w:vAlign w:val="bottom"/>
            <w:gridSpan w:val="4"/>
          </w:tcPr>
          <w:p>
            <w:pPr>
              <w:ind w:left="20"/>
              <w:spacing w:after="0"/>
              <w:rPr>
                <w:sz w:val="20"/>
                <w:szCs w:val="20"/>
                <w:color w:val="auto"/>
              </w:rPr>
            </w:pPr>
            <w:r>
              <w:rPr>
                <w:rFonts w:ascii="Arial" w:cs="Arial" w:eastAsia="Arial" w:hAnsi="Arial"/>
                <w:sz w:val="20"/>
                <w:szCs w:val="20"/>
                <w:color w:val="auto"/>
              </w:rPr>
              <w:t>President and CEO</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jc w:val="center"/>
              <w:ind w:right="601"/>
              <w:spacing w:after="0" w:line="201" w:lineRule="exact"/>
              <w:rPr>
                <w:sz w:val="20"/>
                <w:szCs w:val="20"/>
                <w:color w:val="auto"/>
              </w:rPr>
            </w:pPr>
            <w:r>
              <w:rPr>
                <w:rFonts w:ascii="MS PGothic" w:cs="MS PGothic" w:eastAsia="MS PGothic" w:hAnsi="MS PGothic"/>
                <w:sz w:val="20"/>
                <w:szCs w:val="20"/>
                <w:color w:val="auto"/>
                <w:w w:val="89"/>
              </w:rPr>
              <w:t>☒</w:t>
            </w:r>
          </w:p>
        </w:tc>
        <w:tc>
          <w:tcPr>
            <w:tcW w:w="0" w:type="dxa"/>
            <w:vAlign w:val="bottom"/>
          </w:tcPr>
          <w:p>
            <w:pPr>
              <w:spacing w:after="0"/>
              <w:rPr>
                <w:sz w:val="1"/>
                <w:szCs w:val="1"/>
                <w:color w:val="auto"/>
              </w:rPr>
            </w:pPr>
          </w:p>
        </w:tc>
      </w:tr>
      <w:tr>
        <w:trPr>
          <w:trHeight w:val="240"/>
        </w:trPr>
        <w:tc>
          <w:tcPr>
            <w:tcW w:w="15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jc w:val="center"/>
              <w:ind w:right="601"/>
              <w:spacing w:after="0"/>
              <w:rPr>
                <w:sz w:val="20"/>
                <w:szCs w:val="20"/>
                <w:color w:val="auto"/>
              </w:rPr>
            </w:pPr>
            <w:r>
              <w:rPr>
                <w:rFonts w:ascii="Arial" w:cs="Arial" w:eastAsia="Arial" w:hAnsi="Arial"/>
                <w:sz w:val="20"/>
                <w:szCs w:val="20"/>
                <w:color w:val="auto"/>
                <w:w w:val="89"/>
              </w:rPr>
              <w:t>o</w:t>
            </w:r>
          </w:p>
        </w:tc>
        <w:tc>
          <w:tcPr>
            <w:tcW w:w="0" w:type="dxa"/>
            <w:vAlign w:val="bottom"/>
          </w:tcPr>
          <w:p>
            <w:pPr>
              <w:spacing w:after="0"/>
              <w:rPr>
                <w:sz w:val="1"/>
                <w:szCs w:val="1"/>
                <w:color w:val="auto"/>
              </w:rPr>
            </w:pPr>
          </w:p>
        </w:tc>
      </w:tr>
      <w:tr>
        <w:trPr>
          <w:trHeight w:val="23"/>
        </w:trPr>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vMerge w:val="restart"/>
          </w:tcPr>
          <w:p>
            <w:pPr>
              <w:jc w:val="center"/>
              <w:ind w:right="601"/>
              <w:spacing w:after="0"/>
              <w:rPr>
                <w:sz w:val="20"/>
                <w:szCs w:val="20"/>
                <w:color w:val="auto"/>
              </w:rPr>
            </w:pPr>
            <w:r>
              <w:rPr>
                <w:rFonts w:ascii="Arial" w:cs="Arial" w:eastAsia="Arial" w:hAnsi="Arial"/>
                <w:sz w:val="20"/>
                <w:szCs w:val="20"/>
                <w:color w:val="auto"/>
                <w:w w:val="89"/>
              </w:rPr>
              <w:t>o</w:t>
            </w:r>
          </w:p>
        </w:tc>
        <w:tc>
          <w:tcPr>
            <w:tcW w:w="0" w:type="dxa"/>
            <w:vAlign w:val="bottom"/>
          </w:tcPr>
          <w:p>
            <w:pPr>
              <w:spacing w:after="0"/>
              <w:rPr>
                <w:sz w:val="1"/>
                <w:szCs w:val="1"/>
                <w:color w:val="auto"/>
              </w:rPr>
            </w:pPr>
          </w:p>
        </w:tc>
      </w:tr>
      <w:tr>
        <w:trPr>
          <w:trHeight w:val="24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16" w:name="page17"/>
    <w:bookmarkEnd w:id="16"/>
    <w:p>
      <w:pPr>
        <w:ind w:left="340"/>
        <w:spacing w:after="0" w:line="293"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w:t>
      </w:r>
      <w:r>
        <w:rPr>
          <w:rFonts w:ascii="Arial" w:cs="Arial" w:eastAsia="Arial" w:hAnsi="Arial"/>
          <w:sz w:val="19"/>
          <w:szCs w:val="19"/>
          <w:b w:val="1"/>
          <w:bCs w:val="1"/>
          <w:color w:val="auto"/>
        </w:rPr>
        <w:t xml:space="preserve"> any one </w:t>
      </w:r>
      <w:r>
        <w:rPr>
          <w:rFonts w:ascii="Arial" w:cs="Arial" w:eastAsia="Arial" w:hAnsi="Arial"/>
          <w:sz w:val="19"/>
          <w:szCs w:val="19"/>
          <w:color w:val="auto"/>
        </w:rPr>
        <w:t>of the persons designated above with a checked box beside his or her name may,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add or remove any individuals to and from the above list of persons authorized to act on behalf of Borrower.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RESOLVED FURTHER, </w:t>
      </w:r>
      <w:r>
        <w:rPr>
          <w:rFonts w:ascii="Arial" w:cs="Arial" w:eastAsia="Arial" w:hAnsi="Arial"/>
          <w:sz w:val="20"/>
          <w:szCs w:val="20"/>
          <w:color w:val="auto"/>
        </w:rPr>
        <w:t>that such individuals may, on behalf of Borrower: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Borrow Money</w:t>
      </w:r>
      <w:r>
        <w:rPr>
          <w:rFonts w:ascii="Arial" w:cs="Arial" w:eastAsia="Arial" w:hAnsi="Arial"/>
          <w:sz w:val="20"/>
          <w:szCs w:val="20"/>
          <w:color w:val="auto"/>
        </w:rPr>
        <w:t>. Borrow money from Bank.</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Execute Loan Documents</w:t>
      </w:r>
      <w:r>
        <w:rPr>
          <w:rFonts w:ascii="Arial" w:cs="Arial" w:eastAsia="Arial" w:hAnsi="Arial"/>
          <w:sz w:val="20"/>
          <w:szCs w:val="20"/>
          <w:color w:val="auto"/>
        </w:rPr>
        <w:t>. Execute any loan documents Bank requires.</w:t>
      </w:r>
    </w:p>
    <w:p>
      <w:pPr>
        <w:ind w:left="660"/>
        <w:spacing w:after="0"/>
        <w:rPr>
          <w:sz w:val="20"/>
          <w:szCs w:val="20"/>
          <w:color w:val="auto"/>
        </w:rPr>
      </w:pPr>
      <w:r>
        <w:rPr>
          <w:rFonts w:ascii="Arial" w:cs="Arial" w:eastAsia="Arial" w:hAnsi="Arial"/>
          <w:sz w:val="20"/>
          <w:szCs w:val="20"/>
          <w:b w:val="1"/>
          <w:bCs w:val="1"/>
          <w:color w:val="auto"/>
        </w:rPr>
        <w:t>Grant Security</w:t>
      </w:r>
      <w:r>
        <w:rPr>
          <w:rFonts w:ascii="Arial" w:cs="Arial" w:eastAsia="Arial" w:hAnsi="Arial"/>
          <w:sz w:val="20"/>
          <w:szCs w:val="20"/>
          <w:color w:val="auto"/>
        </w:rPr>
        <w:t>. Grant Bank a security interest in any of Borrower’s assets.</w:t>
      </w:r>
    </w:p>
    <w:p>
      <w:pPr>
        <w:ind w:left="660"/>
        <w:spacing w:after="0" w:line="239" w:lineRule="auto"/>
        <w:rPr>
          <w:sz w:val="20"/>
          <w:szCs w:val="20"/>
          <w:color w:val="auto"/>
        </w:rPr>
      </w:pPr>
      <w:r>
        <w:rPr>
          <w:rFonts w:ascii="Arial" w:cs="Arial" w:eastAsia="Arial" w:hAnsi="Arial"/>
          <w:sz w:val="20"/>
          <w:szCs w:val="20"/>
          <w:b w:val="1"/>
          <w:bCs w:val="1"/>
          <w:color w:val="auto"/>
        </w:rPr>
        <w:t>Negotiate Items</w:t>
      </w:r>
      <w:r>
        <w:rPr>
          <w:rFonts w:ascii="Arial" w:cs="Arial" w:eastAsia="Arial" w:hAnsi="Arial"/>
          <w:sz w:val="20"/>
          <w:szCs w:val="20"/>
          <w:color w:val="auto"/>
        </w:rPr>
        <w:t>. Negotiate or discount all drafts, trade acceptances, promissory notes, or other indebtedness in which Borrower has</w:t>
      </w:r>
      <w:r>
        <w:rPr>
          <w:rFonts w:ascii="Arial" w:cs="Arial" w:eastAsia="Arial" w:hAnsi="Arial"/>
          <w:sz w:val="20"/>
          <w:szCs w:val="20"/>
          <w:b w:val="1"/>
          <w:bCs w:val="1"/>
          <w:color w:val="auto"/>
        </w:rPr>
        <w:t xml:space="preserve"> </w:t>
      </w:r>
      <w:r>
        <w:rPr>
          <w:rFonts w:ascii="Arial" w:cs="Arial" w:eastAsia="Arial" w:hAnsi="Arial"/>
          <w:sz w:val="20"/>
          <w:szCs w:val="20"/>
          <w:color w:val="auto"/>
        </w:rPr>
        <w:t>an interest and receive cash or otherwise use the proceeds.</w:t>
      </w:r>
    </w:p>
    <w:p>
      <w:pPr>
        <w:ind w:left="660"/>
        <w:spacing w:after="0"/>
        <w:rPr>
          <w:sz w:val="20"/>
          <w:szCs w:val="20"/>
          <w:color w:val="auto"/>
        </w:rPr>
      </w:pPr>
      <w:r>
        <w:rPr>
          <w:rFonts w:ascii="Arial" w:cs="Arial" w:eastAsia="Arial" w:hAnsi="Arial"/>
          <w:sz w:val="20"/>
          <w:szCs w:val="20"/>
          <w:b w:val="1"/>
          <w:bCs w:val="1"/>
          <w:color w:val="auto"/>
        </w:rPr>
        <w:t>Apply for Letters of Credit</w:t>
      </w:r>
      <w:r>
        <w:rPr>
          <w:rFonts w:ascii="Arial" w:cs="Arial" w:eastAsia="Arial" w:hAnsi="Arial"/>
          <w:sz w:val="20"/>
          <w:szCs w:val="20"/>
          <w:color w:val="auto"/>
        </w:rPr>
        <w:t>. Apply for letters of credit from Bank.</w:t>
      </w:r>
    </w:p>
    <w:p>
      <w:pPr>
        <w:ind w:left="660"/>
        <w:spacing w:after="0" w:line="239" w:lineRule="auto"/>
        <w:rPr>
          <w:sz w:val="20"/>
          <w:szCs w:val="20"/>
          <w:color w:val="auto"/>
        </w:rPr>
      </w:pPr>
      <w:r>
        <w:rPr>
          <w:rFonts w:ascii="Arial" w:cs="Arial" w:eastAsia="Arial" w:hAnsi="Arial"/>
          <w:sz w:val="20"/>
          <w:szCs w:val="20"/>
          <w:b w:val="1"/>
          <w:bCs w:val="1"/>
          <w:color w:val="auto"/>
        </w:rPr>
        <w:t>Enter Derivative Transactions</w:t>
      </w:r>
      <w:r>
        <w:rPr>
          <w:rFonts w:ascii="Arial" w:cs="Arial" w:eastAsia="Arial" w:hAnsi="Arial"/>
          <w:sz w:val="20"/>
          <w:szCs w:val="20"/>
          <w:color w:val="auto"/>
        </w:rPr>
        <w:t>. Execute spot or forward foreign exchange contracts, interest rate swap agreements,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derivative transactions.</w:t>
      </w:r>
    </w:p>
    <w:p>
      <w:pPr>
        <w:spacing w:after="0" w:line="1" w:lineRule="exact"/>
        <w:rPr>
          <w:sz w:val="20"/>
          <w:szCs w:val="20"/>
          <w:color w:val="auto"/>
        </w:rPr>
      </w:pPr>
    </w:p>
    <w:p>
      <w:pPr>
        <w:jc w:val="both"/>
        <w:ind w:left="660"/>
        <w:spacing w:after="0" w:line="297" w:lineRule="auto"/>
        <w:rPr>
          <w:sz w:val="20"/>
          <w:szCs w:val="20"/>
          <w:color w:val="auto"/>
        </w:rPr>
      </w:pPr>
      <w:r>
        <w:rPr>
          <w:rFonts w:ascii="Arial" w:cs="Arial" w:eastAsia="Arial" w:hAnsi="Arial"/>
          <w:sz w:val="18"/>
          <w:szCs w:val="18"/>
          <w:b w:val="1"/>
          <w:bCs w:val="1"/>
          <w:color w:val="auto"/>
        </w:rPr>
        <w:t>Further Acts</w:t>
      </w:r>
      <w:r>
        <w:rPr>
          <w:rFonts w:ascii="Arial" w:cs="Arial" w:eastAsia="Arial" w:hAnsi="Arial"/>
          <w:sz w:val="18"/>
          <w:szCs w:val="18"/>
          <w:color w:val="auto"/>
        </w:rPr>
        <w:t>. Designate other individuals to request advances, pay fees and costs and execute other documents 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documents or agreement that waive Borrower’s right to a jury trial) they believe to be necessary to effect these resolutions.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RESOLVED FURTHER, </w:t>
      </w:r>
      <w:r>
        <w:rPr>
          <w:rFonts w:ascii="Arial" w:cs="Arial" w:eastAsia="Arial" w:hAnsi="Arial"/>
          <w:sz w:val="20"/>
          <w:szCs w:val="20"/>
          <w:color w:val="auto"/>
        </w:rPr>
        <w:t>that all acts authorized by the above resolutions and any prior acts relating thereto are ratified.</w:t>
      </w: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The persons listed above are Borrower's officers or employees with their titles and signatures shown next to their names.</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628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9"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0"/>
          <w:szCs w:val="20"/>
          <w:color w:val="auto"/>
        </w:rPr>
        <w:t>Name:</w:t>
        <w:tab/>
        <w:t>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-14605</wp:posOffset>
            </wp:positionV>
            <wp:extent cx="1082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209"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0"/>
          <w:szCs w:val="20"/>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-14605</wp:posOffset>
            </wp:positionV>
            <wp:extent cx="1546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firstLine="656"/>
        <w:spacing w:after="0" w:line="250" w:lineRule="auto"/>
        <w:tabs>
          <w:tab w:leader="none" w:pos="1021"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the President and CEO of Borrower, hereby certify as to paragraphs 1 through 5 above, as of the date set forth above.</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628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9"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0"/>
          <w:szCs w:val="20"/>
          <w:color w:val="auto"/>
        </w:rPr>
        <w:t>Name:</w:t>
        <w:tab/>
        <w:t>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-14605</wp:posOffset>
            </wp:positionV>
            <wp:extent cx="185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6105" cy="8890"/>
                    </a:xfrm>
                    <a:prstGeom prst="rect">
                      <a:avLst/>
                    </a:prstGeom>
                    <a:noFill/>
                  </pic:spPr>
                </pic:pic>
              </a:graphicData>
            </a:graphic>
          </wp:anchor>
        </w:drawing>
      </w:r>
    </w:p>
    <w:p>
      <w:pPr>
        <w:spacing w:after="0" w:line="209"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0"/>
          <w:szCs w:val="20"/>
          <w:color w:val="auto"/>
        </w:rPr>
        <w:t>Title:</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-14605</wp:posOffset>
            </wp:positionV>
            <wp:extent cx="1339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sectPr>
      <w:pgSz w:w="11900" w:h="16838" w:orient="portrait"/>
      <w:cols w:equalWidth="0" w:num="1">
        <w:col w:w="11240"/>
      </w:cols>
      <w:pgMar w:left="320" w:top="5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5"/>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upperLetter"/>
      <w:start w:val="9"/>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2020-04-22T15:59:16Z</dcterms:created>
  <dcterms:modified xsi:type="dcterms:W3CDTF">2020-04-22T15:59:16Z</dcterms:modified>
</cp:coreProperties>
</file>