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220" w:hanging="212"/>
        <w:spacing w:after="0"/>
        <w:tabs>
          <w:tab w:leader="none" w:pos="2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9" w:lineRule="exact"/>
        <w:rPr>
          <w:rFonts w:ascii="MS PGothic" w:cs="MS PGothic" w:eastAsia="MS PGothic" w:hAnsi="MS PGothic"/>
          <w:sz w:val="19"/>
          <w:szCs w:val="19"/>
          <w:color w:val="auto"/>
        </w:rPr>
      </w:pPr>
    </w:p>
    <w:p>
      <w:pPr>
        <w:ind w:left="366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For the quarterly period ended March 31, 2020</w:t>
      </w:r>
    </w:p>
    <w:p>
      <w:pPr>
        <w:jc w:val="center"/>
        <w:ind w:right="-39"/>
        <w:spacing w:after="0" w:line="232" w:lineRule="auto"/>
        <w:rPr>
          <w:sz w:val="20"/>
          <w:szCs w:val="20"/>
          <w:color w:val="auto"/>
        </w:rPr>
      </w:pPr>
      <w:r>
        <w:rPr>
          <w:rFonts w:ascii="Arial" w:cs="Arial" w:eastAsia="Arial" w:hAnsi="Arial"/>
          <w:sz w:val="22"/>
          <w:szCs w:val="22"/>
          <w:b w:val="1"/>
          <w:bCs w:val="1"/>
          <w:color w:val="auto"/>
        </w:rPr>
        <w:t>or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00"/>
          </w:cols>
          <w:pgMar w:left="320" w:top="828" w:right="379" w:bottom="1440" w:gutter="0" w:footer="0" w:header="0"/>
        </w:sectPr>
      </w:pPr>
    </w:p>
    <w:p>
      <w:pPr>
        <w:spacing w:after="0" w:line="34" w:lineRule="exact"/>
        <w:rPr>
          <w:sz w:val="24"/>
          <w:szCs w:val="24"/>
          <w:color w:val="auto"/>
        </w:rPr>
      </w:pPr>
    </w:p>
    <w:p>
      <w:pPr>
        <w:ind w:left="376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28" w:lineRule="exact"/>
        <w:rPr>
          <w:sz w:val="24"/>
          <w:szCs w:val="24"/>
          <w:color w:val="auto"/>
        </w:rPr>
      </w:pPr>
    </w:p>
    <w:p>
      <w:pPr>
        <w:sectPr>
          <w:pgSz w:w="11900" w:h="16838" w:orient="portrait"/>
          <w:cols w:equalWidth="0" w:num="2">
            <w:col w:w="6580" w:space="720"/>
            <w:col w:w="3900"/>
          </w:cols>
          <w:pgMar w:left="320" w:top="828" w:right="379" w:bottom="1440" w:gutter="0" w:footer="0" w:header="0"/>
          <w:type w:val="continuous"/>
        </w:sectPr>
      </w:pPr>
    </w:p>
    <w:p>
      <w:pPr>
        <w:ind w:left="4000"/>
        <w:spacing w:after="0"/>
        <w:rPr>
          <w:sz w:val="20"/>
          <w:szCs w:val="20"/>
          <w:color w:val="auto"/>
        </w:rPr>
      </w:pPr>
      <w:r>
        <w:rPr>
          <w:rFonts w:ascii="Arial" w:cs="Arial" w:eastAsia="Arial" w:hAnsi="Arial"/>
          <w:sz w:val="12"/>
          <w:szCs w:val="12"/>
          <w:color w:val="auto"/>
        </w:rPr>
        <w:t>_____________________________________________</w:t>
      </w:r>
    </w:p>
    <w:p>
      <w:pPr>
        <w:sectPr>
          <w:pgSz w:w="11900" w:h="16838" w:orient="portrait"/>
          <w:cols w:equalWidth="0" w:num="1">
            <w:col w:w="11200"/>
          </w:cols>
          <w:pgMar w:left="320" w:top="828" w:right="37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20" w:top="828" w:right="379" w:bottom="1440" w:gutter="0" w:footer="0" w:header="0"/>
          <w:type w:val="continuous"/>
        </w:sectPr>
      </w:pPr>
    </w:p>
    <w:p>
      <w:pPr>
        <w:spacing w:after="0" w:line="151" w:lineRule="exact"/>
        <w:rPr>
          <w:sz w:val="24"/>
          <w:szCs w:val="24"/>
          <w:color w:val="auto"/>
        </w:rPr>
      </w:pPr>
    </w:p>
    <w:p>
      <w:pPr>
        <w:ind w:left="2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95" w:lineRule="exact"/>
        <w:rPr>
          <w:sz w:val="24"/>
          <w:szCs w:val="24"/>
          <w:color w:val="auto"/>
        </w:rPr>
      </w:pPr>
    </w:p>
    <w:p>
      <w:pPr>
        <w:sectPr>
          <w:pgSz w:w="11900" w:h="16838" w:orient="portrait"/>
          <w:cols w:equalWidth="0" w:num="2">
            <w:col w:w="7180" w:space="720"/>
            <w:col w:w="3300"/>
          </w:cols>
          <w:pgMar w:left="320" w:top="828" w:right="379" w:bottom="1440" w:gutter="0" w:footer="0" w:header="0"/>
          <w:type w:val="continuous"/>
        </w:sectPr>
      </w:pPr>
    </w:p>
    <w:p>
      <w:pPr>
        <w:ind w:left="108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500" w:space="720"/>
            <w:col w:w="3980"/>
          </w:cols>
          <w:pgMar w:left="320" w:top="828" w:right="379" w:bottom="1440" w:gutter="0" w:footer="0" w:header="0"/>
          <w:type w:val="continuous"/>
        </w:sectPr>
      </w:pPr>
    </w:p>
    <w:p>
      <w:pPr>
        <w:spacing w:after="0" w:line="92"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2 Tower Place, Ste 2000</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South San Francisco,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2640"/>
        <w:spacing w:after="0"/>
        <w:rPr>
          <w:sz w:val="20"/>
          <w:szCs w:val="20"/>
          <w:color w:val="auto"/>
        </w:rPr>
      </w:pPr>
      <w:r>
        <w:rPr>
          <w:rFonts w:ascii="Arial" w:cs="Arial" w:eastAsia="Arial" w:hAnsi="Arial"/>
          <w:sz w:val="15"/>
          <w:szCs w:val="15"/>
          <w:b w:val="1"/>
          <w:bCs w:val="1"/>
          <w:color w:val="auto"/>
        </w:rPr>
        <w:t>94080</w:t>
      </w:r>
    </w:p>
    <w:p>
      <w:pPr>
        <w:spacing w:after="0" w:line="119" w:lineRule="exact"/>
        <w:rPr>
          <w:sz w:val="24"/>
          <w:szCs w:val="24"/>
          <w:color w:val="auto"/>
        </w:rPr>
      </w:pPr>
    </w:p>
    <w:p>
      <w:pPr>
        <w:sectPr>
          <w:pgSz w:w="11900" w:h="16838" w:orient="portrait"/>
          <w:cols w:equalWidth="0" w:num="4">
            <w:col w:w="2580" w:space="580"/>
            <w:col w:w="1620" w:space="260"/>
            <w:col w:w="2360" w:space="720"/>
            <w:col w:w="3080"/>
          </w:cols>
          <w:pgMar w:left="320" w:top="828" w:right="379" w:bottom="1440" w:gutter="0" w:footer="0" w:header="0"/>
          <w:type w:val="continuous"/>
        </w:sectPr>
      </w:pPr>
    </w:p>
    <w:p>
      <w:pPr>
        <w:ind w:left="17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14" w:lineRule="exact"/>
        <w:rPr>
          <w:sz w:val="24"/>
          <w:szCs w:val="24"/>
          <w:color w:val="auto"/>
        </w:rPr>
      </w:pPr>
    </w:p>
    <w:p>
      <w:pPr>
        <w:sectPr>
          <w:pgSz w:w="11900" w:h="16838" w:orient="portrait"/>
          <w:cols w:equalWidth="0" w:num="2">
            <w:col w:w="7320" w:space="720"/>
            <w:col w:w="3160"/>
          </w:cols>
          <w:pgMar w:left="320" w:top="828"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266-6000</w:t>
      </w:r>
    </w:p>
    <w:p>
      <w:pPr>
        <w:spacing w:after="0" w:line="4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828" w:right="379" w:bottom="1440" w:gutter="0" w:footer="0" w:header="0"/>
          <w:type w:val="continuous"/>
        </w:sectPr>
      </w:pPr>
    </w:p>
    <w:p>
      <w:pPr>
        <w:spacing w:after="0" w:line="151" w:lineRule="exact"/>
        <w:rPr>
          <w:sz w:val="24"/>
          <w:szCs w:val="24"/>
          <w:color w:val="auto"/>
        </w:rPr>
      </w:pPr>
    </w:p>
    <w:p>
      <w:pPr>
        <w:ind w:left="170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64" w:lineRule="exact"/>
        <w:rPr>
          <w:sz w:val="24"/>
          <w:szCs w:val="24"/>
          <w:color w:val="auto"/>
        </w:rPr>
      </w:pPr>
    </w:p>
    <w:p>
      <w:pPr>
        <w:sectPr>
          <w:pgSz w:w="11900" w:h="16838" w:orient="portrait"/>
          <w:cols w:equalWidth="0" w:num="3">
            <w:col w:w="4220" w:space="720"/>
            <w:col w:w="1860" w:space="720"/>
            <w:col w:w="3680"/>
          </w:cols>
          <w:pgMar w:left="320" w:top="828" w:right="37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22" w:lineRule="exact"/>
        <w:rPr>
          <w:sz w:val="24"/>
          <w:szCs w:val="24"/>
          <w:color w:val="auto"/>
        </w:rPr>
      </w:pPr>
    </w:p>
    <w:p>
      <w:pPr>
        <w:sectPr>
          <w:pgSz w:w="11900" w:h="16838" w:orient="portrait"/>
          <w:cols w:equalWidth="0" w:num="3">
            <w:col w:w="4500" w:space="720"/>
            <w:col w:w="1540" w:space="720"/>
            <w:col w:w="3720"/>
          </w:cols>
          <w:pgMar w:left="320" w:top="828" w:right="379" w:bottom="1440" w:gutter="0" w:footer="0" w:header="0"/>
          <w:type w:val="continuous"/>
        </w:sectPr>
      </w:pPr>
    </w:p>
    <w:p>
      <w:pPr>
        <w:spacing w:after="0" w:line="11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6"/>
          <w:szCs w:val="16"/>
          <w:color w:val="auto"/>
        </w:rPr>
        <w:t>ct.</w:t>
      </w:r>
    </w:p>
    <w:p>
      <w:pPr>
        <w:spacing w:after="0" w:line="259" w:lineRule="exact"/>
        <w:rPr>
          <w:sz w:val="24"/>
          <w:szCs w:val="24"/>
          <w:color w:val="auto"/>
        </w:rPr>
      </w:pPr>
    </w:p>
    <w:tbl>
      <w:tblPr>
        <w:tblLayout w:type="fixed"/>
        <w:tblInd w:w="122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6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tabs>
          <w:tab w:leader="none" w:pos="7900" w:val="left"/>
          <w:tab w:leader="none" w:pos="8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30, 2020, there were 70,706,062 shares of the registrant’s common stock, $0.001 par value per share, outstanding.</w:t>
      </w:r>
    </w:p>
    <w:p>
      <w:pPr>
        <w:sectPr>
          <w:pgSz w:w="11900" w:h="16838" w:orient="portrait"/>
          <w:cols w:equalWidth="0" w:num="1">
            <w:col w:w="11200"/>
          </w:cols>
          <w:pgMar w:left="320" w:top="828" w:right="3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Page</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40" w:type="dxa"/>
            <w:vAlign w:val="bottom"/>
            <w:gridSpan w:val="7"/>
          </w:tcPr>
          <w:p>
            <w:pPr>
              <w:jc w:val="center"/>
              <w:ind w:right="3380"/>
              <w:spacing w:after="0" w:line="202" w:lineRule="exact"/>
              <w:rPr>
                <w:sz w:val="20"/>
                <w:szCs w:val="20"/>
                <w:color w:val="auto"/>
              </w:rPr>
            </w:pPr>
            <w:r>
              <w:rPr>
                <w:rFonts w:ascii="Arial" w:cs="Arial" w:eastAsia="Arial" w:hAnsi="Arial"/>
                <w:sz w:val="18"/>
                <w:szCs w:val="18"/>
                <w:color w:val="0000FF"/>
              </w:rPr>
              <w:t>FINANCIAL INFORMATION</w:t>
            </w:r>
          </w:p>
        </w:tc>
        <w:tc>
          <w:tcPr>
            <w:tcW w:w="1220" w:type="dxa"/>
            <w:vAlign w:val="bottom"/>
          </w:tcPr>
          <w:p>
            <w:pPr>
              <w:spacing w:after="0"/>
              <w:rPr>
                <w:sz w:val="17"/>
                <w:szCs w:val="17"/>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3340" w:type="dxa"/>
            <w:vAlign w:val="bottom"/>
            <w:gridSpan w:val="9"/>
          </w:tcPr>
          <w:p>
            <w:pPr>
              <w:spacing w:after="0"/>
              <w:rPr>
                <w:sz w:val="20"/>
                <w:szCs w:val="20"/>
                <w:color w:val="auto"/>
              </w:rPr>
            </w:pPr>
            <w:r>
              <w:rPr>
                <w:rFonts w:ascii="Arial" w:cs="Arial" w:eastAsia="Arial" w:hAnsi="Arial"/>
                <w:sz w:val="18"/>
                <w:szCs w:val="18"/>
                <w:color w:val="0000EE"/>
              </w:rPr>
              <w:t>Financial Statements (Unaudited)</w:t>
            </w:r>
          </w:p>
        </w:tc>
        <w:tc>
          <w:tcPr>
            <w:tcW w:w="2260" w:type="dxa"/>
            <w:vAlign w:val="bottom"/>
            <w:tcBorders>
              <w:top w:val="single" w:sz="8" w:color="0000FF"/>
            </w:tcBorders>
            <w:gridSpan w:val="5"/>
          </w:tcPr>
          <w:p>
            <w:pPr>
              <w:spacing w:after="0"/>
              <w:rPr>
                <w:sz w:val="24"/>
                <w:szCs w:val="24"/>
                <w:color w:val="auto"/>
              </w:rPr>
            </w:pPr>
          </w:p>
        </w:tc>
        <w:tc>
          <w:tcPr>
            <w:tcW w:w="3380" w:type="dxa"/>
            <w:vAlign w:val="bottom"/>
            <w:gridSpan w:val="2"/>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8980" w:type="dxa"/>
            <w:vAlign w:val="bottom"/>
            <w:gridSpan w:val="16"/>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as of March 31, 2020 and December 31, 2019</w:t>
              </w:r>
            </w:hyperlink>
          </w:p>
        </w:tc>
        <w:tc>
          <w:tcPr>
            <w:tcW w:w="122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392"/>
        </w:trPr>
        <w:tc>
          <w:tcPr>
            <w:tcW w:w="1000" w:type="dxa"/>
            <w:vAlign w:val="bottom"/>
          </w:tcPr>
          <w:p>
            <w:pPr>
              <w:spacing w:after="0"/>
              <w:rPr>
                <w:sz w:val="24"/>
                <w:szCs w:val="24"/>
                <w:color w:val="auto"/>
              </w:rPr>
            </w:pPr>
          </w:p>
        </w:tc>
        <w:tc>
          <w:tcPr>
            <w:tcW w:w="8980" w:type="dxa"/>
            <w:vAlign w:val="bottom"/>
            <w:gridSpan w:val="16"/>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Statements of Operations for the three months ended March 31, 2020 and 2019</w:t>
              </w:r>
            </w:hyperlink>
          </w:p>
        </w:tc>
        <w:tc>
          <w:tcPr>
            <w:tcW w:w="12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392"/>
        </w:trPr>
        <w:tc>
          <w:tcPr>
            <w:tcW w:w="1000" w:type="dxa"/>
            <w:vAlign w:val="bottom"/>
          </w:tcPr>
          <w:p>
            <w:pPr>
              <w:spacing w:after="0"/>
              <w:rPr>
                <w:sz w:val="24"/>
                <w:szCs w:val="24"/>
                <w:color w:val="auto"/>
              </w:rPr>
            </w:pPr>
          </w:p>
        </w:tc>
        <w:tc>
          <w:tcPr>
            <w:tcW w:w="8980" w:type="dxa"/>
            <w:vAlign w:val="bottom"/>
            <w:gridSpan w:val="16"/>
          </w:tcPr>
          <w:p>
            <w:pPr>
              <w:spacing w:after="0"/>
              <w:rPr>
                <w:rFonts w:ascii="Arial" w:cs="Arial" w:eastAsia="Arial" w:hAnsi="Arial"/>
                <w:sz w:val="18"/>
                <w:szCs w:val="18"/>
                <w:u w:val="single" w:color="auto"/>
                <w:color w:val="0000EE"/>
                <w:w w:val="97"/>
              </w:rPr>
            </w:pPr>
            <w:hyperlink w:anchor="page41">
              <w:r>
                <w:rPr>
                  <w:rFonts w:ascii="Arial" w:cs="Arial" w:eastAsia="Arial" w:hAnsi="Arial"/>
                  <w:sz w:val="18"/>
                  <w:szCs w:val="18"/>
                  <w:u w:val="single" w:color="auto"/>
                  <w:color w:val="0000EE"/>
                  <w:w w:val="97"/>
                </w:rPr>
                <w:t>Condensed Consolidated Statements of Comprehensive Loss for the three months ended March 31, 2020 and 2019</w:t>
              </w:r>
            </w:hyperlink>
          </w:p>
        </w:tc>
        <w:tc>
          <w:tcPr>
            <w:tcW w:w="12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391"/>
        </w:trPr>
        <w:tc>
          <w:tcPr>
            <w:tcW w:w="1000" w:type="dxa"/>
            <w:vAlign w:val="bottom"/>
          </w:tcPr>
          <w:p>
            <w:pPr>
              <w:spacing w:after="0"/>
              <w:rPr>
                <w:sz w:val="24"/>
                <w:szCs w:val="24"/>
                <w:color w:val="auto"/>
              </w:rPr>
            </w:pPr>
          </w:p>
        </w:tc>
        <w:tc>
          <w:tcPr>
            <w:tcW w:w="8980" w:type="dxa"/>
            <w:vAlign w:val="bottom"/>
            <w:gridSpan w:val="1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Stockholders' Equity for the three months March 31, 2020 and 2019</w:t>
              </w:r>
            </w:hyperlink>
          </w:p>
        </w:tc>
        <w:tc>
          <w:tcPr>
            <w:tcW w:w="12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405"/>
        </w:trPr>
        <w:tc>
          <w:tcPr>
            <w:tcW w:w="1000" w:type="dxa"/>
            <w:vAlign w:val="bottom"/>
          </w:tcPr>
          <w:p>
            <w:pPr>
              <w:spacing w:after="0"/>
              <w:rPr>
                <w:sz w:val="24"/>
                <w:szCs w:val="24"/>
                <w:color w:val="auto"/>
              </w:rPr>
            </w:pPr>
          </w:p>
        </w:tc>
        <w:tc>
          <w:tcPr>
            <w:tcW w:w="8980" w:type="dxa"/>
            <w:vAlign w:val="bottom"/>
            <w:gridSpan w:val="16"/>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Statements of Cash Flows for the three months ended March 31, 2020 and 2019</w:t>
              </w:r>
            </w:hyperlink>
          </w:p>
        </w:tc>
        <w:tc>
          <w:tcPr>
            <w:tcW w:w="12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351"/>
        </w:trPr>
        <w:tc>
          <w:tcPr>
            <w:tcW w:w="1000" w:type="dxa"/>
            <w:vAlign w:val="bottom"/>
          </w:tcPr>
          <w:p>
            <w:pPr>
              <w:spacing w:after="0"/>
              <w:rPr>
                <w:sz w:val="24"/>
                <w:szCs w:val="24"/>
                <w:color w:val="auto"/>
              </w:rPr>
            </w:pPr>
          </w:p>
        </w:tc>
        <w:tc>
          <w:tcPr>
            <w:tcW w:w="8980" w:type="dxa"/>
            <w:vAlign w:val="bottom"/>
            <w:gridSpan w:val="16"/>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12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2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520" w:type="dxa"/>
            <w:vAlign w:val="bottom"/>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37</w:t>
              </w:r>
            </w:hyperlink>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620" w:type="dxa"/>
            <w:vAlign w:val="bottom"/>
            <w:gridSpan w:val="4"/>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6"/>
              </w:rPr>
              <w:t>OTHER INFORMATION</w:t>
            </w:r>
          </w:p>
        </w:tc>
        <w:tc>
          <w:tcPr>
            <w:tcW w:w="356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122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EE"/>
            </w:tcBorders>
            <w:gridSpan w:val="4"/>
          </w:tcPr>
          <w:p>
            <w:pPr>
              <w:spacing w:after="0"/>
              <w:rPr>
                <w:sz w:val="20"/>
                <w:szCs w:val="20"/>
                <w:color w:val="auto"/>
              </w:rPr>
            </w:pPr>
            <w:r>
              <w:rPr>
                <w:rFonts w:ascii="Arial" w:cs="Arial" w:eastAsia="Arial" w:hAnsi="Arial"/>
                <w:sz w:val="18"/>
                <w:szCs w:val="18"/>
                <w:color w:val="0000EE"/>
                <w:w w:val="89"/>
              </w:rPr>
              <w:t>Risk Factors</w:t>
            </w:r>
          </w:p>
        </w:tc>
        <w:tc>
          <w:tcPr>
            <w:tcW w:w="420" w:type="dxa"/>
            <w:vAlign w:val="bottom"/>
            <w:tcBorders>
              <w:top w:val="single" w:sz="8" w:color="0000FF"/>
            </w:tcBorders>
            <w:gridSpan w:val="2"/>
          </w:tcPr>
          <w:p>
            <w:pPr>
              <w:spacing w:after="0"/>
              <w:rPr>
                <w:sz w:val="24"/>
                <w:szCs w:val="24"/>
                <w:color w:val="auto"/>
              </w:rPr>
            </w:pPr>
          </w:p>
        </w:tc>
        <w:tc>
          <w:tcPr>
            <w:tcW w:w="7640" w:type="dxa"/>
            <w:vAlign w:val="bottom"/>
            <w:gridSpan w:val="10"/>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980" w:type="dxa"/>
            <w:vAlign w:val="bottom"/>
            <w:gridSpan w:val="16"/>
          </w:tcPr>
          <w:p>
            <w:pPr>
              <w:spacing w:after="0"/>
              <w:rPr>
                <w:sz w:val="20"/>
                <w:szCs w:val="20"/>
                <w:color w:val="auto"/>
              </w:rPr>
            </w:pPr>
            <w:r>
              <w:rPr>
                <w:rFonts w:ascii="Arial" w:cs="Arial" w:eastAsia="Arial" w:hAnsi="Arial"/>
                <w:sz w:val="18"/>
                <w:szCs w:val="18"/>
                <w:color w:val="0000EE"/>
              </w:rPr>
              <w:t>Other Information</w:t>
            </w:r>
          </w:p>
        </w:tc>
        <w:tc>
          <w:tcPr>
            <w:tcW w:w="122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61</w:t>
              </w:r>
            </w:hyperlink>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FF"/>
              </w:rPr>
              <w:t>Exhibits</w:t>
            </w:r>
          </w:p>
        </w:tc>
        <w:tc>
          <w:tcPr>
            <w:tcW w:w="7660" w:type="dxa"/>
            <w:vAlign w:val="bottom"/>
            <w:gridSpan w:val="11"/>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380" w:type="dxa"/>
            <w:vAlign w:val="bottom"/>
            <w:gridSpan w:val="1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2"/>
        </w:trPr>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SIGNATURES</w:t>
            </w:r>
          </w:p>
        </w:tc>
        <w:tc>
          <w:tcPr>
            <w:tcW w:w="8880" w:type="dxa"/>
            <w:vAlign w:val="bottom"/>
            <w:gridSpan w:val="15"/>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r>
      <w:tr>
        <w:trPr>
          <w:trHeight w:val="371"/>
        </w:trPr>
        <w:tc>
          <w:tcPr>
            <w:tcW w:w="11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EXHIBIT LIST</w:t>
            </w:r>
          </w:p>
        </w:tc>
        <w:tc>
          <w:tcPr>
            <w:tcW w:w="8840" w:type="dxa"/>
            <w:vAlign w:val="bottom"/>
            <w:gridSpan w:val="14"/>
          </w:tcPr>
          <w:p>
            <w:pPr>
              <w:spacing w:after="0"/>
              <w:rPr>
                <w:sz w:val="24"/>
                <w:szCs w:val="24"/>
                <w:color w:val="auto"/>
              </w:rPr>
            </w:pPr>
          </w:p>
        </w:tc>
        <w:tc>
          <w:tcPr>
            <w:tcW w:w="122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60" w:top="71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21,661</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36,978</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Accounts receivable (net of allowances of $104 and $6, at March 31, 2020 and December 31, 2019,</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18,981</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13,884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4,592</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96,096</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8,056</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Operating lease right-of-use asset, net</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39,499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4,860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5,492</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48,612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46,200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104,108</w:t>
            </w:r>
          </w:p>
        </w:tc>
      </w:tr>
      <w:tr>
        <w:trPr>
          <w:trHeight w:val="297"/>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290,219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264,812</w:t>
            </w:r>
          </w:p>
        </w:tc>
      </w:tr>
      <w:tr>
        <w:trPr>
          <w:trHeight w:val="23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6,510</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5,160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7,515</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11,803</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32,821</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53,821</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10,929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11,494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4,323</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8,168</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111,200</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 either</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2020 or December 31, 2019</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380"/>
              <w:spacing w:after="0"/>
              <w:rPr>
                <w:sz w:val="20"/>
                <w:szCs w:val="20"/>
                <w:color w:val="auto"/>
              </w:rPr>
            </w:pPr>
            <w:r>
              <w:rPr>
                <w:rFonts w:ascii="Arial" w:cs="Arial" w:eastAsia="Arial" w:hAnsi="Arial"/>
                <w:sz w:val="18"/>
                <w:szCs w:val="18"/>
                <w:color w:val="auto"/>
                <w:w w:val="92"/>
              </w:rPr>
              <w:t>Common stock: $0.001 par value, 200,000 shares authorized at March 31, 2020 and December 31, 2019;</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380"/>
              <w:spacing w:after="0"/>
              <w:rPr>
                <w:sz w:val="20"/>
                <w:szCs w:val="20"/>
                <w:color w:val="auto"/>
              </w:rPr>
            </w:pPr>
            <w:r>
              <w:rPr>
                <w:rFonts w:ascii="Arial" w:cs="Arial" w:eastAsia="Arial" w:hAnsi="Arial"/>
                <w:sz w:val="18"/>
                <w:szCs w:val="18"/>
                <w:color w:val="auto"/>
                <w:w w:val="91"/>
              </w:rPr>
              <w:t>70,697 and 69,956 shares issued and outstanding at March 31, 2020 and December 31, 2019, respectively</w:t>
            </w:r>
          </w:p>
        </w:tc>
        <w:tc>
          <w:tcPr>
            <w:tcW w:w="2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777,765</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(623,641)</w:t>
            </w:r>
          </w:p>
        </w:tc>
      </w:tr>
      <w:tr>
        <w:trPr>
          <w:trHeight w:val="236"/>
        </w:trPr>
        <w:tc>
          <w:tcPr>
            <w:tcW w:w="81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153,612</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290,219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264,812</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20"/>
          </w:cols>
          <w:pgMar w:left="320" w:top="715" w:right="359" w:bottom="1440" w:gutter="0" w:footer="0" w:header="0"/>
        </w:sectPr>
      </w:pPr>
    </w:p>
    <w:p>
      <w:pPr>
        <w:jc w:val="center"/>
        <w:ind w:right="-39"/>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220"/>
          </w:cols>
          <w:pgMar w:left="320" w:top="715" w:right="359" w:bottom="1440" w:gutter="0" w:footer="0" w:header="0"/>
          <w:type w:val="continuous"/>
        </w:sectPr>
      </w:pPr>
    </w:p>
    <w:bookmarkStart w:id="3" w:name="page4"/>
    <w:bookmarkEnd w:id="3"/>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18,981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24,827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30,111</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11,389</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8,372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22,824</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44,317</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484</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(25,465)</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58,411</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15" w:right="339" w:bottom="1440" w:gutter="0" w:footer="0" w:header="0"/>
        </w:sectPr>
      </w:pPr>
    </w:p>
    <w:bookmarkStart w:id="4" w:name="page5"/>
    <w:bookmarkEnd w:id="4"/>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Net change in unrealized gain (loss) on investments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(25,455)</w:t>
            </w:r>
          </w:p>
        </w:tc>
        <w:tc>
          <w:tcPr>
            <w:tcW w:w="100" w:type="dxa"/>
            <w:vAlign w:val="bottom"/>
          </w:tcPr>
          <w:p>
            <w:pPr>
              <w:spacing w:after="0"/>
              <w:rPr>
                <w:sz w:val="22"/>
                <w:szCs w:val="22"/>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1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2040" w:type="dxa"/>
            <w:vAlign w:val="bottom"/>
            <w:gridSpan w:val="5"/>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6"/>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1060" w:type="dxa"/>
            <w:vAlign w:val="bottom"/>
          </w:tcPr>
          <w:p>
            <w:pPr>
              <w:jc w:val="center"/>
              <w:ind w:right="96"/>
              <w:spacing w:after="0" w:line="129"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Income (Loss)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06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9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777,765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153,612</w:t>
            </w:r>
          </w:p>
        </w:tc>
        <w:tc>
          <w:tcPr>
            <w:tcW w:w="0" w:type="dxa"/>
            <w:vAlign w:val="bottom"/>
          </w:tcPr>
          <w:p>
            <w:pPr>
              <w:spacing w:after="0"/>
              <w:rPr>
                <w:sz w:val="1"/>
                <w:szCs w:val="1"/>
                <w:color w:val="auto"/>
              </w:rPr>
            </w:pPr>
          </w:p>
        </w:tc>
      </w:tr>
      <w:tr>
        <w:trPr>
          <w:trHeight w:val="229"/>
        </w:trPr>
        <w:tc>
          <w:tcPr>
            <w:tcW w:w="3840" w:type="dxa"/>
            <w:vAlign w:val="bottom"/>
          </w:tcPr>
          <w:p>
            <w:pPr>
              <w:ind w:left="40"/>
              <w:spacing w:after="0"/>
              <w:rPr>
                <w:sz w:val="20"/>
                <w:szCs w:val="20"/>
                <w:color w:val="auto"/>
              </w:rPr>
            </w:pPr>
            <w:r>
              <w:rPr>
                <w:rFonts w:ascii="Arial" w:cs="Arial" w:eastAsia="Arial" w:hAnsi="Arial"/>
                <w:sz w:val="18"/>
                <w:szCs w:val="18"/>
                <w:color w:val="auto"/>
                <w:w w:val="93"/>
              </w:rPr>
              <w:t>Issuance of restricted stock, net of shares withheld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color w:val="auto"/>
              </w:rPr>
              <w:t>for taxes, and other</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Cumulative-effect of new accounting standard for</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Topic 326 Credit Losses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Acquisition of InstruNor AS</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Balance as of March 31, 2020</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70,696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782,031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(639,721)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141,496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840" w:type="dxa"/>
            <w:vAlign w:val="bottom"/>
          </w:tcPr>
          <w:p>
            <w:pPr>
              <w:spacing w:after="0"/>
              <w:rPr>
                <w:sz w:val="24"/>
                <w:szCs w:val="24"/>
                <w:color w:val="auto"/>
              </w:rPr>
            </w:pPr>
          </w:p>
        </w:tc>
        <w:tc>
          <w:tcPr>
            <w:tcW w:w="2040" w:type="dxa"/>
            <w:vAlign w:val="bottom"/>
            <w:gridSpan w:val="5"/>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6"/>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1060" w:type="dxa"/>
            <w:vAlign w:val="bottom"/>
          </w:tcPr>
          <w:p>
            <w:pPr>
              <w:jc w:val="center"/>
              <w:ind w:right="96"/>
              <w:spacing w:after="0" w:line="129"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Income (Loss)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06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9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Issuance of common stock on bond conversion</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19,460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133,279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133,298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Issuance of restricted stock, net of shares withheld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taxes, and other</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w w:val="97"/>
              </w:rPr>
              <w:t>Issuance of common stock from option exercises</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68,991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767,169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182,245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15" w:right="339" w:bottom="1440" w:gutter="0" w:footer="0" w:header="0"/>
        </w:sectPr>
      </w:pPr>
    </w:p>
    <w:bookmarkStart w:id="6" w:name="page7"/>
    <w:bookmarkEnd w:id="6"/>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(15,980)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(25,465)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Amortization of developed technology</w:t>
            </w:r>
          </w:p>
        </w:tc>
        <w:tc>
          <w:tcPr>
            <w:tcW w:w="32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debt discounts, premiums and issuance costs</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10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8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excess and obsolete inventory</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100" w:type="dxa"/>
            <w:vAlign w:val="bottom"/>
          </w:tcPr>
          <w:p>
            <w:pPr>
              <w:ind w:left="4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8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non-cash items</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Changes in assets and liabilities: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net of cash acquired</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of debt issuance cost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taxes related to net share settlement of equity awards and other</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00" w:type="dxa"/>
            <w:vAlign w:val="bottom"/>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95,401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36,067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65,634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paid for interest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for income taxes, net of refunds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71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715"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Fluidigm Corporation (the Company, Fluidigm, we, our or us) creates, manufactures, and markets technologies and tools for life sciences research, including preparatory and analytical instruments for Mass Cytometry, PCR, Library Prep, Single Cell Genomics, and consumables, including integrated fluidic circuits (IFC), assays, and reagents. Our focus is on the most pressing needs in translational and clinical research, including cancer, immunology and immunotherapy. We sell our instruments, consumables and services to academic institutions, clinical research laboratories, and contract research organizations, as well as biopharmaceutical, biotechnology, and agricultural biotechnology companies. The Company was formerly known as Mycometrix Corporation and changed its name to Fluidigm Corporation in April 2001. Fluidigm Corporation was founded in 1999 and is headquartered in South San Francisco, California.</w:t>
      </w:r>
    </w:p>
    <w:p>
      <w:pPr>
        <w:spacing w:after="0" w:line="299" w:lineRule="exact"/>
        <w:rPr>
          <w:sz w:val="20"/>
          <w:szCs w:val="20"/>
          <w:color w:val="auto"/>
        </w:rPr>
      </w:pPr>
    </w:p>
    <w:p>
      <w:pPr>
        <w:ind w:right="7660" w:firstLine="8"/>
        <w:spacing w:after="0" w:line="566"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ind w:right="2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 owned subsidiaries. As of March 31, 2020, we had wholly owned subsidiaries in Singapore, Canada, the Netherlands, Japan, France,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jc w:val="both"/>
        <w:ind w:right="560" w:firstLine="432"/>
        <w:spacing w:after="0" w:line="286" w:lineRule="auto"/>
        <w:rPr>
          <w:sz w:val="20"/>
          <w:szCs w:val="20"/>
          <w:color w:val="auto"/>
        </w:rPr>
      </w:pPr>
      <w:r>
        <w:rPr>
          <w:rFonts w:ascii="Arial" w:cs="Arial" w:eastAsia="Arial" w:hAnsi="Arial"/>
          <w:sz w:val="17"/>
          <w:szCs w:val="17"/>
          <w:color w:val="auto"/>
        </w:rPr>
        <w:t>Certain prior period amounts in the condensed consolidated statements of income and condensed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COVID-19, the extent to which it will impact worldwide macroeconomic conditions, including the speed of recovery, and governmental and business reactions to the pandemic. We assessed certain accounting matters that generally require consideration of forecasted financial information in the context of information available to us and the unknown impact of COVID-19 as of March 31, 2020. These accounting matters included, but were not limited to, our allowance for doubtful accounts and credit losses, inventory and related reserves and the carrying value of goodwill and other long lived assets. Actual results could differ materially from these estimates and could have a material adverse effect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right="40" w:firstLine="432"/>
        <w:spacing w:after="0" w:line="311"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391"/>
        <w:spacing w:after="0" w:line="263"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We receive grants from various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553" w:right="359" w:bottom="1440" w:gutter="0" w:footer="0" w:header="0"/>
        </w:sectPr>
      </w:pPr>
    </w:p>
    <w:bookmarkStart w:id="8" w:name="page9"/>
    <w:bookmarkEnd w:id="8"/>
    <w:p>
      <w:pPr>
        <w:ind w:right="80"/>
        <w:spacing w:after="0" w:line="263" w:lineRule="auto"/>
        <w:rPr>
          <w:sz w:val="20"/>
          <w:szCs w:val="20"/>
          <w:color w:val="auto"/>
        </w:rPr>
      </w:pPr>
      <w:r>
        <w:rPr>
          <w:rFonts w:ascii="Arial" w:cs="Arial" w:eastAsia="Arial" w:hAnsi="Arial"/>
          <w:sz w:val="18"/>
          <w:szCs w:val="18"/>
          <w:color w:val="auto"/>
        </w:rPr>
        <w:t>entities to perform research and development activities over contractually defined periods. Revenue is generally recognized provided that the conditions under which the grants were provided have been met and any remaining performance obligations are perfunctory. Revenue is reported net of any sales, use and value-added taxes we collect from customers as required by government authorities.</w:t>
      </w:r>
    </w:p>
    <w:p>
      <w:pPr>
        <w:spacing w:after="0" w:line="184" w:lineRule="exact"/>
        <w:rPr>
          <w:sz w:val="20"/>
          <w:szCs w:val="20"/>
          <w:color w:val="auto"/>
        </w:rPr>
      </w:pPr>
    </w:p>
    <w:p>
      <w:pPr>
        <w:ind w:right="80" w:firstLine="391"/>
        <w:spacing w:after="0" w:line="301"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140" w:firstLine="391"/>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87" w:lineRule="exact"/>
        <w:rPr>
          <w:sz w:val="20"/>
          <w:szCs w:val="20"/>
          <w:color w:val="auto"/>
        </w:rPr>
      </w:pPr>
    </w:p>
    <w:p>
      <w:pPr>
        <w:ind w:right="500" w:firstLine="391"/>
        <w:spacing w:after="0" w:line="308" w:lineRule="auto"/>
        <w:rPr>
          <w:sz w:val="20"/>
          <w:szCs w:val="20"/>
          <w:color w:val="auto"/>
        </w:rPr>
      </w:pPr>
      <w:r>
        <w:rPr>
          <w:rFonts w:ascii="Arial" w:cs="Arial" w:eastAsia="Arial" w:hAnsi="Arial"/>
          <w:sz w:val="17"/>
          <w:szCs w:val="17"/>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both"/>
        <w:ind w:right="100" w:firstLine="391"/>
        <w:spacing w:after="0" w:line="263"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84" w:lineRule="exact"/>
        <w:rPr>
          <w:sz w:val="20"/>
          <w:szCs w:val="20"/>
          <w:color w:val="auto"/>
        </w:rPr>
      </w:pPr>
    </w:p>
    <w:p>
      <w:pPr>
        <w:ind w:firstLine="391"/>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condensed consolidated balance sheet as deferred revenue.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400" w:firstLine="391"/>
        <w:spacing w:after="0" w:line="277" w:lineRule="auto"/>
        <w:rPr>
          <w:sz w:val="20"/>
          <w:szCs w:val="20"/>
          <w:color w:val="auto"/>
        </w:rPr>
      </w:pPr>
      <w:r>
        <w:rPr>
          <w:rFonts w:ascii="Arial" w:cs="Arial" w:eastAsia="Arial" w:hAnsi="Arial"/>
          <w:sz w:val="18"/>
          <w:szCs w:val="18"/>
          <w:color w:val="auto"/>
        </w:rPr>
        <w:t>In March 2020, we reached a settlement agreement for intellectual property infringement claims, in which we received a $3.5 million payment in exchange for a perpetual license under certain Fluidigm intellectual property.</w:t>
      </w:r>
    </w:p>
    <w:p>
      <w:pPr>
        <w:spacing w:after="0" w:line="170" w:lineRule="exact"/>
        <w:rPr>
          <w:sz w:val="20"/>
          <w:szCs w:val="20"/>
          <w:color w:val="auto"/>
        </w:rPr>
      </w:pPr>
    </w:p>
    <w:p>
      <w:pPr>
        <w:ind w:right="60" w:firstLine="391"/>
        <w:spacing w:after="0" w:line="277" w:lineRule="auto"/>
        <w:rPr>
          <w:sz w:val="20"/>
          <w:szCs w:val="20"/>
          <w:color w:val="auto"/>
        </w:rPr>
      </w:pPr>
      <w:r>
        <w:rPr>
          <w:rFonts w:ascii="Arial" w:cs="Arial" w:eastAsia="Arial" w:hAnsi="Arial"/>
          <w:sz w:val="18"/>
          <w:szCs w:val="18"/>
          <w:color w:val="auto"/>
        </w:rPr>
        <w:t>The settlement is considered a multiple-element arrangement with each element accounted for individually. Accordingly, $3.1 million of the proceeds was recognized as license revenue and $0.4 million was offset against legal costs.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 To date, capitalized contract costs have been immaterial.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jc w:val="both"/>
        <w:ind w:right="300" w:firstLine="432"/>
        <w:spacing w:after="0" w:line="311"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1" w:right="339" w:bottom="1440" w:gutter="0" w:footer="0" w:header="0"/>
        </w:sectPr>
      </w:pPr>
    </w:p>
    <w:bookmarkStart w:id="9" w:name="page10"/>
    <w:bookmarkEnd w:id="9"/>
    <w:p>
      <w:pPr>
        <w:ind w:left="28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right="100" w:firstLine="391"/>
        <w:spacing w:after="0" w:line="301"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520" w:firstLine="432"/>
        <w:spacing w:after="0" w:line="263"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22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88"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generally do not require collateral to support credit sales. To reduce credit risk, we perform credit evaluations of our customers. Excluding the impact of the settlement agreement, no single customer represented more than 10% of total revenue for three months ended March 31, 2020 or 2019 and no single customer represented more than 10% of total accounts receivable at March 31, 2020, or December 31, 2019.</w:t>
      </w:r>
    </w:p>
    <w:p>
      <w:pPr>
        <w:spacing w:after="0" w:line="165" w:lineRule="exact"/>
        <w:rPr>
          <w:sz w:val="20"/>
          <w:szCs w:val="20"/>
          <w:color w:val="auto"/>
        </w:rPr>
      </w:pPr>
    </w:p>
    <w:p>
      <w:pPr>
        <w:ind w:right="420" w:firstLine="432"/>
        <w:spacing w:after="0" w:line="286" w:lineRule="auto"/>
        <w:rPr>
          <w:sz w:val="20"/>
          <w:szCs w:val="20"/>
          <w:color w:val="auto"/>
        </w:rPr>
      </w:pPr>
      <w:r>
        <w:rPr>
          <w:rFonts w:ascii="Arial" w:cs="Arial" w:eastAsia="Arial" w:hAnsi="Arial"/>
          <w:sz w:val="17"/>
          <w:szCs w:val="17"/>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determine if an arrangement is a lease, or contains a lease, at inception. Operating leases are included in operating lease right-of-use (ROU) assets and current and non-current operating lease liabilities in our condensed consolidated balance sheets. ROU assets represent our right-to-use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123" w:lineRule="exact"/>
        <w:rPr>
          <w:sz w:val="20"/>
          <w:szCs w:val="20"/>
          <w:color w:val="auto"/>
        </w:rPr>
      </w:pPr>
    </w:p>
    <w:p>
      <w:pPr>
        <w:ind w:firstLine="391"/>
        <w:spacing w:after="0" w:line="279" w:lineRule="auto"/>
        <w:rPr>
          <w:sz w:val="20"/>
          <w:szCs w:val="20"/>
          <w:color w:val="auto"/>
        </w:rPr>
      </w:pPr>
      <w:r>
        <w:rPr>
          <w:rFonts w:ascii="Arial" w:cs="Arial" w:eastAsia="Arial" w:hAnsi="Arial"/>
          <w:sz w:val="17"/>
          <w:szCs w:val="17"/>
          <w:color w:val="auto"/>
        </w:rPr>
        <w:t>We elected the short-term lease recognition exemption for all leases that qualify. This means that, for those leases that qualify, we will not recognize ROU assets or lease liabilities for leases with an initial lease term of one year or less. We also elected to not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29" w:lineRule="exact"/>
        <w:rPr>
          <w:sz w:val="20"/>
          <w:szCs w:val="20"/>
          <w:color w:val="auto"/>
        </w:rPr>
      </w:pPr>
    </w:p>
    <w:p>
      <w:pPr>
        <w:ind w:right="40" w:firstLine="391"/>
        <w:spacing w:after="0" w:line="263"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84" w:lineRule="exact"/>
        <w:rPr>
          <w:sz w:val="20"/>
          <w:szCs w:val="20"/>
          <w:color w:val="auto"/>
        </w:rPr>
      </w:pPr>
    </w:p>
    <w:p>
      <w:pPr>
        <w:ind w:right="140" w:firstLine="391"/>
        <w:spacing w:after="0" w:line="263" w:lineRule="auto"/>
        <w:rPr>
          <w:sz w:val="20"/>
          <w:szCs w:val="20"/>
          <w:color w:val="auto"/>
        </w:rPr>
      </w:pPr>
      <w:r>
        <w:rPr>
          <w:rFonts w:ascii="Arial" w:cs="Arial" w:eastAsia="Arial" w:hAnsi="Arial"/>
          <w:sz w:val="18"/>
          <w:szCs w:val="18"/>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41" w:right="339" w:bottom="1440" w:gutter="0" w:footer="0" w:header="0"/>
        </w:sectPr>
      </w:pPr>
    </w:p>
    <w:bookmarkStart w:id="10" w:name="page11"/>
    <w:bookmarkEnd w:id="10"/>
    <w:p>
      <w:pPr>
        <w:ind w:right="160"/>
        <w:spacing w:after="0" w:line="257" w:lineRule="auto"/>
        <w:rPr>
          <w:sz w:val="20"/>
          <w:szCs w:val="20"/>
          <w:color w:val="auto"/>
        </w:rPr>
      </w:pPr>
      <w:r>
        <w:rPr>
          <w:rFonts w:ascii="Arial" w:cs="Arial" w:eastAsia="Arial" w:hAnsi="Arial"/>
          <w:sz w:val="18"/>
          <w:szCs w:val="18"/>
          <w:color w:val="auto"/>
        </w:rPr>
        <w:t>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88" w:lineRule="exact"/>
        <w:rPr>
          <w:sz w:val="20"/>
          <w:szCs w:val="20"/>
          <w:color w:val="auto"/>
        </w:rPr>
      </w:pPr>
    </w:p>
    <w:p>
      <w:pPr>
        <w:ind w:right="160" w:firstLine="391"/>
        <w:spacing w:after="0" w:line="255" w:lineRule="auto"/>
        <w:rPr>
          <w:sz w:val="20"/>
          <w:szCs w:val="20"/>
          <w:color w:val="auto"/>
        </w:rPr>
      </w:pPr>
      <w:r>
        <w:rPr>
          <w:rFonts w:ascii="Arial" w:cs="Arial" w:eastAsia="Arial" w:hAnsi="Arial"/>
          <w:sz w:val="18"/>
          <w:szCs w:val="18"/>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We did not recognize any impairment of goodwill for any of the periods presented herein.</w:t>
      </w:r>
    </w:p>
    <w:p>
      <w:pPr>
        <w:spacing w:after="0" w:line="192"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intangibles for any of the periods presented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In the first quarter of 2019, the 2018 Notes were converted into 19.5 million shares of our common stock and the 2018 Notes were retired. We recorded a loss of $9.0 million on the retirement of the 2018 Notes. We determined the fair value of the 2018 Notes using valuation techniques that required us to make assumptions related to the implied discount rate.</w:t>
      </w:r>
    </w:p>
    <w:p>
      <w:pPr>
        <w:spacing w:after="0" w:line="178" w:lineRule="exact"/>
        <w:rPr>
          <w:sz w:val="20"/>
          <w:szCs w:val="20"/>
          <w:color w:val="auto"/>
        </w:rPr>
      </w:pPr>
    </w:p>
    <w:p>
      <w:pPr>
        <w:ind w:right="260" w:firstLine="391"/>
        <w:spacing w:after="0" w:line="259"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our 5.25% Senior Convertible Notes due 2024 (2019 Notes). The majority of the issuance proceeds were used to retire approximately $50.2 million of aggregate principal amount of our 2014 Notes, leaving approximately $1.1 million of aggregate principal amount of our 2014 Notes outstanding.</w:t>
      </w:r>
    </w:p>
    <w:p>
      <w:pPr>
        <w:spacing w:after="0" w:line="187" w:lineRule="exact"/>
        <w:rPr>
          <w:sz w:val="20"/>
          <w:szCs w:val="20"/>
          <w:color w:val="auto"/>
        </w:rPr>
      </w:pPr>
    </w:p>
    <w:p>
      <w:pPr>
        <w:jc w:val="both"/>
        <w:ind w:right="20" w:firstLine="391"/>
        <w:spacing w:after="0" w:line="311" w:lineRule="auto"/>
        <w:rPr>
          <w:sz w:val="20"/>
          <w:szCs w:val="20"/>
          <w:color w:val="auto"/>
        </w:rPr>
      </w:pPr>
      <w:r>
        <w:rPr>
          <w:rFonts w:ascii="Arial" w:cs="Arial" w:eastAsia="Arial" w:hAnsi="Arial"/>
          <w:sz w:val="16"/>
          <w:szCs w:val="16"/>
          <w:color w:val="auto"/>
        </w:rPr>
        <w:t>As the 2019 Notes do not provide for a cash conversion feature, the 2019 Notes are recorded for as debt in their entirety in accordance with ASC 470. 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7 for a detailed discussion of the accounting treatment of the transactions and additional information.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243"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condensed consolidated statements of comprehensive loss.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1" w:right="339" w:bottom="1440" w:gutter="0" w:footer="0" w:header="0"/>
        </w:sectPr>
      </w:pPr>
    </w:p>
    <w:bookmarkStart w:id="11" w:name="page12"/>
    <w:bookmarkEnd w:id="11"/>
    <w:p>
      <w:pPr>
        <w:ind w:left="420"/>
        <w:spacing w:after="0"/>
        <w:rPr>
          <w:sz w:val="20"/>
          <w:szCs w:val="20"/>
          <w:color w:val="auto"/>
        </w:rPr>
      </w:pPr>
      <w:r>
        <w:rPr>
          <w:rFonts w:ascii="Arial" w:cs="Arial" w:eastAsia="Arial" w:hAnsi="Arial"/>
          <w:sz w:val="17"/>
          <w:szCs w:val="17"/>
          <w:color w:val="auto"/>
        </w:rPr>
        <w:t>The components of accumulated other comprehensive loss, net of tax, for the three months ended March 31, 2020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Unrealized Gain</w:t>
            </w:r>
          </w:p>
        </w:tc>
        <w:tc>
          <w:tcPr>
            <w:tcW w:w="120" w:type="dxa"/>
            <w:vAlign w:val="bottom"/>
          </w:tcPr>
          <w:p>
            <w:pPr>
              <w:spacing w:after="0"/>
              <w:rPr>
                <w:sz w:val="14"/>
                <w:szCs w:val="14"/>
                <w:color w:val="auto"/>
              </w:rPr>
            </w:pPr>
          </w:p>
        </w:tc>
        <w:tc>
          <w:tcPr>
            <w:tcW w:w="13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(Loss) on Investments</w:t>
            </w:r>
          </w:p>
        </w:tc>
        <w:tc>
          <w:tcPr>
            <w:tcW w:w="120" w:type="dxa"/>
            <w:vAlign w:val="bottom"/>
          </w:tcPr>
          <w:p>
            <w:pPr>
              <w:spacing w:after="0"/>
              <w:rPr>
                <w:sz w:val="16"/>
                <w:szCs w:val="16"/>
                <w:color w:val="auto"/>
              </w:rPr>
            </w:pPr>
          </w:p>
        </w:tc>
        <w:tc>
          <w:tcPr>
            <w:tcW w:w="134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condensed consolidated statement of operations for the three months ended March 31,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14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31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20" w:type="dxa"/>
            <w:vAlign w:val="bottom"/>
            <w:tcBorders>
              <w:bottom w:val="single" w:sz="8" w:color="CCEEFF"/>
            </w:tcBorders>
          </w:tcPr>
          <w:p>
            <w:pPr>
              <w:spacing w:after="0"/>
              <w:rPr>
                <w:sz w:val="22"/>
                <w:szCs w:val="22"/>
                <w:color w:val="auto"/>
              </w:rPr>
            </w:pPr>
          </w:p>
        </w:tc>
        <w:tc>
          <w:tcPr>
            <w:tcW w:w="76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76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18,966</w:t>
            </w:r>
          </w:p>
        </w:tc>
        <w:tc>
          <w:tcPr>
            <w:tcW w:w="10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76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r>
      <w:tr>
        <w:trPr>
          <w:trHeight w:val="27"/>
        </w:trPr>
        <w:tc>
          <w:tcPr>
            <w:tcW w:w="42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8"/>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w:t>
            </w:r>
          </w:p>
        </w:tc>
        <w:tc>
          <w:tcPr>
            <w:tcW w:w="7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30,344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In August 2018, the U.S.-based Financial Accounting Standards Board (FASB) issued Accounting Standards Update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did not have a significant impact on our financial results.</w:t>
      </w:r>
    </w:p>
    <w:p>
      <w:pPr>
        <w:spacing w:after="0" w:line="176" w:lineRule="exact"/>
        <w:rPr>
          <w:sz w:val="20"/>
          <w:szCs w:val="20"/>
          <w:color w:val="auto"/>
        </w:rPr>
      </w:pPr>
    </w:p>
    <w:p>
      <w:pPr>
        <w:ind w:right="140" w:firstLine="391"/>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is effective for annual and interim goodwill impairment testing performed for our fiscal year beginning January 1, 2020. The adoption of the new guidance did not have a significant impact on our financial results.</w:t>
      </w:r>
    </w:p>
    <w:p>
      <w:pPr>
        <w:spacing w:after="0" w:line="138" w:lineRule="exact"/>
        <w:rPr>
          <w:sz w:val="20"/>
          <w:szCs w:val="20"/>
          <w:color w:val="auto"/>
        </w:rPr>
      </w:pPr>
    </w:p>
    <w:p>
      <w:pPr>
        <w:ind w:right="260" w:firstLine="405"/>
        <w:spacing w:after="0" w:line="296" w:lineRule="auto"/>
        <w:rPr>
          <w:sz w:val="20"/>
          <w:szCs w:val="20"/>
          <w:color w:val="auto"/>
        </w:rPr>
      </w:pPr>
      <w:r>
        <w:rPr>
          <w:rFonts w:ascii="Arial" w:cs="Arial" w:eastAsia="Arial" w:hAnsi="Arial"/>
          <w:sz w:val="16"/>
          <w:szCs w:val="16"/>
          <w:color w:val="auto"/>
        </w:rPr>
        <w:t>The FASB issued two ASUs related to financial instruments – credit losses. The ASUs issued were: (1) in June 2016, ASU 2016-13, Financial Instruments-Credit Losses (Topic 326): Measurement of Credit Losses on Financial Instruments, and (2)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1" w:right="339" w:bottom="1440" w:gutter="0" w:footer="0" w:header="0"/>
        </w:sectPr>
      </w:pPr>
    </w:p>
    <w:bookmarkStart w:id="12" w:name="page13"/>
    <w:bookmarkEnd w:id="12"/>
    <w:p>
      <w:pPr>
        <w:ind w:right="340"/>
        <w:spacing w:after="0" w:line="259" w:lineRule="auto"/>
        <w:rPr>
          <w:sz w:val="20"/>
          <w:szCs w:val="20"/>
          <w:color w:val="auto"/>
        </w:rPr>
      </w:pPr>
      <w:r>
        <w:rPr>
          <w:rFonts w:ascii="Arial" w:cs="Arial" w:eastAsia="Arial" w:hAnsi="Arial"/>
          <w:sz w:val="18"/>
          <w:szCs w:val="18"/>
          <w:color w:val="auto"/>
        </w:rPr>
        <w:t>the leasing standard. These ASUs are effective for fiscal years beginning after December 15, 2019, and interim periods within those years, with early adoption permitted. The modified retrospective method is required upon adoption. The adoption of the new guidance resulted in an adjustment of approximately $0.1 million to reduce the accumulated deficit component of stockholders’ equity and decrease current assets by the same amount in our condensed consolidated balance sheet.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November 2019, the FASB issued ASU 2019-12-Income Taxes (Topic 740): Simplifying the Accounting for Income Taxes. The amendments in this update improve consistent application of and simplifies U.S. GAAP for Topic 740 by clarifying and amending existing guidance including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ind w:right="900" w:firstLine="405"/>
        <w:spacing w:after="0" w:line="277" w:lineRule="auto"/>
        <w:rPr>
          <w:sz w:val="20"/>
          <w:szCs w:val="20"/>
          <w:color w:val="auto"/>
        </w:rPr>
      </w:pPr>
      <w:r>
        <w:rPr>
          <w:rFonts w:ascii="Arial" w:cs="Arial" w:eastAsia="Arial" w:hAnsi="Arial"/>
          <w:sz w:val="18"/>
          <w:szCs w:val="18"/>
          <w:color w:val="auto"/>
        </w:rPr>
        <w:t>On January 17, 2020, we completed the acquisition of all of the outstanding shares of InstruNor AS, a privately held Norwegian company (InstruNor).</w:t>
      </w:r>
    </w:p>
    <w:p>
      <w:pPr>
        <w:spacing w:after="0" w:line="6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InstruNor is a provider of the only fully integrated sample preparation system for flow and mass cytometry. The acquisition of InstruNor supports our entry into the sample preparation market for cytometry analysis and expands our capabilities to include fully automated sample preparation for flow and mass cytometry. The value of this technology is reflected in the intangible asset for developed technology. The developed technology was valued using a discounted cash flow model for which the most sensitive assumption is the revenue growth rate.</w:t>
      </w:r>
    </w:p>
    <w:p>
      <w:pPr>
        <w:spacing w:after="0" w:line="7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purchase price of $7.2 million included approximately $5.2 million in cash and 485,451 shares of our common stock valued at the closing price on the effective date of $4.22.</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net cash flows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January 17, 2020</w:t>
            </w:r>
          </w:p>
        </w:tc>
      </w:tr>
      <w:tr>
        <w:trPr>
          <w:trHeight w:val="249"/>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consideration paid to former equity 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5,165</w:t>
            </w: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Less: cash and cash equivalents acquired</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InstruNor,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5,154</w:t>
            </w:r>
          </w:p>
        </w:tc>
      </w:tr>
      <w:tr>
        <w:trPr>
          <w:trHeight w:val="20"/>
        </w:trPr>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03" w:right="339" w:bottom="1440" w:gutter="0" w:footer="0" w:header="0"/>
        </w:sectPr>
      </w:pPr>
    </w:p>
    <w:bookmarkStart w:id="13" w:name="page14"/>
    <w:bookmarkEnd w:id="13"/>
    <w:p>
      <w:pPr>
        <w:ind w:right="40" w:firstLine="405"/>
        <w:spacing w:after="0" w:line="263" w:lineRule="auto"/>
        <w:rPr>
          <w:sz w:val="20"/>
          <w:szCs w:val="20"/>
          <w:color w:val="auto"/>
        </w:rPr>
      </w:pPr>
      <w:r>
        <w:rPr>
          <w:rFonts w:ascii="Arial" w:cs="Arial" w:eastAsia="Arial" w:hAnsi="Arial"/>
          <w:sz w:val="18"/>
          <w:szCs w:val="18"/>
          <w:color w:val="auto"/>
        </w:rPr>
        <w:t>The acquisition was accounted for in accordance with ASC 805, Business Combinations. The assets acquired and liabilities assumed were recorded at their estimated fair values at the InstruNor acquisition date. Goodwill of $2.2 million was calculated as purchase price less the fair value of the net assets acquired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9"/>
              </w:rPr>
              <w:t>January 17, 2020</w:t>
            </w:r>
          </w:p>
        </w:tc>
      </w:tr>
      <w:tr>
        <w:trPr>
          <w:trHeight w:val="25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Cash consideration paid on closing to former equity 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5,165</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consideration common shares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w:t>
            </w:r>
          </w:p>
        </w:tc>
      </w:tr>
      <w:tr>
        <w:trPr>
          <w:trHeight w:val="237"/>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Total purchase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7,214</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9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Assets acquired:</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153</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w:t>
            </w: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Liabilities assumed:</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liability</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r>
      <w:tr>
        <w:trPr>
          <w:trHeight w:val="237"/>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Fair value of identifiable net assets acquired</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4,994</w:t>
            </w:r>
          </w:p>
        </w:tc>
      </w:tr>
      <w:tr>
        <w:trPr>
          <w:trHeight w:val="27"/>
        </w:trPr>
        <w:tc>
          <w:tcPr>
            <w:tcW w:w="9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acquired on acquisition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r>
      <w:tr>
        <w:trPr>
          <w:trHeight w:val="20"/>
        </w:trPr>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 following table presents our revenue for the three months ended March 31, 2020 and 2019, respectively, based on geographic area and by source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3"/>
        </w:trPr>
        <w:tc>
          <w:tcPr>
            <w:tcW w:w="75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14,844</w:t>
            </w:r>
          </w:p>
        </w:tc>
        <w:tc>
          <w:tcPr>
            <w:tcW w:w="100" w:type="dxa"/>
            <w:vAlign w:val="bottom"/>
          </w:tcPr>
          <w:p>
            <w:pPr>
              <w:spacing w:after="0"/>
              <w:rPr>
                <w:sz w:val="21"/>
                <w:szCs w:val="21"/>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12,971</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1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8,984</w:t>
            </w:r>
          </w:p>
        </w:tc>
      </w:tr>
      <w:tr>
        <w:trPr>
          <w:trHeight w:val="27"/>
        </w:trPr>
        <w:tc>
          <w:tcPr>
            <w:tcW w:w="7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27,617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30,111</w:t>
            </w: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6"/>
        </w:trPr>
        <w:tc>
          <w:tcPr>
            <w:tcW w:w="754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Source:</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21"/>
                <w:szCs w:val="21"/>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12,840</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Consumables</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11,987</w:t>
            </w:r>
          </w:p>
        </w:tc>
      </w:tr>
      <w:tr>
        <w:trPr>
          <w:trHeight w:val="236"/>
        </w:trPr>
        <w:tc>
          <w:tcPr>
            <w:tcW w:w="75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18,981</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24,827</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1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27,617</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30,111</w:t>
            </w:r>
          </w:p>
        </w:tc>
      </w:tr>
      <w:tr>
        <w:trPr>
          <w:trHeight w:val="20"/>
        </w:trPr>
        <w:tc>
          <w:tcPr>
            <w:tcW w:w="7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8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firstLine="391"/>
        <w:spacing w:after="0" w:line="286" w:lineRule="auto"/>
        <w:rPr>
          <w:sz w:val="20"/>
          <w:szCs w:val="20"/>
          <w:color w:val="auto"/>
        </w:rPr>
      </w:pPr>
      <w:r>
        <w:rPr>
          <w:rFonts w:ascii="Arial" w:cs="Arial" w:eastAsia="Arial" w:hAnsi="Arial"/>
          <w:sz w:val="17"/>
          <w:szCs w:val="17"/>
          <w:color w:val="auto"/>
        </w:rPr>
        <w:t>We reported $20.0 million of deferred revenue on our December 31, 2019 consolidated balance sheet. During the three months ended March 31, 2020, $3.4 million of the opening balance was recognized as revenue and $4.5 million of net additional advance payments were received from customers, primarily associated with instrument service contracts. At March 31, 2020, we reported $21.1 million of deferred revenue.</w:t>
      </w:r>
    </w:p>
    <w:p>
      <w:pPr>
        <w:spacing w:after="0" w:line="16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March 31, 2020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 xml:space="preserve">Expected Revenue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7"/>
        </w:trPr>
        <w:tc>
          <w:tcPr>
            <w:tcW w:w="9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24,293</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right="140" w:firstLine="8"/>
        <w:spacing w:after="0" w:line="286"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condensed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69" w:lineRule="exact"/>
        <w:rPr>
          <w:sz w:val="20"/>
          <w:szCs w:val="20"/>
          <w:color w:val="auto"/>
        </w:rPr>
      </w:pPr>
    </w:p>
    <w:p>
      <w:pPr>
        <w:ind w:right="420" w:firstLine="216"/>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for service contracts with an expected term of one year or less.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net</w:t>
      </w:r>
    </w:p>
    <w:p>
      <w:pPr>
        <w:spacing w:after="0" w:line="229" w:lineRule="exact"/>
        <w:rPr>
          <w:sz w:val="20"/>
          <w:szCs w:val="20"/>
          <w:color w:val="auto"/>
        </w:rPr>
      </w:pPr>
    </w:p>
    <w:p>
      <w:pPr>
        <w:ind w:right="280" w:firstLine="391"/>
        <w:spacing w:after="0" w:line="263" w:lineRule="auto"/>
        <w:rPr>
          <w:sz w:val="20"/>
          <w:szCs w:val="20"/>
          <w:color w:val="auto"/>
        </w:rPr>
      </w:pPr>
      <w:r>
        <w:rPr>
          <w:rFonts w:ascii="Arial" w:cs="Arial" w:eastAsia="Arial" w:hAnsi="Arial"/>
          <w:sz w:val="18"/>
          <w:szCs w:val="18"/>
          <w:color w:val="auto"/>
        </w:rPr>
        <w:t>In connection with our acquisition of DVS Sciences, Inc. in February 2014, we recognized goodwill of $104.1 million and $112.0 million of developed technology. In the first quarter of 2020, we recognized $2.2 million of goodwill from the InstruNor acquisition and $5.4 million of developed technology (see Note 3). We are amortizing InstruNor developed technology over 8.0 years.</w:t>
      </w:r>
    </w:p>
    <w:p>
      <w:pPr>
        <w:spacing w:after="0" w:line="8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current global outbreak of the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w:t>
      </w:r>
    </w:p>
    <w:p>
      <w:pPr>
        <w:spacing w:after="0" w:line="8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first quarter of fiscal 2020, the Company assessed if the current and potential future impact of COVID-19 represented an event which necessitated an impairment review. This assessment included an update of the qualitative and quantitative factors affecting our business. As a result of this assessment, we determined that a triggering event had occurred and a quantitative impairment test was performed. As a result of this quantitative analysis, we determined that fair value of our goodwill and developed technology intangibles were not less than their carrying value and no impairment was recognized.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11" w:right="339" w:bottom="1440" w:gutter="0" w:footer="0" w:header="0"/>
        </w:sectPr>
      </w:pPr>
    </w:p>
    <w:bookmarkStart w:id="15" w:name="page16"/>
    <w:bookmarkEnd w:id="15"/>
    <w:p>
      <w:pPr>
        <w:ind w:right="380" w:firstLine="391"/>
        <w:spacing w:after="0" w:line="277" w:lineRule="auto"/>
        <w:rPr>
          <w:sz w:val="20"/>
          <w:szCs w:val="20"/>
          <w:color w:val="auto"/>
        </w:rPr>
      </w:pPr>
      <w:r>
        <w:rPr>
          <w:rFonts w:ascii="Arial" w:cs="Arial" w:eastAsia="Arial" w:hAnsi="Arial"/>
          <w:sz w:val="18"/>
          <w:szCs w:val="18"/>
          <w:color w:val="auto"/>
        </w:rPr>
        <w:t>Intangible assets also include other patents and licenses, which are included in other non-current assets. Intangible assets, net, were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 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117,380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(68,768)</w:t>
            </w:r>
          </w:p>
        </w:tc>
        <w:tc>
          <w:tcPr>
            <w:tcW w:w="120" w:type="dxa"/>
            <w:vAlign w:val="bottom"/>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48,612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9.9 years</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Patents and licenses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 years</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46,200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Patents and licenses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(8,342)</w:t>
            </w:r>
          </w:p>
        </w:tc>
        <w:tc>
          <w:tcPr>
            <w:tcW w:w="7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 years</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amortization expense for the three months ended March 31, 2020 and 2019 was $3.2 million and $3.1 million, respectively.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Based on the carrying value of intangible assets, net, as of March 31, 2020, the amortization expense is expected to be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Developed Technology</w:t>
            </w: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Patents and Licenses</w:t>
            </w:r>
          </w:p>
        </w:tc>
        <w:tc>
          <w:tcPr>
            <w:tcW w:w="3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 Expense</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 Expense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(remainder of the year)</w:t>
            </w: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48,612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51,310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restricted cash consisted of the following as of March 31, 2020 and December 31,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21,661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2,075</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36,067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23,736</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Short-term restricted cash of approximately $75 thousand included in prepaid expenses and other current assets and $1.0 million of non-current restricted cash is included in other non-current assets in the condensed consolidated balance sheet as of March 31,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as of March 31, 2020 and December 31,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659</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7,092</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16,294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13,884</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consisted of the following as of March 31, 2020 and December 31,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19,354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19,325</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1,824</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32,934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(24,954)</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8,056</w:t>
            </w:r>
          </w:p>
        </w:tc>
      </w:tr>
      <w:tr>
        <w:trPr>
          <w:trHeight w:val="27"/>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Activity for our warranty accrual for the three months ended March 31, 2020 and 2019, which are included in other accrued liabilities, is summarized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3"/>
        </w:trPr>
        <w:tc>
          <w:tcPr>
            <w:tcW w:w="75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1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930</w:t>
            </w: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Notes and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February 2014, we closed an underwritten public offering of $201.3 million aggregate principal amount of our 2014 Notes.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 The underwriting discount and offering-related expenses are being amortized to interest expense using the effective-interest rate method. The effective interest rate on the 2014 Notes, reflecting the impact of debt discounts and issuance costs, is 3.0%. The 2014 Notes will mature on February 1, 2034, unless earlier converted, redeemed, or repurchased in accordance with the terms of the 2014 Notes.</w:t>
      </w:r>
    </w:p>
    <w:p>
      <w:pPr>
        <w:spacing w:after="0" w:line="19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have retired the majority of the 2014 Notes through the issuance of the 2018 Notes and 2019 Notes, as discussed below. As of March 31, 2020, there is $1.1 million aggregate principal of the 2014 Notes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266" w:lineRule="exact"/>
        <w:rPr>
          <w:sz w:val="20"/>
          <w:szCs w:val="20"/>
          <w:color w:val="auto"/>
        </w:rPr>
      </w:pPr>
    </w:p>
    <w:p>
      <w:pPr>
        <w:ind w:right="540" w:firstLine="391"/>
        <w:spacing w:after="0" w:line="277"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2018 Notes, leaving $51.3 million of aggregate</w:t>
      </w:r>
    </w:p>
    <w:p>
      <w:pPr>
        <w:sectPr>
          <w:pgSz w:w="11900" w:h="16838" w:orient="portrait"/>
          <w:cols w:equalWidth="0" w:num="1">
            <w:col w:w="11240"/>
          </w:cols>
          <w:pgMar w:left="320" w:top="33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337" w:right="339" w:bottom="1440" w:gutter="0" w:footer="0" w:header="0"/>
          <w:type w:val="continuous"/>
        </w:sectPr>
      </w:pPr>
    </w:p>
    <w:bookmarkStart w:id="17" w:name="page18"/>
    <w:bookmarkEnd w:id="17"/>
    <w:p>
      <w:pPr>
        <w:ind w:right="220"/>
        <w:spacing w:after="0" w:line="263" w:lineRule="auto"/>
        <w:rPr>
          <w:sz w:val="20"/>
          <w:szCs w:val="20"/>
          <w:color w:val="auto"/>
        </w:rPr>
      </w:pPr>
      <w:r>
        <w:rPr>
          <w:rFonts w:ascii="Arial" w:cs="Arial" w:eastAsia="Arial" w:hAnsi="Arial"/>
          <w:sz w:val="18"/>
          <w:szCs w:val="18"/>
          <w:color w:val="auto"/>
        </w:rPr>
        <w:t>principal amount of 2014 Notes outstanding. As of the closing of the 2018 Notes on March 12, 2018, the estimated fair value was $145.5 million. The difference between the $150.0 million aggregate principal amount of the 2018 Notes and its fair value was being amortized over the expected term of the 2018 Notes using the effective interest method through the first note holder put date of February 6, 2023.</w:t>
      </w:r>
    </w:p>
    <w:p>
      <w:pPr>
        <w:spacing w:after="0" w:line="184" w:lineRule="exact"/>
        <w:rPr>
          <w:sz w:val="20"/>
          <w:szCs w:val="20"/>
          <w:color w:val="auto"/>
        </w:rPr>
      </w:pPr>
    </w:p>
    <w:p>
      <w:pPr>
        <w:ind w:right="120" w:firstLine="391"/>
        <w:spacing w:after="0" w:line="269" w:lineRule="auto"/>
        <w:rPr>
          <w:sz w:val="20"/>
          <w:szCs w:val="20"/>
          <w:color w:val="auto"/>
        </w:rPr>
      </w:pPr>
      <w:r>
        <w:rPr>
          <w:rFonts w:ascii="Arial" w:cs="Arial" w:eastAsia="Arial" w:hAnsi="Arial"/>
          <w:sz w:val="17"/>
          <w:szCs w:val="17"/>
          <w:color w:val="auto"/>
        </w:rPr>
        <w:t>The 2018 Notes accrued interest at a rate of 2.75% payable semi-annually in arrears on February 1 and August 1 in arrears of each year. The 2018 Notes were set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Those certain specified events included holders who converted their 2018 Notes voluntarily prior to our exercise of the issuer’s conversion option described below or in connection with a make-whole fundamental change prior to February 6, 2023, entitling the holders, under certain circumstances, to a make-whole premium in the form of an increase in the conversion rate determined by reference to a make-whole table set forth in the indenture governing the 2018 Notes. Any time prior to the maturity of the 2018 Notes, we could convert the 2018 Notes, in whole but not in part, into cash, shares of our common stock, or combination thereof, if the closing price of our common stock equaled or exceeded 110% of the conversion price then in effect for a specified number of days.</w:t>
      </w:r>
    </w:p>
    <w:p>
      <w:pPr>
        <w:spacing w:after="0" w:line="185" w:lineRule="exact"/>
        <w:rPr>
          <w:sz w:val="20"/>
          <w:szCs w:val="20"/>
          <w:color w:val="auto"/>
        </w:rPr>
      </w:pPr>
    </w:p>
    <w:p>
      <w:pPr>
        <w:ind w:right="100" w:firstLine="391"/>
        <w:spacing w:after="0" w:line="296" w:lineRule="auto"/>
        <w:rPr>
          <w:sz w:val="20"/>
          <w:szCs w:val="20"/>
          <w:color w:val="auto"/>
        </w:rPr>
      </w:pPr>
      <w:r>
        <w:rPr>
          <w:rFonts w:ascii="Arial" w:cs="Arial" w:eastAsia="Arial" w:hAnsi="Arial"/>
          <w:sz w:val="16"/>
          <w:szCs w:val="16"/>
          <w:color w:val="auto"/>
        </w:rPr>
        <w:t>Offering-related costs for the 2018 Notes were approximately $2.8 million. Offering-related costs of $2.2 million were capitalized as debt issuance costs, recorded as an offset to the carrying value of the 2018 Notes, and were being amortized over the expected term of the 2018 Notes using the effective interest method through the first note holder put date of February 6, 2023. The effective interest rate on the 2018 Notes was 12.3%. Offering-related costs of $0.6 million were accounted for as equity issuance costs, recorded as an offset to additional paid-in capital, and were not subject to amortization. Offering-related costs were allocated between debt and equity in the same proportion as the allocation of the 2018 Notes between debt and equity.</w:t>
      </w:r>
    </w:p>
    <w:p>
      <w:pPr>
        <w:spacing w:after="0" w:line="16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trustee U.S. Bank National Association of our intention to exercise our issuer’s conversion option with respect to the remaining approximately $11.9 million in aggregate principal amount of 2018 Notes. In total, $150.0 million of the 2018 Notes were converted into 19.5 million shares of our common stock and the bonds were retired. We recognized a loss of $9.0 million on the retirement of the 2018 Notes, which represents the difference between the fair value of the bonds retired and their carrying costs. The net impact on equity was $133.3 million and represents the fair value of the bonds retired.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Senior Convertible Notes (2019 Notes)</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November 2019, we issued $55.0 million aggregate principal amount of 2019 Notes. Net proceeds of the 2019 Notes issuance were $52.7 million, after deductions for commissions and other debt issuance costs of approximately $2.3 million. $51.8 million of the proceeds of the 2019 Notes were used to retire $50.2 million aggregate principal amount of our 2014 Notes, leaving $1.1 million of aggregate principal value of 2014 Notes outstanding. We accounted for the transaction as an extinguishment of debt due to the significance of the change in value of the embedded conversion option, resulting in a $3.0 million loss in the fourth quarter of 2019. The loss on extinguishment of debt was calculated as the difference between the reacquisition price (i.e., the fair value of the principal amount of 2019 Notes) and the net carrying value of the 2014 Notes exchanged.</w:t>
      </w:r>
    </w:p>
    <w:p>
      <w:pPr>
        <w:spacing w:after="0" w:line="178" w:lineRule="exact"/>
        <w:rPr>
          <w:sz w:val="20"/>
          <w:szCs w:val="20"/>
          <w:color w:val="auto"/>
        </w:rPr>
      </w:pPr>
    </w:p>
    <w:p>
      <w:pPr>
        <w:ind w:firstLine="391"/>
        <w:spacing w:after="0" w:line="253"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196" w:lineRule="exact"/>
        <w:rPr>
          <w:sz w:val="20"/>
          <w:szCs w:val="20"/>
          <w:color w:val="auto"/>
        </w:rPr>
      </w:pPr>
    </w:p>
    <w:p>
      <w:pPr>
        <w:ind w:right="20" w:firstLine="391"/>
        <w:spacing w:after="0" w:line="263" w:lineRule="auto"/>
        <w:rPr>
          <w:sz w:val="20"/>
          <w:szCs w:val="20"/>
          <w:color w:val="auto"/>
        </w:rPr>
      </w:pPr>
      <w:r>
        <w:rPr>
          <w:rFonts w:ascii="Arial" w:cs="Arial" w:eastAsia="Arial" w:hAnsi="Arial"/>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41" w:right="33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29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Offering-related costs for the 2019 Notes were capitalized as debt issuance costs and are recorded as an offset to the carrying value of the 2019 Notes. The debt issuance costs are being amortized over the expected term of the 2019 Notes using the effective interest method through the maturity date of December 1, 2024. The effective interest rate on the 2019 Notes is 6.2%.</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of the components of the 2014 Notes and the 2019 Notes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100330</wp:posOffset>
            </wp:positionV>
            <wp:extent cx="2348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75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2.75% 2014 Notes due 2034</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b w:val="1"/>
                <w:bCs w:val="1"/>
                <w:color w:val="auto"/>
              </w:rPr>
              <w:t>5.25% 2019 Notes due 2024</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52,764</w:t>
            </w:r>
          </w:p>
        </w:tc>
        <w:tc>
          <w:tcPr>
            <w:tcW w:w="0" w:type="dxa"/>
            <w:vAlign w:val="bottom"/>
          </w:tcPr>
          <w:p>
            <w:pPr>
              <w:spacing w:after="0"/>
              <w:rPr>
                <w:sz w:val="1"/>
                <w:szCs w:val="1"/>
                <w:color w:val="auto"/>
              </w:rPr>
            </w:pPr>
          </w:p>
        </w:tc>
      </w:tr>
      <w:tr>
        <w:trPr>
          <w:trHeight w:val="257"/>
        </w:trPr>
        <w:tc>
          <w:tcPr>
            <w:tcW w:w="7540" w:type="dxa"/>
            <w:vAlign w:val="bottom"/>
          </w:tcPr>
          <w:p>
            <w:pPr>
              <w:ind w:left="220"/>
              <w:spacing w:after="0"/>
              <w:rPr>
                <w:sz w:val="20"/>
                <w:szCs w:val="20"/>
                <w:color w:val="auto"/>
              </w:rPr>
            </w:pPr>
            <w:r>
              <w:rPr>
                <w:rFonts w:ascii="Arial" w:cs="Arial" w:eastAsia="Arial" w:hAnsi="Arial"/>
                <w:sz w:val="18"/>
                <w:szCs w:val="18"/>
                <w:color w:val="auto"/>
              </w:rPr>
              <w:t>Net carrying value of all Notes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53,920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Revolving Credit Facility</w:t>
      </w:r>
    </w:p>
    <w:p>
      <w:pPr>
        <w:spacing w:after="0" w:line="266" w:lineRule="exact"/>
        <w:rPr>
          <w:sz w:val="20"/>
          <w:szCs w:val="20"/>
          <w:color w:val="auto"/>
        </w:rPr>
      </w:pPr>
    </w:p>
    <w:p>
      <w:pPr>
        <w:ind w:right="40" w:firstLine="391"/>
        <w:spacing w:after="0" w:line="273" w:lineRule="auto"/>
        <w:rPr>
          <w:sz w:val="20"/>
          <w:szCs w:val="20"/>
          <w:color w:val="auto"/>
        </w:rPr>
      </w:pPr>
      <w:r>
        <w:rPr>
          <w:rFonts w:ascii="Arial" w:cs="Arial" w:eastAsia="Arial" w:hAnsi="Arial"/>
          <w:sz w:val="17"/>
          <w:szCs w:val="17"/>
          <w:color w:val="auto"/>
        </w:rPr>
        <w:t>In August 2018, we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The Borrowing Base as of March 31, 2020 under the revolving credit facility was $8.6 million. There were no borrowings outstanding under the Revolving Credit Facility at March 31, 2020.</w:t>
      </w:r>
    </w:p>
    <w:p>
      <w:pPr>
        <w:spacing w:after="0" w:line="178" w:lineRule="exact"/>
        <w:rPr>
          <w:sz w:val="20"/>
          <w:szCs w:val="20"/>
          <w:color w:val="auto"/>
        </w:rPr>
      </w:pPr>
    </w:p>
    <w:p>
      <w:pPr>
        <w:ind w:right="180" w:firstLine="391"/>
        <w:spacing w:after="0" w:line="296" w:lineRule="auto"/>
        <w:rPr>
          <w:sz w:val="20"/>
          <w:szCs w:val="20"/>
          <w:color w:val="auto"/>
        </w:rPr>
      </w:pPr>
      <w:r>
        <w:rPr>
          <w:rFonts w:ascii="Arial" w:cs="Arial" w:eastAsia="Arial" w:hAnsi="Arial"/>
          <w:sz w:val="16"/>
          <w:szCs w:val="16"/>
          <w:color w:val="auto"/>
        </w:rPr>
        <w:t>The Revolving Credit Facility was set to mature on August 2, 2020, and is collateralized by substantially all our property, other than intellectual property. Outstanding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we pay a quarterly unused revolving line facility fee of 0.75% per annum on the average unused facility. Subsequent to March 31, 2020, the Revolving Credit Facility was amended and extended the maturity to August 2, 2022. See Note 15 for a detail discussion of the amendment.</w:t>
      </w:r>
    </w:p>
    <w:p>
      <w:pPr>
        <w:spacing w:after="0" w:line="161" w:lineRule="exact"/>
        <w:rPr>
          <w:sz w:val="20"/>
          <w:szCs w:val="20"/>
          <w:color w:val="auto"/>
        </w:rPr>
      </w:pPr>
    </w:p>
    <w:p>
      <w:pPr>
        <w:jc w:val="both"/>
        <w:ind w:right="60" w:firstLine="391"/>
        <w:spacing w:after="0" w:line="263" w:lineRule="auto"/>
        <w:rPr>
          <w:sz w:val="20"/>
          <w:szCs w:val="20"/>
          <w:color w:val="auto"/>
        </w:rPr>
      </w:pPr>
      <w:r>
        <w:rPr>
          <w:rFonts w:ascii="Arial" w:cs="Arial" w:eastAsia="Arial" w:hAnsi="Arial"/>
          <w:sz w:val="18"/>
          <w:szCs w:val="18"/>
          <w:color w:val="auto"/>
        </w:rPr>
        <w:t>Subject to certain exceptions, we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18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incurred approximately $335,000 of debt issuance costs in connection with the facility, including $225,000 in commitment fees. Debt issuance costs were capitalized and are being amortized to interest expense over the life of the Revolving Credit Facility.</w:t>
      </w:r>
    </w:p>
    <w:p>
      <w:pPr>
        <w:spacing w:after="0" w:line="170" w:lineRule="exact"/>
        <w:rPr>
          <w:sz w:val="20"/>
          <w:szCs w:val="20"/>
          <w:color w:val="auto"/>
        </w:rPr>
      </w:pPr>
    </w:p>
    <w:p>
      <w:pPr>
        <w:ind w:right="140" w:firstLine="391"/>
        <w:spacing w:after="0" w:line="259" w:lineRule="auto"/>
        <w:rPr>
          <w:sz w:val="20"/>
          <w:szCs w:val="20"/>
          <w:color w:val="auto"/>
        </w:rPr>
      </w:pPr>
      <w:r>
        <w:rPr>
          <w:rFonts w:ascii="Arial" w:cs="Arial" w:eastAsia="Arial" w:hAnsi="Arial"/>
          <w:sz w:val="18"/>
          <w:szCs w:val="18"/>
          <w:color w:val="auto"/>
        </w:rPr>
        <w:t>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41" w:right="339" w:bottom="1440" w:gutter="0" w:footer="0" w:header="0"/>
        </w:sectPr>
      </w:pPr>
    </w:p>
    <w:bookmarkStart w:id="19" w:name="page20"/>
    <w:bookmarkEnd w:id="19"/>
    <w:p>
      <w:pPr>
        <w:ind w:right="160"/>
        <w:spacing w:after="0" w:line="296" w:lineRule="auto"/>
        <w:rPr>
          <w:sz w:val="20"/>
          <w:szCs w:val="20"/>
          <w:color w:val="auto"/>
        </w:rPr>
      </w:pPr>
      <w:r>
        <w:rPr>
          <w:rFonts w:ascii="Arial" w:cs="Arial" w:eastAsia="Arial" w:hAnsi="Arial"/>
          <w:sz w:val="16"/>
          <w:szCs w:val="16"/>
          <w:color w:val="auto"/>
        </w:rPr>
        <w:t>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were in compliance with all the terms and conditions of the Revolving Credit Facility at March 31,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one year to ten years. Some leases contain options to extend the lease, usually for up to five years, and termination options.</w:t>
      </w:r>
    </w:p>
    <w:p>
      <w:pPr>
        <w:spacing w:after="0" w:line="11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Supplemental balance sheet information related to leases was as follows as of March 31, 2020 and December 31, 2019 (in thousands, except for discount rate and lease term):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buildings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6,234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Operating lease right-of-use equipment</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69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vehicles</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355</w:t>
            </w:r>
          </w:p>
        </w:tc>
      </w:tr>
      <w:tr>
        <w:trPr>
          <w:trHeight w:val="237"/>
        </w:trPr>
        <w:tc>
          <w:tcPr>
            <w:tcW w:w="7600" w:type="dxa"/>
            <w:vAlign w:val="bottom"/>
          </w:tcPr>
          <w:p>
            <w:pPr>
              <w:ind w:left="40"/>
              <w:spacing w:after="0"/>
              <w:rPr>
                <w:sz w:val="20"/>
                <w:szCs w:val="20"/>
                <w:color w:val="auto"/>
              </w:rPr>
            </w:pPr>
            <w:r>
              <w:rPr>
                <w:rFonts w:ascii="Arial" w:cs="Arial" w:eastAsia="Arial" w:hAnsi="Arial"/>
                <w:sz w:val="18"/>
                <w:szCs w:val="18"/>
                <w:color w:val="auto"/>
              </w:rPr>
              <w:t>Total operating lease right-of-use assets, gross</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40,743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6,658</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w:t>
            </w:r>
          </w:p>
        </w:tc>
      </w:tr>
      <w:tr>
        <w:trPr>
          <w:trHeight w:val="297"/>
        </w:trPr>
        <w:tc>
          <w:tcPr>
            <w:tcW w:w="7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lease right-of-use assets,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39,499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4,860</w:t>
            </w:r>
          </w:p>
        </w:tc>
      </w:tr>
      <w:tr>
        <w:trPr>
          <w:trHeight w:val="311"/>
        </w:trPr>
        <w:tc>
          <w:tcPr>
            <w:tcW w:w="7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1,833</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39,611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4,323</w:t>
            </w:r>
          </w:p>
        </w:tc>
      </w:tr>
      <w:tr>
        <w:trPr>
          <w:trHeight w:val="297"/>
        </w:trPr>
        <w:tc>
          <w:tcPr>
            <w:tcW w:w="7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40,796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6,156</w:t>
            </w:r>
          </w:p>
        </w:tc>
      </w:tr>
      <w:tr>
        <w:trPr>
          <w:trHeight w:val="311"/>
        </w:trPr>
        <w:tc>
          <w:tcPr>
            <w:tcW w:w="7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4.7</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 per annum</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 new operating lease for our corporate headquarters in South San Francisco, California commenced on March 1, 2020. We recorded a ROU asset of $35.7 million at the inception of the lease and an operating lease liability of $35.3 million. The lease term is approximately 10 years. Future minimum lease payments over the life of the lease were discounted at a rate of 12.55%, which is our estimated incremental collateralized borrowing rate for the term of the lease at the inception of the lease.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the components of lease expense for the three months ended March 31, 2020 and 2019, respectively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3"/>
        </w:trPr>
        <w:tc>
          <w:tcPr>
            <w:tcW w:w="77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6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 (including variable costs)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0"/>
        </w:trPr>
        <w:tc>
          <w:tcPr>
            <w:tcW w:w="7760" w:type="dxa"/>
            <w:vAlign w:val="bottom"/>
          </w:tcPr>
          <w:p>
            <w:pPr>
              <w:ind w:left="4320"/>
              <w:spacing w:after="0"/>
              <w:rPr>
                <w:sz w:val="20"/>
                <w:szCs w:val="20"/>
                <w:color w:val="auto"/>
              </w:rPr>
            </w:pPr>
            <w:r>
              <w:rPr>
                <w:rFonts w:ascii="Arial" w:cs="Arial" w:eastAsia="Arial" w:hAnsi="Arial"/>
                <w:sz w:val="18"/>
                <w:szCs w:val="18"/>
                <w:color w:val="auto"/>
                <w:w w:val="93"/>
              </w:rPr>
              <w:t>Variable costs including non-lease component</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Supplemental cash flow information:</w:t>
      </w:r>
    </w:p>
    <w:p>
      <w:pPr>
        <w:spacing w:after="0" w:line="67" w:lineRule="exact"/>
        <w:rPr>
          <w:sz w:val="20"/>
          <w:szCs w:val="20"/>
          <w:color w:val="auto"/>
        </w:rPr>
      </w:pPr>
    </w:p>
    <w:p>
      <w:pPr>
        <w:ind w:left="40" w:right="388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(included in net cash used in operating activities)</w:t>
      </w:r>
    </w:p>
    <w:p>
      <w:pPr>
        <w:spacing w:after="0" w:line="67"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23495</wp:posOffset>
            </wp:positionV>
            <wp:extent cx="2211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42"/>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1,018</w:t>
            </w:r>
          </w:p>
        </w:tc>
      </w:tr>
      <w:tr>
        <w:trPr>
          <w:trHeight w:val="27"/>
        </w:trPr>
        <w:tc>
          <w:tcPr>
            <w:tcW w:w="77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41"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7"/>
          <w:szCs w:val="17"/>
          <w:color w:val="auto"/>
        </w:rPr>
        <w:t>Future minimum lease payments under commenced non-cancelable operating leases, which are as of March 31, 2020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Minimum Lease</w:t>
            </w:r>
          </w:p>
        </w:tc>
        <w:tc>
          <w:tcPr>
            <w:tcW w:w="0" w:type="dxa"/>
            <w:vAlign w:val="bottom"/>
          </w:tcPr>
          <w:p>
            <w:pPr>
              <w:spacing w:after="0"/>
              <w:rPr>
                <w:sz w:val="1"/>
                <w:szCs w:val="1"/>
                <w:color w:val="auto"/>
              </w:rPr>
            </w:pPr>
          </w:p>
        </w:tc>
      </w:tr>
      <w:tr>
        <w:trPr>
          <w:trHeight w:val="148"/>
        </w:trPr>
        <w:tc>
          <w:tcPr>
            <w:tcW w:w="9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2"/>
                <w:szCs w:val="12"/>
                <w:color w:val="auto"/>
              </w:rPr>
            </w:pPr>
          </w:p>
        </w:tc>
        <w:tc>
          <w:tcPr>
            <w:tcW w:w="13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(remainder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39,193</w:t>
            </w:r>
          </w:p>
        </w:tc>
        <w:tc>
          <w:tcPr>
            <w:tcW w:w="0" w:type="dxa"/>
            <w:vAlign w:val="bottom"/>
          </w:tcPr>
          <w:p>
            <w:pPr>
              <w:spacing w:after="0"/>
              <w:rPr>
                <w:sz w:val="1"/>
                <w:szCs w:val="1"/>
                <w:color w:val="auto"/>
              </w:rPr>
            </w:pPr>
          </w:p>
        </w:tc>
      </w:tr>
      <w:tr>
        <w:trPr>
          <w:trHeight w:val="27"/>
        </w:trPr>
        <w:tc>
          <w:tcPr>
            <w:tcW w:w="9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71,381</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(30,585)</w:t>
            </w:r>
          </w:p>
        </w:tc>
        <w:tc>
          <w:tcPr>
            <w:tcW w:w="0" w:type="dxa"/>
            <w:vAlign w:val="bottom"/>
          </w:tcPr>
          <w:p>
            <w:pPr>
              <w:spacing w:after="0"/>
              <w:rPr>
                <w:sz w:val="1"/>
                <w:szCs w:val="1"/>
                <w:color w:val="auto"/>
              </w:rPr>
            </w:pPr>
          </w:p>
        </w:tc>
      </w:tr>
      <w:tr>
        <w:trPr>
          <w:trHeight w:val="27"/>
        </w:trPr>
        <w:tc>
          <w:tcPr>
            <w:tcW w:w="9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40,796</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3"/>
                <w:szCs w:val="13"/>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Cash-</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249"/>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Cash-unrestricted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Cash-restricted</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7"/>
        </w:trPr>
        <w:tc>
          <w:tcPr>
            <w:tcW w:w="3620" w:type="dxa"/>
            <w:vAlign w:val="bottom"/>
          </w:tcPr>
          <w:p>
            <w:pPr>
              <w:jc w:val="center"/>
              <w:ind w:right="2550"/>
              <w:spacing w:after="0"/>
              <w:rPr>
                <w:sz w:val="20"/>
                <w:szCs w:val="20"/>
                <w:color w:val="auto"/>
              </w:rPr>
            </w:pPr>
            <w:r>
              <w:rPr>
                <w:rFonts w:ascii="Arial" w:cs="Arial" w:eastAsia="Arial" w:hAnsi="Arial"/>
                <w:sz w:val="18"/>
                <w:szCs w:val="18"/>
                <w:color w:val="auto"/>
                <w:w w:val="89"/>
              </w:rPr>
              <w:t>Total cash</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jc w:val="center"/>
              <w:ind w:right="2530"/>
              <w:spacing w:after="0"/>
              <w:rPr>
                <w:sz w:val="20"/>
                <w:szCs w:val="20"/>
                <w:color w:val="auto"/>
              </w:rPr>
            </w:pPr>
            <w:r>
              <w:rPr>
                <w:rFonts w:ascii="Arial" w:cs="Arial" w:eastAsia="Arial" w:hAnsi="Arial"/>
                <w:sz w:val="18"/>
                <w:szCs w:val="18"/>
                <w:color w:val="auto"/>
                <w:w w:val="96"/>
              </w:rPr>
              <w:t>Level I:</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6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49,524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49,560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3"/>
                <w:szCs w:val="13"/>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Cash-</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249"/>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Cash-unrestricted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Cash-restricted</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7"/>
        </w:trPr>
        <w:tc>
          <w:tcPr>
            <w:tcW w:w="3620" w:type="dxa"/>
            <w:vAlign w:val="bottom"/>
          </w:tcPr>
          <w:p>
            <w:pPr>
              <w:jc w:val="center"/>
              <w:ind w:right="2550"/>
              <w:spacing w:after="0"/>
              <w:rPr>
                <w:sz w:val="20"/>
                <w:szCs w:val="20"/>
                <w:color w:val="auto"/>
              </w:rPr>
            </w:pPr>
            <w:r>
              <w:rPr>
                <w:rFonts w:ascii="Arial" w:cs="Arial" w:eastAsia="Arial" w:hAnsi="Arial"/>
                <w:sz w:val="18"/>
                <w:szCs w:val="18"/>
                <w:color w:val="auto"/>
                <w:w w:val="89"/>
              </w:rPr>
              <w:t>Total cash</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jc w:val="center"/>
              <w:ind w:right="2530"/>
              <w:spacing w:after="0"/>
              <w:rPr>
                <w:sz w:val="20"/>
                <w:szCs w:val="20"/>
                <w:color w:val="auto"/>
              </w:rPr>
            </w:pPr>
            <w:r>
              <w:rPr>
                <w:rFonts w:ascii="Arial" w:cs="Arial" w:eastAsia="Arial" w:hAnsi="Arial"/>
                <w:sz w:val="18"/>
                <w:szCs w:val="18"/>
                <w:color w:val="auto"/>
                <w:w w:val="96"/>
              </w:rPr>
              <w:t>Level I:</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60,714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and no changes in the valuation techniques used during the three months ended March 31, 2020.</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three months ended March 31, 2020 and 2019.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jc w:val="both"/>
        <w:ind w:right="640" w:firstLine="391"/>
        <w:spacing w:after="0" w:line="311" w:lineRule="auto"/>
        <w:rPr>
          <w:sz w:val="20"/>
          <w:szCs w:val="20"/>
          <w:color w:val="auto"/>
        </w:rPr>
      </w:pPr>
      <w:r>
        <w:rPr>
          <w:rFonts w:ascii="Arial" w:cs="Arial" w:eastAsia="Arial" w:hAnsi="Arial"/>
          <w:sz w:val="16"/>
          <w:szCs w:val="16"/>
          <w:color w:val="auto"/>
        </w:rPr>
        <w:t>In 2019, we significantly reduced the amount of our debt outstanding. As a result, these securities are not traded frequently, so it is difficult to estimate a reliable and accurate market price and represent Level III valuations. A fair value for these assets cannot be determined by using readily observable inputs or measures, such as market prices or models. Fair values were estimated using pricing models and risk-adjusted value ranges.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99" w:right="339" w:bottom="1440" w:gutter="0" w:footer="0" w:header="0"/>
        </w:sectPr>
      </w:pPr>
    </w:p>
    <w:bookmarkStart w:id="22" w:name="page23"/>
    <w:bookmarkEnd w:id="22"/>
    <w:p>
      <w:pPr>
        <w:ind w:left="400"/>
        <w:spacing w:after="0"/>
        <w:rPr>
          <w:sz w:val="20"/>
          <w:szCs w:val="20"/>
          <w:color w:val="auto"/>
        </w:rPr>
      </w:pPr>
      <w:r>
        <w:rPr>
          <w:rFonts w:ascii="Arial" w:cs="Arial" w:eastAsia="Arial" w:hAnsi="Arial"/>
          <w:sz w:val="17"/>
          <w:szCs w:val="17"/>
          <w:color w:val="auto"/>
        </w:rPr>
        <w:t>The following table summarizes the par value, carrying value and the estimated fair value of the 2014 and 2019 Notes at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1"/>
              </w:rPr>
              <w:t>December 31, 2019</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Par Value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8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2019 Notes</w:t>
            </w: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57,174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52,764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73,975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56,079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58,296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53,821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75,097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InstruNor Acquisition</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January 17, 2020, we completed the acquisition all of the outstanding shares of InstruNor (see Note 3). The purchase price was approximately $7.2 million, consisting of $5.2 million in cash and 485,451 shares of our common stock.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Conversion of 2018 Notes</w:t>
      </w:r>
    </w:p>
    <w:p>
      <w:pPr>
        <w:spacing w:after="0" w:line="171" w:lineRule="exact"/>
        <w:rPr>
          <w:sz w:val="20"/>
          <w:szCs w:val="20"/>
          <w:color w:val="auto"/>
        </w:rPr>
      </w:pPr>
    </w:p>
    <w:p>
      <w:pPr>
        <w:ind w:right="40" w:firstLine="391"/>
        <w:spacing w:after="0" w:line="342"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7). As a result of this issuance of our common stock, we recorded a total of $133.3 million of equity, which was equivalent to the fair value of the bonds retired.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2020, we had reserved shares of common stock for future issuance under equity compensation plans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To Be</w:t>
            </w:r>
          </w:p>
        </w:tc>
        <w:tc>
          <w:tcPr>
            <w:tcW w:w="12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Securities To Be Issued</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Release</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Restricted Stock</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Securities</w:t>
            </w:r>
          </w:p>
        </w:tc>
        <w:tc>
          <w:tcPr>
            <w:tcW w:w="0" w:type="dxa"/>
            <w:vAlign w:val="bottom"/>
          </w:tcPr>
          <w:p>
            <w:pPr>
              <w:spacing w:after="0"/>
              <w:rPr>
                <w:sz w:val="1"/>
                <w:szCs w:val="1"/>
                <w:color w:val="auto"/>
              </w:rPr>
            </w:pPr>
          </w:p>
        </w:tc>
      </w:tr>
      <w:tr>
        <w:trPr>
          <w:trHeight w:val="148"/>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000's)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Performance</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 Equity Incentive Plan</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2011 Equity Incentive Plan</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1,606</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4,490</w:t>
            </w:r>
          </w:p>
        </w:tc>
        <w:tc>
          <w:tcPr>
            <w:tcW w:w="1560" w:type="dxa"/>
            <w:vAlign w:val="bottom"/>
            <w:gridSpan w:val="2"/>
          </w:tcPr>
          <w:p>
            <w:pPr>
              <w:jc w:val="right"/>
              <w:ind w:right="19"/>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DVS Sciences Inc. 2010 Equity Incentive Plan</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2017 Inducement Award Plan</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207</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Employee Stock Purchase Plan</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Plans</w:t>
      </w:r>
    </w:p>
    <w:p>
      <w:pPr>
        <w:spacing w:after="0" w:line="175"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Our board of directors sets the terms, conditions, and restrictions related to our 2017 Employee Stock Purchase Plan (ESPP) and the grant of stock options, restricted stock units (RSUs) and performance-based awards under our various stock-based plans. Our board of directors determines the number of awards to grant and also sets vesting criteria.</w:t>
      </w:r>
    </w:p>
    <w:p>
      <w:pPr>
        <w:spacing w:after="0" w:line="130" w:lineRule="exact"/>
        <w:rPr>
          <w:sz w:val="20"/>
          <w:szCs w:val="20"/>
          <w:color w:val="auto"/>
        </w:rPr>
      </w:pPr>
    </w:p>
    <w:p>
      <w:pPr>
        <w:ind w:right="400" w:firstLine="432"/>
        <w:spacing w:after="0" w:line="263" w:lineRule="auto"/>
        <w:rPr>
          <w:sz w:val="20"/>
          <w:szCs w:val="20"/>
          <w:color w:val="auto"/>
        </w:rPr>
      </w:pPr>
      <w:r>
        <w:rPr>
          <w:rFonts w:ascii="Arial" w:cs="Arial" w:eastAsia="Arial" w:hAnsi="Arial"/>
          <w:sz w:val="18"/>
          <w:szCs w:val="18"/>
          <w:color w:val="auto"/>
        </w:rPr>
        <w:t>In general, RSUs vest on a quarterly basis over a period of four years from the date of grant at a rate of either 25% on the first anniversary of the grant date and ratably each quarter over the remaining 12 quarters, or ratably each quarter over 16 quarters, subject to the employees’ continued employment.</w:t>
      </w:r>
    </w:p>
    <w:p>
      <w:pPr>
        <w:spacing w:after="0" w:line="13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41" w:right="339" w:bottom="1440" w:gutter="0" w:footer="0" w:header="0"/>
        </w:sectPr>
      </w:pPr>
    </w:p>
    <w:bookmarkStart w:id="23" w:name="page24"/>
    <w:bookmarkEnd w:id="23"/>
    <w:p>
      <w:pPr>
        <w:ind w:right="140" w:firstLine="432"/>
        <w:spacing w:after="0" w:line="263"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January 2011, our board of directors adopted the 2011 Equity Incentive Plan (the 2011 Plan) under which incentive stock options, non-statutory stock options, RSUs, stock appreciation rights, performance stock units (PSUs), and performance shares may be granted to our employees, directors, and consultants. In April 2019, our board of directors authorized, and in June 2019, our stockholders approved, the amendment and restatement of the 2011 Plan to make various changes, including increasing the number of shares reserved for issuance by approximately 5.0 million shares and extending the term of the 2011 Plan until April 2029.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2017 Inducement Award Plan</w:t>
      </w:r>
    </w:p>
    <w:p>
      <w:pPr>
        <w:spacing w:after="0" w:line="17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2009 Equity Incentive Plan (the 2009 Plan) terminated on the date the 2011 Plan was adopted. Options granted, or shares issued under the 2009 Plan that were outstanding on the date the 2011 Plan became effective, remained subject to the terms of the 2009 Plan.</w:t>
      </w:r>
    </w:p>
    <w:p>
      <w:pPr>
        <w:spacing w:after="0" w:line="11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January 2017, we adopted the Fluidigm Corporation 2017 Inducement Award Plan (Inducement Plan) and reserved 2 million shares of our common stock for issuance pursuant to equity awards granted under the Inducement Plan. The Inducement Plan provided for the grant of equity-based awards on terms substantially similar to the 2011 Plan. In accordance with Rule 5635(c)(4) of the Nasdaq Listing Rules, awards under the Inducement Plan were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when the Inducement Plan was terminated remain outstanding subject to their terms and the terms of the Inducement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7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use the Black-Scholes option-pricing model to estimate the fair value of stock options granted under our equity incentive plans. 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Activity under the 2011 Plan, the 2009 Plan, and the Inducement Plan was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Units (in 000’s)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560" w:type="dxa"/>
            <w:vAlign w:val="bottom"/>
            <w:tcBorders>
              <w:bottom w:val="single" w:sz="8" w:color="BFE4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2019</w:t>
            </w:r>
          </w:p>
        </w:tc>
        <w:tc>
          <w:tcPr>
            <w:tcW w:w="17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2,551</w:t>
            </w:r>
          </w:p>
        </w:tc>
        <w:tc>
          <w:tcPr>
            <w:tcW w:w="3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1,683</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(296)</w:t>
            </w:r>
          </w:p>
        </w:tc>
        <w:tc>
          <w:tcPr>
            <w:tcW w:w="3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78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7560" w:type="dxa"/>
            <w:vAlign w:val="bottom"/>
            <w:tcBorders>
              <w:bottom w:val="single" w:sz="8" w:color="BFE4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158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March 31, 2020</w:t>
            </w:r>
          </w:p>
        </w:tc>
        <w:tc>
          <w:tcPr>
            <w:tcW w:w="1780" w:type="dxa"/>
            <w:vAlign w:val="bottom"/>
            <w:tcBorders>
              <w:bottom w:val="single" w:sz="8" w:color="auto"/>
            </w:tcBorders>
            <w:shd w:val="clear" w:color="auto" w:fill="BFE4FF"/>
          </w:tcPr>
          <w:p>
            <w:pPr>
              <w:jc w:val="right"/>
              <w:ind w:right="33"/>
              <w:spacing w:after="0"/>
              <w:rPr>
                <w:sz w:val="20"/>
                <w:szCs w:val="20"/>
                <w:color w:val="auto"/>
              </w:rPr>
            </w:pPr>
            <w:r>
              <w:rPr>
                <w:rFonts w:ascii="Arial" w:cs="Arial" w:eastAsia="Arial" w:hAnsi="Arial"/>
                <w:sz w:val="18"/>
                <w:szCs w:val="18"/>
                <w:color w:val="auto"/>
              </w:rPr>
              <w:t>3,778</w:t>
            </w:r>
          </w:p>
        </w:tc>
        <w:tc>
          <w:tcPr>
            <w:tcW w:w="3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March 31, 2020, the unrecognized compensation costs related to outstanding unvested RSUs under our equity incentive plans were $18.1 million. We expect to recognize those costs over a weighted average period of 3.2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03" w:right="3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Options (000’s)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per Option</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Value (1) in (000’s)</w:t>
            </w: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March 31, 2020</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1,391</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awards at March 31, 2020</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intrinsic value as of March 31, 2020 was calculated as the difference between the closing price per share of our common stock on the last trading day of March 31, 2020, which was $2.54, and the exercise price of the options, multiplied by the number of in-the-money options.</w:t>
      </w:r>
    </w:p>
    <w:p>
      <w:pPr>
        <w:spacing w:after="0" w:line="12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of March 31, 2020, the unrecognized compensation costs related to outstanding unvested options under our equity incentive plans were $1.6 million. We expect to recognize those costs over a weighted average period of 1.7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 with Market Conditions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granted PSU awards to certain executive officers and senior level employees. The number of PSUs ultimately earned under these awards is calculated based on the Total Shareholder Return (TSR) of our common stock as compared to the TSR of a defined group of peer companies during the applicable three-year performance period. The percentage of PSUs that vest will depend on our relative position at the end of the performance period and can range from 0% to 200% of the number of units granted.</w:t>
      </w:r>
    </w:p>
    <w:p>
      <w:pPr>
        <w:spacing w:after="0" w:line="349"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color w:val="auto"/>
        </w:rPr>
        <w:t>Under FASB ASC Topic 718, the provisions of the PSU awards related to TSR are considered a market condition, and the effects of that market condition are reflected in the grant date fair value of the awards. We used a Monte Carlo simulation pricing model to incorporate the market condition effects at our grant date.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the TSR-based PSUs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7"/>
              </w:rPr>
              <w:t>Number of Units (in 000s)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BFE4FF"/>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2019</w:t>
            </w:r>
          </w:p>
        </w:tc>
        <w:tc>
          <w:tcPr>
            <w:tcW w:w="1900" w:type="dxa"/>
            <w:vAlign w:val="bottom"/>
            <w:tcBorders>
              <w:bottom w:val="single" w:sz="8" w:color="BFE4FF"/>
            </w:tcBorders>
            <w:gridSpan w:val="2"/>
            <w:shd w:val="clear" w:color="auto" w:fill="BFE4FF"/>
          </w:tcPr>
          <w:p>
            <w:pPr>
              <w:jc w:val="right"/>
              <w:ind w:right="36"/>
              <w:spacing w:after="0"/>
              <w:rPr>
                <w:sz w:val="20"/>
                <w:szCs w:val="20"/>
                <w:color w:val="auto"/>
              </w:rPr>
            </w:pPr>
            <w:r>
              <w:rPr>
                <w:rFonts w:ascii="Arial" w:cs="Arial" w:eastAsia="Arial" w:hAnsi="Arial"/>
                <w:sz w:val="18"/>
                <w:szCs w:val="18"/>
                <w:color w:val="auto"/>
              </w:rPr>
              <w:t>547</w:t>
            </w:r>
          </w:p>
        </w:tc>
        <w:tc>
          <w:tcPr>
            <w:tcW w:w="3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900" w:type="dxa"/>
            <w:vAlign w:val="bottom"/>
            <w:gridSpan w:val="2"/>
          </w:tcPr>
          <w:p>
            <w:pPr>
              <w:jc w:val="right"/>
              <w:ind w:right="36"/>
              <w:spacing w:after="0"/>
              <w:rPr>
                <w:sz w:val="20"/>
                <w:szCs w:val="20"/>
                <w:color w:val="auto"/>
              </w:rPr>
            </w:pPr>
            <w:r>
              <w:rPr>
                <w:rFonts w:ascii="Arial" w:cs="Arial" w:eastAsia="Arial" w:hAnsi="Arial"/>
                <w:sz w:val="18"/>
                <w:szCs w:val="18"/>
                <w:color w:val="auto"/>
              </w:rPr>
              <w:t>509</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PSU released</w:t>
            </w:r>
          </w:p>
        </w:tc>
        <w:tc>
          <w:tcPr>
            <w:tcW w:w="120" w:type="dxa"/>
            <w:vAlign w:val="bottom"/>
            <w:tcBorders>
              <w:bottom w:val="single" w:sz="8" w:color="BFE4FF"/>
            </w:tcBorders>
            <w:shd w:val="clear" w:color="auto" w:fill="BFE4FF"/>
          </w:tcPr>
          <w:p>
            <w:pPr>
              <w:spacing w:after="0"/>
              <w:rPr>
                <w:sz w:val="21"/>
                <w:szCs w:val="21"/>
                <w:color w:val="auto"/>
              </w:rPr>
            </w:pPr>
          </w:p>
        </w:tc>
        <w:tc>
          <w:tcPr>
            <w:tcW w:w="17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158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bottom w:val="single" w:sz="8" w:color="BFE4FF"/>
            </w:tcBorders>
            <w:shd w:val="clear" w:color="auto" w:fill="BFE4FF"/>
          </w:tcPr>
          <w:p>
            <w:pPr>
              <w:spacing w:after="0"/>
              <w:rPr>
                <w:sz w:val="23"/>
                <w:szCs w:val="23"/>
                <w:color w:val="auto"/>
              </w:rPr>
            </w:pPr>
          </w:p>
        </w:tc>
        <w:tc>
          <w:tcPr>
            <w:tcW w:w="1780" w:type="dxa"/>
            <w:vAlign w:val="bottom"/>
            <w:tcBorders>
              <w:bottom w:val="single" w:sz="8" w:color="auto"/>
            </w:tcBorders>
            <w:shd w:val="clear" w:color="auto" w:fill="BFE4FF"/>
          </w:tcPr>
          <w:p>
            <w:pPr>
              <w:jc w:val="right"/>
              <w:ind w:right="36"/>
              <w:spacing w:after="0"/>
              <w:rPr>
                <w:sz w:val="20"/>
                <w:szCs w:val="20"/>
                <w:color w:val="auto"/>
              </w:rPr>
            </w:pPr>
            <w:r>
              <w:rPr>
                <w:rFonts w:ascii="Arial" w:cs="Arial" w:eastAsia="Arial" w:hAnsi="Arial"/>
                <w:sz w:val="18"/>
                <w:szCs w:val="18"/>
                <w:color w:val="auto"/>
              </w:rPr>
              <w:t>962</w:t>
            </w:r>
          </w:p>
        </w:tc>
        <w:tc>
          <w:tcPr>
            <w:tcW w:w="3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March 31, 2020, the unrecognized compensation costs related to these awards were $6.5 million. We expect to recognize those costs over a weighted average period of 2.2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5" w:name="page26"/>
    <w:bookmarkEnd w:id="25"/>
    <w:p>
      <w:pPr>
        <w:ind w:left="240"/>
        <w:spacing w:after="0"/>
        <w:rPr>
          <w:sz w:val="20"/>
          <w:szCs w:val="20"/>
          <w:color w:val="auto"/>
        </w:rPr>
      </w:pPr>
      <w:r>
        <w:rPr>
          <w:rFonts w:ascii="Arial" w:cs="Arial" w:eastAsia="Arial" w:hAnsi="Arial"/>
          <w:sz w:val="18"/>
          <w:szCs w:val="18"/>
          <w:i w:val="1"/>
          <w:iCs w:val="1"/>
          <w:color w:val="auto"/>
        </w:rPr>
        <w:t>Performance Stock Units with Performance Conditions</w:t>
      </w:r>
    </w:p>
    <w:p>
      <w:pPr>
        <w:spacing w:after="0" w:line="171"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During 2019, we also granted PSUs to a certain employee. The number of PSUs that ultimately vest under these awards is dependent on achieving certain discrete operational milestones between September 30, 2019 and December 31, 2020. Activity under these PSUs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7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7"/>
              </w:rPr>
              <w:t>Number of Units (in 000s)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5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24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PSU released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7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In August 2017, our stockholders approved our 2017 Employee Stock Purchase Plan (ESPP) at the annual meeting of stockholders. Our ESPP offers U.S. and some non-U.S. employees the right to purchase shares of our common stock. Our first ESPP offering period began on October 1, 2017 with a shorter offering period ending on November 30, 2017.</w:t>
      </w:r>
    </w:p>
    <w:p>
      <w:pPr>
        <w:spacing w:after="0" w:line="13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Prior to June 2019, our ESPP program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33"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Effective in June 2019, our ESPP program was amended to offer a twelve-month offering period with two six-month purchase periods beginning on each of May 31 and November 30. Employees are eligible under the amended program to participate through payroll deductions of up to 15% of their compensation. Employees may not purchase more than $25 thousand of stock for any calendar year.</w:t>
      </w:r>
    </w:p>
    <w:p>
      <w:pPr>
        <w:spacing w:after="0" w:line="13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Under the updated ESPP program,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lower of the fair market value of the common stock on the first day of the offering period and the last day of the offering period. In the event the fair market value of the common stock at the beginning of the second purchase period is less than the fair market value on the beginning of the offering period, the purchase price for the second offering period is reset to 85% of the lower of the fair value of the common stock at the beginning of the second purchase period and last day of the offering period.</w:t>
      </w:r>
    </w:p>
    <w:p>
      <w:pPr>
        <w:spacing w:after="0" w:line="124"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The offering period of June 1, 2019 to May 31, 2020 has two purchase periods, with one ending November 30, 2019 and the other ending May 31, 2020. As the fair market value of the common stock at November 30, 2019 was lower than the fair value of the common stock at the beginning of the offering period, the purchase price for the second purchase period was reset based on the lower of the November 30, 2019 price and May 31, 2019 price. The resetting of the purchase price is considered to be a modification of the original terms of the award. Under ASC 718, the incremental fair value based on the difference between the fair value of the modified award and the fair value of the original award immediately before it was modified was approximately $0.3 million. This amount is being amortized over the remaining offering period.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3"/>
        </w:trPr>
        <w:tc>
          <w:tcPr>
            <w:tcW w:w="6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Performance Share Units, and Restricted Stock Units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Company’s quarterly provision for income taxes is based on an estimated effective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3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recorded a tax benefit of $0.7 million for the three months ended March 31, 2020 and $42 thousand of tax expense for the three months ended March 31, 2019. The benefit in the current period was primarily attributable to the tax benefit from the amortization of our acquisition-related deferred tax liability, partially offset by a provision from our foreign operations. In the prior year, the provision from our foreign operations was larger than the tax benefit from the amortization of our acquisition-related deferred tax liability, resulting in a net expense.</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Company’s tax benefit and tax expense for income taxes for the periods presented differ from the 21% U.S. Federal statutory rate for the three months ended March 31, 2020 and 2019, respectively, primarily due to maintaining a valuation allowance for deferred tax assets, which primarily consist of net operating loss carryforwards.</w:t>
      </w:r>
    </w:p>
    <w:p>
      <w:pPr>
        <w:spacing w:after="0" w:line="18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Tax positions taken by the Company are subject to audits by multiple tax jurisdictions. The Company believes that it has provided adequate reserves for its uncertain tax positions for all tax years still open for assessment. The Company also believes that it does not have any tax position that will significantly increase or decrease within the next year. For the three months ended March 31, 2020, and 2019, respectively, the Company did not recognize any material interest or penalties related to uncertain tax positions.</w:t>
      </w:r>
    </w:p>
    <w:p>
      <w:pPr>
        <w:spacing w:after="0" w:line="13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 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7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the tax deprecation methods for qualified improvement property. The Company is currently analyzing the impact of these changes and therefore, an estimate of the impact to income taxes is not yet available.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Information About Geographic Areas</w:t>
      </w:r>
    </w:p>
    <w:p>
      <w:pPr>
        <w:spacing w:after="0" w:line="229"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services for the three months ended March 31, 2020 and 2019 is included in Note 4 to the condensed consolidated financial statements.</w:t>
      </w:r>
    </w:p>
    <w:p>
      <w:pPr>
        <w:spacing w:after="0" w:line="170"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Sales to customers in the United States, which includes $3.1 million of license revenue, represented $14.1 million, or 51% of total revenues, for the three months ended March 31, 2020 (see Note 2). Sales to customers in the United States represented $12.5 million or 42% of total revenues for the three months ended March 31, 2019.</w:t>
      </w:r>
    </w:p>
    <w:p>
      <w:pPr>
        <w:spacing w:after="0" w:line="18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No foreign country or jurisdiction had sales in excess of 10% of our total revenue during the three months ended March 31, 2020. Sales to customers in China represented $3.5 million, or 12%, for the three months ended March 31, 2019. For the three months ended March 31, 2019, sales to customers in Japan represented $4.0 million, or 13%, of total revenue. No other countries had sales in excess of 10% of our total revenue for three months ended March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99" w:right="339" w:bottom="1440" w:gutter="0" w:footer="0" w:header="0"/>
        </w:sectPr>
      </w:pPr>
    </w:p>
    <w:bookmarkStart w:id="27" w:name="page28"/>
    <w:bookmarkEnd w:id="27"/>
    <w:p>
      <w:pPr>
        <w:ind w:firstLine="324"/>
        <w:spacing w:after="0" w:line="259" w:lineRule="auto"/>
        <w:rPr>
          <w:sz w:val="20"/>
          <w:szCs w:val="20"/>
          <w:color w:val="auto"/>
        </w:rPr>
      </w:pPr>
      <w:r>
        <w:rPr>
          <w:rFonts w:ascii="Arial" w:cs="Arial" w:eastAsia="Arial" w:hAnsi="Arial"/>
          <w:sz w:val="18"/>
          <w:szCs w:val="18"/>
          <w:color w:val="auto"/>
        </w:rPr>
        <w:t>Other than license revenue referenced above, no customer represented more than 10% of our total revenues for the three months ended March 31, 2020 and 2019, respectively. Revenues from our five largest customers were 24% and 22% of total revenue for three months ended March 31, 2020 and 2019, respectively. Excluding the license revenue, revenues from our five largest customers was 15% and 22% of total revenue for three months ended March 31, 2020 and 2019, respectively.</w:t>
      </w:r>
    </w:p>
    <w:p>
      <w:pPr>
        <w:spacing w:after="0" w:line="291" w:lineRule="exact"/>
        <w:rPr>
          <w:sz w:val="20"/>
          <w:szCs w:val="20"/>
          <w:color w:val="auto"/>
        </w:rPr>
      </w:pPr>
    </w:p>
    <w:p>
      <w:pPr>
        <w:ind w:right="8400" w:firstLine="8"/>
        <w:spacing w:after="0" w:line="440"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Indemnification</w:t>
      </w:r>
    </w:p>
    <w:p>
      <w:pPr>
        <w:spacing w:after="0" w:line="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ind w:right="160" w:firstLine="391"/>
        <w:spacing w:after="0" w:line="259" w:lineRule="auto"/>
        <w:rPr>
          <w:sz w:val="20"/>
          <w:szCs w:val="20"/>
          <w:color w:val="auto"/>
        </w:rPr>
      </w:pPr>
      <w:r>
        <w:rPr>
          <w:rFonts w:ascii="Arial" w:cs="Arial" w:eastAsia="Arial" w:hAnsi="Arial"/>
          <w:sz w:val="18"/>
          <w:szCs w:val="18"/>
          <w:color w:val="auto"/>
        </w:rPr>
        <w:t>On April 21, 2020, the Company and Silicon Valley Bank (SVB) entered into the Third Amendment to Loan and Security Agreement (the Amendment), which amended the Loan and Security Agreement dated as of August 2, 2018, between the Company and SVB (as amended by the Default Waiver and First Amendment to Loan and Security Agreement dated September 7, 2018, and the Second Amendment to Loan and Security Agreement dated November 20, 2019, the Revolving Credit Agreement).</w:t>
      </w:r>
    </w:p>
    <w:p>
      <w:pPr>
        <w:spacing w:after="0" w:line="187" w:lineRule="exact"/>
        <w:rPr>
          <w:sz w:val="20"/>
          <w:szCs w:val="20"/>
          <w:color w:val="auto"/>
        </w:rPr>
      </w:pPr>
    </w:p>
    <w:p>
      <w:pPr>
        <w:ind w:firstLine="391"/>
        <w:spacing w:after="0" w:line="257" w:lineRule="auto"/>
        <w:rPr>
          <w:sz w:val="20"/>
          <w:szCs w:val="20"/>
          <w:color w:val="auto"/>
        </w:rPr>
      </w:pPr>
      <w:r>
        <w:rPr>
          <w:rFonts w:ascii="Arial" w:cs="Arial" w:eastAsia="Arial" w:hAnsi="Arial"/>
          <w:sz w:val="18"/>
          <w:szCs w:val="18"/>
          <w:color w:val="auto"/>
        </w:rPr>
        <w:t>The Amendment extended the maturity date of the Revolving Credit Agreement by two years, to August 2, 2022 and amends the interest rate to be the greater of (i) prime rate (as customarily defined), plus 0.50%, floating, and (ii) 5.25%. Interest on any outstanding loans continues to be due and payable monthly and the principal balance is due at maturity though loans can be prepaid at any time without penalty. Annual administration fees are unchanged and the quarterly unused revolving line facility fee remains at 0.75% per annum on the average unused facility. The Amendment also includes various administrative changes.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5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5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and public health crises (including COVID-19) on our business.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8"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0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60" w:firstLine="432"/>
        <w:spacing w:after="0" w:line="294" w:lineRule="auto"/>
        <w:rPr>
          <w:sz w:val="20"/>
          <w:szCs w:val="20"/>
          <w:color w:val="auto"/>
        </w:rPr>
      </w:pPr>
      <w:r>
        <w:rPr>
          <w:rFonts w:ascii="Arial" w:cs="Arial" w:eastAsia="Arial" w:hAnsi="Arial"/>
          <w:sz w:val="16"/>
          <w:szCs w:val="16"/>
          <w:color w:val="auto"/>
        </w:rPr>
        <w:t>Fluidigm®, the Fluidigm logo, Access Array™, Advanta™, Biomark™, Bringing new insights to life™, C1™, Callisto™, Cell-ID™, CyTOF®, D3™, Delta Gene™, Direct™, Dynamic Array™, EP1™, EQ™, FC1™, Flex Six™, Helios™, High-Precision 96.96 Genotyping™, HTI™,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quarterly report on Form 10-Q are the property of their respective owners.</w:t>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175"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Unless the context requires otherwise, references in this Form 10-Q to “Fluidigm,” the “Company,” “we,” “us,” and “our” refer to Fluidigm Corporation and its subsidiaries.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33"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7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sell our products to leading academic, government, pharmaceutical, biotechnology and plant and animal research laboratories worldwide. We distribute our systems through our direct sales force and support organizations located in North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77" w:right="339" w:bottom="1440" w:gutter="0" w:footer="0" w:header="0"/>
        </w:sectPr>
      </w:pPr>
    </w:p>
    <w:bookmarkStart w:id="29" w:name="page30"/>
    <w:bookmarkEnd w:id="29"/>
    <w:p>
      <w:pPr>
        <w:ind w:right="620"/>
        <w:spacing w:after="0" w:line="277" w:lineRule="auto"/>
        <w:rPr>
          <w:sz w:val="20"/>
          <w:szCs w:val="20"/>
          <w:color w:val="auto"/>
        </w:rPr>
      </w:pPr>
      <w:r>
        <w:rPr>
          <w:rFonts w:ascii="Arial" w:cs="Arial" w:eastAsia="Arial" w:hAnsi="Arial"/>
          <w:sz w:val="18"/>
          <w:szCs w:val="18"/>
          <w:color w:val="auto"/>
        </w:rPr>
        <w:t>America, Europe, and Asia-Pacific, and through distributors or sales agents in several European, Latin American, Middle Eastern, and Asia-Pacific countries.</w:t>
      </w:r>
    </w:p>
    <w:p>
      <w:pPr>
        <w:spacing w:after="0" w:line="62" w:lineRule="exact"/>
        <w:rPr>
          <w:sz w:val="20"/>
          <w:szCs w:val="20"/>
          <w:color w:val="auto"/>
        </w:rPr>
      </w:pPr>
    </w:p>
    <w:p>
      <w:pPr>
        <w:ind w:right="280" w:firstLine="391"/>
        <w:spacing w:after="0" w:line="301" w:lineRule="auto"/>
        <w:rPr>
          <w:sz w:val="20"/>
          <w:szCs w:val="20"/>
          <w:color w:val="auto"/>
        </w:rPr>
      </w:pPr>
      <w:r>
        <w:rPr>
          <w:rFonts w:ascii="Arial" w:cs="Arial" w:eastAsia="Arial" w:hAnsi="Arial"/>
          <w:sz w:val="16"/>
          <w:szCs w:val="16"/>
          <w:color w:val="auto"/>
        </w:rPr>
        <w:t>Our manufacturing operations are located in Singapore and Canada. Our facility in Singapore manufactures our genomics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Canada.</w:t>
      </w:r>
    </w:p>
    <w:p>
      <w:pPr>
        <w:spacing w:after="0" w:line="49"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Our total revenue for the three months ended March 31, 2020 was $27.6 million compared to $30.1 million for the three months ended March 31, 2019. Our total revenue was $117.2 million in 2019, and $113.0 million in 2018. We have incurred significant net losses since our inception in 1999 and, as of March 31, 2020, our accumulated deficit was $639.7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been actively responding to the COVID-19 pandemic by protecting our employees, supporting our customers, and managing our liquidity.</w:t>
      </w:r>
    </w:p>
    <w:p>
      <w:pPr>
        <w:spacing w:after="0" w:line="248" w:lineRule="exact"/>
        <w:rPr>
          <w:sz w:val="20"/>
          <w:szCs w:val="20"/>
          <w:color w:val="auto"/>
        </w:rPr>
      </w:pPr>
    </w:p>
    <w:p>
      <w:pPr>
        <w:ind w:right="120" w:firstLine="391"/>
        <w:spacing w:after="0" w:line="263" w:lineRule="auto"/>
        <w:rPr>
          <w:sz w:val="20"/>
          <w:szCs w:val="20"/>
          <w:color w:val="auto"/>
        </w:rPr>
      </w:pPr>
      <w:r>
        <w:rPr>
          <w:rFonts w:ascii="Arial" w:cs="Arial" w:eastAsia="Arial" w:hAnsi="Arial"/>
          <w:sz w:val="18"/>
          <w:szCs w:val="18"/>
          <w:color w:val="auto"/>
        </w:rPr>
        <w:t>As Fluidigm is a designated essential business, our employees have been working from home offices or our laboratories and offices, and in some cases, at customer sites. We have implemented health and safety practices in accordance with evolving government and public health agency guidelines in all of our facilities around the world.</w:t>
      </w:r>
    </w:p>
    <w:p>
      <w:pPr>
        <w:spacing w:after="0" w:line="184" w:lineRule="exact"/>
        <w:rPr>
          <w:sz w:val="20"/>
          <w:szCs w:val="20"/>
          <w:color w:val="auto"/>
        </w:rPr>
      </w:pPr>
    </w:p>
    <w:p>
      <w:pPr>
        <w:ind w:firstLine="391"/>
        <w:spacing w:after="0" w:line="279" w:lineRule="auto"/>
        <w:rPr>
          <w:sz w:val="20"/>
          <w:szCs w:val="20"/>
          <w:color w:val="auto"/>
        </w:rPr>
      </w:pPr>
      <w:r>
        <w:rPr>
          <w:rFonts w:ascii="Arial" w:cs="Arial" w:eastAsia="Arial" w:hAnsi="Arial"/>
          <w:sz w:val="17"/>
          <w:szCs w:val="17"/>
          <w:color w:val="auto"/>
        </w:rPr>
        <w:t>While Fluidigm is a designated essential business, widespread global adoption of work-from-home and shelter-in-place orders has resulted in a significant slowdown in customer activities. A majority of our customers is made up of academic research labs, including major medical centers, which are largely, if not fully, closed. Consequently, they have limited abilities to accept, or prepare facilities to accept, non-critical instrumentation. In addition, many are limited in their ability continue their lab research activities, which has had an impact on our consumables sales.</w:t>
      </w:r>
    </w:p>
    <w:p>
      <w:pPr>
        <w:spacing w:after="0" w:line="171" w:lineRule="exact"/>
        <w:rPr>
          <w:sz w:val="20"/>
          <w:szCs w:val="20"/>
          <w:color w:val="auto"/>
        </w:rPr>
      </w:pPr>
    </w:p>
    <w:p>
      <w:pPr>
        <w:ind w:right="20" w:firstLine="391"/>
        <w:spacing w:after="0" w:line="257" w:lineRule="auto"/>
        <w:rPr>
          <w:sz w:val="20"/>
          <w:szCs w:val="20"/>
          <w:color w:val="auto"/>
        </w:rPr>
      </w:pPr>
      <w:r>
        <w:rPr>
          <w:rFonts w:ascii="Arial" w:cs="Arial" w:eastAsia="Arial" w:hAnsi="Arial"/>
          <w:sz w:val="18"/>
          <w:szCs w:val="18"/>
          <w:color w:val="auto"/>
        </w:rPr>
        <w:t>We are seeing and expect to continue to see near-term COVID-19-related priorities temporarily displacing longer term projects and research activities. Fluidigm has been working with a growing body of researchers around the world who are aggressively responding to the pandemic. We believe our microfluidics and mass cytometry capabilities can play a significant role in virus detection as well as in immune profiling of patients and populations. Furthermore, we believe our technologies and solutions will be important to the durable response from government and medical institutions to be prepared for future outbreaks.</w:t>
      </w:r>
    </w:p>
    <w:p>
      <w:pPr>
        <w:spacing w:after="0" w:line="188" w:lineRule="exact"/>
        <w:rPr>
          <w:sz w:val="20"/>
          <w:szCs w:val="20"/>
          <w:color w:val="auto"/>
        </w:rPr>
      </w:pPr>
    </w:p>
    <w:p>
      <w:pPr>
        <w:ind w:right="60" w:firstLine="391"/>
        <w:spacing w:after="0" w:line="259" w:lineRule="auto"/>
        <w:rPr>
          <w:sz w:val="20"/>
          <w:szCs w:val="20"/>
          <w:color w:val="auto"/>
        </w:rPr>
      </w:pPr>
      <w:r>
        <w:rPr>
          <w:rFonts w:ascii="Arial" w:cs="Arial" w:eastAsia="Arial" w:hAnsi="Arial"/>
          <w:sz w:val="18"/>
          <w:szCs w:val="18"/>
          <w:color w:val="auto"/>
        </w:rPr>
        <w:t>In this period of uncertainty, we are actively managing our operating expenses and cash flows in response to the evolving market conditions. We have started implementing reductions in our operating expense structure including salary reductions and constrained hiring until the business returns to more normal volumes. We have improved the company’s capital structure over the last 18 months, reducing our overall debt levels and extending our debt maturities.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financial statements requires us to make estimates and assumptions that affect the reported amounts of assets, liabilities, revenue, costs and expenses and related disclosures.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COVID-19, the extent to which it will impact worldwide macroeconomic conditions, including the speed of recovery, and governmental and business reactions to the pandemic.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81"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There have been no material changes in our critical accounting policies and estimates in the preparation of our condensed consolidated financial statements during the three months ended March 31, 2020, compared to those disclosed in our annual report on Form 10-K for the year ended December 31, 2019, as filed with the SEC on February 27,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8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did not have a significant impact on our financial results.</w:t>
      </w:r>
    </w:p>
    <w:p>
      <w:pPr>
        <w:spacing w:after="0" w:line="188" w:lineRule="exact"/>
        <w:rPr>
          <w:sz w:val="20"/>
          <w:szCs w:val="20"/>
          <w:color w:val="auto"/>
        </w:rPr>
      </w:pPr>
    </w:p>
    <w:p>
      <w:pPr>
        <w:ind w:right="120" w:firstLine="391"/>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is effective for annual and interim goodwill impairment testing performed for our fiscal year beginning January 1, 2020, with early adoption permitted, which we did not exercise. The adoption of the new guidance did not have a significant impact on our financial results.</w:t>
      </w:r>
    </w:p>
    <w:p>
      <w:pPr>
        <w:spacing w:after="0" w:line="138"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FASB issued two ASUs related to financial instruments – credit losses. The ASUs issued were: (i) in June 2016, ASU 2016-13, Financial Instruments-Credit Losses (Topic 326): Measurement of Credit Losses on Financial Instruments, and (ii)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The modified retrospective method is required upon adoption. The adoption of the new guidance resulted in an adjustment of approximately $0.1 million to reduce the accumulated deficit component of stockholders’ equity and decrease current assets by the same amount in the condensed consolidated balance sheet.</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Accounting Pronouncements</w:t>
      </w:r>
    </w:p>
    <w:p>
      <w:pPr>
        <w:spacing w:after="0" w:line="23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November 2019, the FASB issued ASU 2019-12 Income Taxes (Topic 740)-Simplifying the Accounting for Income Taxes. The amendments in this update improve consistent application of and simplifies GAAP for Topic 740 by clarifying and amending existing guidance including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71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three months ended March 31, 2020 and 2019, and as a percentage of total revenue for the respective periods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30,111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11,389</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8,372</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28</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147</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(2,701)</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We generate revenue primarily from sales of our products and services, and from license and grant agreements. Our product revenue consists of sales of instruments and consumables. Consumable revenues are largely driven by the size of our installed base of instruments and the annual level of pull-through per instrument. Service revenue is linked to our sales of instruments as our service revenue consists of post-warranty service contracts, preventive maintenance plans, instrument parts, installation and training. We also receive grants from various entities to perform research and development activities over contractually defined periods. Our license revenue is generated primarily in the United States and relates to licensing our technology to third parties.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sell our products to leading academic, government, pharmaceutical, biotechnology and plant and animal research laboratories worldwide.</w:t>
      </w:r>
    </w:p>
    <w:p>
      <w:pPr>
        <w:spacing w:after="0" w:line="237"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License revenue from a settlement agreement represented 11% of our total revenue and no other individual customer was more than 10% of our total revenue for three months ended March 31, 2020 and 2019, respectively. Excluding license revenue, revenue from our five largest customers was 15% and 22% of total revenue for the three months ended March 31, 2020 and 2019,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15" w:right="339" w:bottom="1440" w:gutter="0" w:footer="0" w:header="0"/>
        </w:sectPr>
      </w:pPr>
    </w:p>
    <w:bookmarkStart w:id="32" w:name="page33"/>
    <w:bookmarkEnd w:id="32"/>
    <w:p>
      <w:pPr>
        <w:ind w:right="40" w:firstLine="432"/>
        <w:spacing w:after="0" w:line="277" w:lineRule="auto"/>
        <w:rPr>
          <w:sz w:val="20"/>
          <w:szCs w:val="20"/>
          <w:color w:val="auto"/>
        </w:rPr>
      </w:pPr>
      <w:r>
        <w:rPr>
          <w:rFonts w:ascii="Arial" w:cs="Arial" w:eastAsia="Arial" w:hAnsi="Arial"/>
          <w:sz w:val="18"/>
          <w:szCs w:val="18"/>
          <w:color w:val="auto"/>
        </w:rPr>
        <w:t>The following table presents our revenue by source for the three months ended March 31, 2020 and 2019, and as a percentage of total revenue for the respective period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auto"/>
              </w:rPr>
              <w:t>9,471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9,510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18,981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24,827</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5,186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Product and service revenue</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24,167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30,111</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NA</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27,617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30,111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3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05"/>
        </w:trPr>
        <w:tc>
          <w:tcPr>
            <w:tcW w:w="9480" w:type="dxa"/>
            <w:vAlign w:val="bottom"/>
            <w:gridSpan w:val="15"/>
          </w:tcPr>
          <w:p>
            <w:pPr>
              <w:spacing w:after="0"/>
              <w:rPr>
                <w:sz w:val="20"/>
                <w:szCs w:val="20"/>
                <w:color w:val="auto"/>
              </w:rPr>
            </w:pPr>
            <w:r>
              <w:rPr>
                <w:rFonts w:ascii="Arial" w:cs="Arial" w:eastAsia="Arial" w:hAnsi="Arial"/>
                <w:sz w:val="18"/>
                <w:szCs w:val="18"/>
                <w:color w:val="auto"/>
                <w:w w:val="93"/>
              </w:rPr>
              <w:t>The following table presents our total revenue by geographic area of our customers and as a percentage of total revenue for the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three months ended March 31, 2020 and 2019 (in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9"/>
        </w:trPr>
        <w:tc>
          <w:tcPr>
            <w:tcW w:w="6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2"/>
              </w:rPr>
              <w:t>$27,617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30,111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Americas revenue includes revenue generated in the United States of $14.1 million and $12.5 million for the three months ended March 31, 2020 and 2019, respectively. For the three months ended March 31, 2020, revenue generated in the United States includes $3.1 million of license revenue.</w:t>
      </w:r>
    </w:p>
    <w:p>
      <w:pPr>
        <w:spacing w:after="0" w:line="124"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No foreign country or jurisdiction had sales in excess of 10% of our total revenue during the three months ended March 31, 2020. For the three months ended March 31, 2019, sales to China represented $3.5 million, or 12%, of total revenues; sales to Japan represented $4.0 million, or 13% of total revenues. No other countries had sales in excess of 10% of our total revenue for three months ended March 31, 2019.</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Total revenue decreased by $2.5 million or 8%, to $27.6 million for the three months ended March 31, 2020 compared to $30.1 million for the three months ended March 31, 2019, driven by COVID-19 and the ensuing shelter-in-place orders that effectively shuttered customer facilities around the world. Lower mass cytometry instruments and mass cytometry and microfluidics consumable revenues were partially offset by higher microfluidics instrument sales, licensing and grant revenue.</w:t>
      </w:r>
    </w:p>
    <w:p>
      <w:pPr>
        <w:spacing w:after="0" w:line="18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Americas revenues increased by $1.9 million, or 14%, driven by license revenue of $3.1 million, and grant revenue of $0.4 million, partially offset by lower instrument and consumables product revenues for the three months ended March 31, 2020 compared to the three months ended March 31, 2019. EMEA revenues grew $0.1 million or 1%. Higher instrument revenues in Europe were mostly offset by lower consumable revenue. Unfavorable foreign exchange rates had a 2% negative impact on EMEA revenue. The $4.3 million, or 48%, decrease in Asia-Pacific revenues was broad-based, with declines in both mass cytometry and microfluidics instrument and consumable revenues and, to a lesser extent, service revenues. On a company-wide basis, weaker foreign exchange rates negatively impacted revenues by less than 1% for the three months ended March 31, 2020 compared to the same period in 2019.</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Product revenue decreased by $5.8 million, or 24%, to $19.0 million for the three months ended March 31, 2020 from $24.8 million for the three months ended March 31, 2019 due to lower sales volumes and lower average selling prices of mass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19" w:right="339" w:bottom="1440" w:gutter="0" w:footer="0" w:header="0"/>
        </w:sectPr>
      </w:pPr>
    </w:p>
    <w:bookmarkStart w:id="33" w:name="page34"/>
    <w:bookmarkEnd w:id="33"/>
    <w:p>
      <w:pPr>
        <w:ind w:right="80"/>
        <w:spacing w:after="0" w:line="277" w:lineRule="auto"/>
        <w:rPr>
          <w:sz w:val="20"/>
          <w:szCs w:val="20"/>
          <w:color w:val="auto"/>
        </w:rPr>
      </w:pPr>
      <w:r>
        <w:rPr>
          <w:rFonts w:ascii="Arial" w:cs="Arial" w:eastAsia="Arial" w:hAnsi="Arial"/>
          <w:sz w:val="18"/>
          <w:szCs w:val="18"/>
          <w:color w:val="auto"/>
        </w:rPr>
        <w:t>cytometry instruments and consumables and by lower unit sales of microfluidics consumables. Partially offsetting these declines were higher microfluidics instrument revenue associated with new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the average selling prices of our products to fluctuate over time based on market conditions, product mix, and currency fluctuations.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Service revenue decreased by $0.1 million, or 2%, to $5.2 million for the three months ended March 31, 2020 compared to the three months ended March 31, 2019. Service activities declined due to closed customer facilities.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120" w:firstLine="391"/>
        <w:spacing w:after="0" w:line="311" w:lineRule="auto"/>
        <w:rPr>
          <w:sz w:val="20"/>
          <w:szCs w:val="20"/>
          <w:color w:val="auto"/>
        </w:rPr>
      </w:pPr>
      <w:r>
        <w:rPr>
          <w:rFonts w:ascii="Arial" w:cs="Arial" w:eastAsia="Arial" w:hAnsi="Arial"/>
          <w:sz w:val="16"/>
          <w:szCs w:val="16"/>
          <w:color w:val="auto"/>
        </w:rPr>
        <w:t>In March 2020, we reached a settlement agreement for intellectual property infringement claims, in which we received a $3.5 million payment in exchange for a perpetual license under certain of our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receive grants from various entities to perform research and development activities over contractually defined periods. Grant revenue in the current quarter is attributable to a new grant agreement entered into in the second half of 2019.</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and Service Cost, Product and Service Gross Profit and Product and Service Margin</w:t>
      </w:r>
    </w:p>
    <w:p>
      <w:pPr>
        <w:spacing w:after="0" w:line="225" w:lineRule="exact"/>
        <w:rPr>
          <w:sz w:val="20"/>
          <w:szCs w:val="20"/>
          <w:color w:val="auto"/>
        </w:rPr>
      </w:pPr>
    </w:p>
    <w:p>
      <w:pPr>
        <w:ind w:right="40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8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product and service cost, product and service gross profit and product and service margin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3"/>
        </w:trPr>
        <w:tc>
          <w:tcPr>
            <w:tcW w:w="73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CCEEFF"/>
            </w:tcBorders>
          </w:tcPr>
          <w:p>
            <w:pPr>
              <w:spacing w:after="0"/>
              <w:rPr>
                <w:sz w:val="22"/>
                <w:szCs w:val="2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11,389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60" w:type="dxa"/>
            <w:vAlign w:val="bottom"/>
          </w:tcPr>
          <w:p>
            <w:pPr>
              <w:spacing w:after="0"/>
              <w:rPr>
                <w:sz w:val="21"/>
                <w:szCs w:val="21"/>
                <w:color w:val="auto"/>
              </w:rPr>
            </w:pPr>
          </w:p>
        </w:tc>
        <w:tc>
          <w:tcPr>
            <w:tcW w:w="840" w:type="dxa"/>
            <w:vAlign w:val="bottom"/>
          </w:tcPr>
          <w:p>
            <w:pPr>
              <w:jc w:val="right"/>
              <w:ind w:right="115"/>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1,732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1"/>
                <w:szCs w:val="2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and service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11,165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13,121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CEEFF"/>
            </w:tcBorders>
            <w:shd w:val="clear" w:color="auto" w:fill="CCEEFF"/>
          </w:tcPr>
          <w:p>
            <w:pPr>
              <w:spacing w:after="0"/>
              <w:rPr>
                <w:sz w:val="22"/>
                <w:szCs w:val="22"/>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4"/>
        </w:trPr>
        <w:tc>
          <w:tcPr>
            <w:tcW w:w="7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and service 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16,990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Product and service margin</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(2.6)</w:t>
            </w:r>
          </w:p>
        </w:tc>
        <w:tc>
          <w:tcPr>
            <w:tcW w:w="560" w:type="dxa"/>
            <w:vAlign w:val="bottom"/>
          </w:tcPr>
          <w:p>
            <w:pPr>
              <w:ind w:left="240"/>
              <w:spacing w:after="0"/>
              <w:rPr>
                <w:sz w:val="20"/>
                <w:szCs w:val="20"/>
                <w:color w:val="auto"/>
              </w:rPr>
            </w:pPr>
            <w:r>
              <w:rPr>
                <w:rFonts w:ascii="Arial" w:cs="Arial" w:eastAsia="Arial" w:hAnsi="Arial"/>
                <w:sz w:val="18"/>
                <w:szCs w:val="18"/>
                <w:color w:val="auto"/>
                <w:w w:val="88"/>
              </w:rPr>
              <w:t>ppts</w:t>
            </w:r>
          </w:p>
        </w:tc>
      </w:tr>
    </w:tbl>
    <w:p>
      <w:pPr>
        <w:spacing w:after="0" w:line="175" w:lineRule="exact"/>
        <w:rPr>
          <w:sz w:val="20"/>
          <w:szCs w:val="20"/>
          <w:color w:val="auto"/>
        </w:rPr>
      </w:pPr>
    </w:p>
    <w:p>
      <w:pPr>
        <w:ind w:right="500" w:firstLine="391"/>
        <w:spacing w:after="0" w:line="277" w:lineRule="auto"/>
        <w:rPr>
          <w:sz w:val="20"/>
          <w:szCs w:val="20"/>
          <w:color w:val="auto"/>
        </w:rPr>
      </w:pPr>
      <w:r>
        <w:rPr>
          <w:rFonts w:ascii="Arial" w:cs="Arial" w:eastAsia="Arial" w:hAnsi="Arial"/>
          <w:sz w:val="18"/>
          <w:szCs w:val="18"/>
          <w:color w:val="auto"/>
        </w:rPr>
        <w:t>Product and service margin decreased by 2.6 percentage points for the three months ended March 31, 2020 compared to the three months ended March 31, 2019 due to the impact of fixed costs on a lower revenue base, as well as product mix.</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19" w:right="3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expenses for the three months ended March 31, 2020 and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8,372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22,695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22,824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31,394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31,196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Research and development expense increased by $0.3 million, or 4%, to $8.7 million for the three months ended March 31, 2020 compared to the three months ended March 31, 2019. Increases were primarily attributable to higher headcount costs and laboratory supplies costs.</w:t>
      </w:r>
    </w:p>
    <w:p>
      <w:pPr>
        <w:spacing w:after="0" w:line="12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124" w:lineRule="exact"/>
        <w:rPr>
          <w:sz w:val="20"/>
          <w:szCs w:val="20"/>
          <w:color w:val="auto"/>
        </w:rPr>
      </w:pPr>
    </w:p>
    <w:p>
      <w:pPr>
        <w:ind w:right="40" w:firstLine="432"/>
        <w:spacing w:after="0" w:line="296" w:lineRule="auto"/>
        <w:rPr>
          <w:sz w:val="20"/>
          <w:szCs w:val="20"/>
          <w:color w:val="auto"/>
        </w:rPr>
      </w:pPr>
      <w:r>
        <w:rPr>
          <w:rFonts w:ascii="Arial" w:cs="Arial" w:eastAsia="Arial" w:hAnsi="Arial"/>
          <w:sz w:val="16"/>
          <w:szCs w:val="16"/>
          <w:color w:val="auto"/>
        </w:rPr>
        <w:t>Selling, general and administrative expense decreased by $0.1 million, or 1%, to $22.7 million for three months ended March 31, 2020 compared to the three months ended March 31, 2019. Facilities cost increased approximately $1.0 million for three months ended March 31, 2020 compared to the three months ended March 31, 2019, reflecting moving and lease costs associated with our new corporate headquarters. We also incurred higher costs due to higher headcount compared to the year ago period. These cost increases were largely offset by lower legal and business development costs and lower travel expenses. Foreign exchange rates had a negligible impact on selling, general and administrative expense.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Loss on Extinguishment of Debt and Other Income (Loss),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months ended March 31, 2020 and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r>
      <w:tr>
        <w:trPr>
          <w:trHeight w:val="249"/>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NA</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(loss),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57"/>
        </w:trPr>
        <w:tc>
          <w:tcPr>
            <w:tcW w:w="81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91"/>
        <w:spacing w:after="0" w:line="273"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In the first quarter of 2019, the 2018 Notes were converted into approximately 19.5 million shares of our common stock and the 2018 Notes were retired. The decrease in interest expense for three months ended March 31, 2020 compared to the three months ended March 31, 2019 was primarily due to the retirement of the 2018 Notes. We recognized a loss of $9.0 million on the conversion of 2018 Notes, which was included in loss 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19" w:right="33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color w:val="auto"/>
        </w:rPr>
        <w:t>extinguishment of debt. This amount represents the difference between the fair value of the bonds converted and the carrying value of the bonds at the time of conversion.</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Other income (loss) net, of $0.8 million for the three months ended March 31, 2020 is primarily attributable to $0.2 million of interest income, and $1.0 million of foreign exchange losses, reflecting the impact of a stronger U.S. dollar.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right="360" w:firstLine="391"/>
        <w:spacing w:after="0" w:line="311" w:lineRule="auto"/>
        <w:rPr>
          <w:sz w:val="20"/>
          <w:szCs w:val="20"/>
          <w:color w:val="auto"/>
        </w:rPr>
      </w:pPr>
      <w:r>
        <w:rPr>
          <w:rFonts w:ascii="Arial" w:cs="Arial" w:eastAsia="Arial" w:hAnsi="Arial"/>
          <w:sz w:val="16"/>
          <w:szCs w:val="16"/>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149" w:lineRule="exact"/>
        <w:rPr>
          <w:sz w:val="20"/>
          <w:szCs w:val="20"/>
          <w:color w:val="auto"/>
        </w:rPr>
      </w:pPr>
    </w:p>
    <w:p>
      <w:pPr>
        <w:ind w:right="160" w:firstLine="432"/>
        <w:spacing w:after="0" w:line="301" w:lineRule="auto"/>
        <w:rPr>
          <w:sz w:val="20"/>
          <w:szCs w:val="20"/>
          <w:color w:val="auto"/>
        </w:rPr>
      </w:pPr>
      <w:r>
        <w:rPr>
          <w:rFonts w:ascii="Arial" w:cs="Arial" w:eastAsia="Arial" w:hAnsi="Arial"/>
          <w:sz w:val="16"/>
          <w:szCs w:val="16"/>
          <w:color w:val="auto"/>
        </w:rPr>
        <w:t>We recorded a tax benefit of $0.7 million, or an effective tax rate of 4.1%, for the three months ended March 31, 2020. For the three months ended March 31, 2019, we recorded a tax expense of $42 thousand. The benefit in the current period was primarily attributable to the tax benefit from the amortization of our acquisition-related deferred tax liability, partially offset by a provision from our foreign operations. In the prior year, the provision for our foreign operation was larger than the tax benefit from the amortization of our acquisition-related deferred tax liability, resulting in a net expense.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March 31, 2020, our principal sources of liquidity consisted of $35.0 million of cash and cash equivalents, and $13.5 million of short-term investments, as well as $1.1 million of restricted cash and $8.6 million of availability under our Revolving Credit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the three months ended March 31, 2020 and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summary: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(20,130)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12,331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(29,767)</w:t>
            </w:r>
          </w:p>
        </w:tc>
      </w:tr>
      <w:tr>
        <w:trPr>
          <w:trHeight w:val="27"/>
        </w:trPr>
        <w:tc>
          <w:tcPr>
            <w:tcW w:w="8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and license agreements and grants. Our cash flows from operating activities are also significantly influenced by our use of cash for operating expenses and working capital to support our business. We have historically experienced negative cash flows from operating activities as we have expanded our business and built our infrastructure domestically and internationally.</w:t>
      </w:r>
    </w:p>
    <w:p>
      <w:pPr>
        <w:spacing w:after="0" w:line="187"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Net cash used in operating activities in the three months ended March 31, 2020 was $4.3 million and consisted of net loss of $16.0 million, adjusted for non-cash adjustments of $7.0 million, partially offset by a net decrease in assets and liabilities of $4.7 million. Non-cash items primarily included an amortization of developed technology of $3.0 million, stock-based compensation expense of $2.4 million, amortization of debt discounts, premiums and issuance costs of $0.1 million, depreciation and amortization of $1.1 million, and other non-cash items of $0.3 million. The net decrease in assets and liabilities was primarily due to a decrease in accounts receivable of $4.7 million, an increase in accounts payable of $3.1 million, and an increase in deferred revenue of $1.0 million, partially offset by an increase of inventories of $2.3 million and a decrease in other liabilities of $2.1 million.</w:t>
      </w:r>
    </w:p>
    <w:p>
      <w:pPr>
        <w:spacing w:after="0" w:line="164" w:lineRule="exact"/>
        <w:rPr>
          <w:sz w:val="20"/>
          <w:szCs w:val="20"/>
          <w:color w:val="auto"/>
        </w:rPr>
      </w:pPr>
    </w:p>
    <w:p>
      <w:pPr>
        <w:ind w:right="40" w:firstLine="391"/>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2019 was $20.1 million and consisted of net loss of $25.5 million, adjusted for non-cash adjustments of $17.5 million, and an increase in the assets and liabilities of $12.1 million. Non-cash items primarily included a $9.0 million loss on extinguishment of debt, amortization of developed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19" w:right="339" w:bottom="1440" w:gutter="0" w:footer="0" w:header="0"/>
        </w:sectPr>
      </w:pPr>
    </w:p>
    <w:bookmarkStart w:id="36" w:name="page37"/>
    <w:bookmarkEnd w:id="36"/>
    <w:p>
      <w:pPr>
        <w:ind w:right="140"/>
        <w:spacing w:after="0" w:line="279" w:lineRule="auto"/>
        <w:rPr>
          <w:sz w:val="20"/>
          <w:szCs w:val="20"/>
          <w:color w:val="auto"/>
        </w:rPr>
      </w:pPr>
      <w:r>
        <w:rPr>
          <w:rFonts w:ascii="Arial" w:cs="Arial" w:eastAsia="Arial" w:hAnsi="Arial"/>
          <w:sz w:val="17"/>
          <w:szCs w:val="17"/>
          <w:color w:val="auto"/>
        </w:rPr>
        <w:t>technology of $2.8 million, stock-based compensation expense of $2.3 million, amortization of debt discounts, premiums, and issuance costs of $2.0 million, and depreciation and amortization of $1.2 million. The net change in assets and liabilities included a decrease in other liabilities of $10.9 million, an increase in accounts receivable of $2.5 million, an increase in inventories of $0.9 million, and an increase in prepaid and other assets of $1.2 million, partially offset by an increase accounts payable of $2.6 million, and an increase in deferred revenue of $0.7 million.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to improve manufacturing efficiencies and strengthen information technology and network security, as well as capital expenditures incurred in moving our corporate headquarters in 2020. However, we may choose to decrease or defer certain capital expenditures and development activities, while further optimizing our organization.</w:t>
      </w:r>
    </w:p>
    <w:p>
      <w:pPr>
        <w:spacing w:after="0" w:line="188"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Net cash provided by investing activities in the three months ended March 31, 2020 was $17.5 million, which was mainly due to proceeds from maturities of investments of $23.6 million, and partially offset by the acquisition of InstruNor AS, net of cash acquired, of $5.2 million.</w:t>
      </w:r>
    </w:p>
    <w:p>
      <w:pPr>
        <w:spacing w:after="0" w:line="14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cash used in investing activities in the three months ended March 31, 2019 was $9.8 million, which consisted of purchases of investments of $9.5 million and capital expenditures of $0.3 million to support our commercial and manufacturing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used cash in financing activities of $0.5 million during the three months ended March 31, 2020 was primarily due to payments of debt issuance costs of $0.4 million.</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generated cash from financing activities of $0.1 million during the three months ended March 31, 2019, consisting primarily of $0.3 million from exercise of stock options, partially offset by $0.1 million for income taxes related to net share settlement of equity awards.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At March 31, 2020 and December 31, 2019, our working capital, excluding deferred revenues and restricted cash, was $59.7 million and $74.0 million, respectively, including cash and cash equivalents of $35.0 million and $21.7 million, respectively, and short-term investments of $13.5 million and $37.0 million, respectively.</w:t>
      </w:r>
    </w:p>
    <w:p>
      <w:pPr>
        <w:spacing w:after="0" w:line="184" w:lineRule="exact"/>
        <w:rPr>
          <w:sz w:val="20"/>
          <w:szCs w:val="20"/>
          <w:color w:val="auto"/>
        </w:rPr>
      </w:pPr>
    </w:p>
    <w:p>
      <w:pPr>
        <w:jc w:val="both"/>
        <w:ind w:right="80" w:firstLine="391"/>
        <w:spacing w:after="0" w:line="263" w:lineRule="auto"/>
        <w:rPr>
          <w:sz w:val="20"/>
          <w:szCs w:val="20"/>
          <w:color w:val="auto"/>
        </w:rPr>
      </w:pPr>
      <w:r>
        <w:rPr>
          <w:rFonts w:ascii="Arial" w:cs="Arial" w:eastAsia="Arial" w:hAnsi="Arial"/>
          <w:sz w:val="18"/>
          <w:szCs w:val="18"/>
          <w:color w:val="auto"/>
        </w:rPr>
        <w:t>In February 2014, we closed an underwritten public offering of $201.3 million in aggregate principal amount of our 2014 Notes. In March 2018, we entered into privately negotiated transactions with certain holders of our 2014 Notes to exchange $150.0 million in aggregate principal amount of the 2014 Notes for $150.0 million in aggregate principal amount of 2018 Notes.</w:t>
      </w:r>
    </w:p>
    <w:p>
      <w:pPr>
        <w:spacing w:after="0" w:line="184" w:lineRule="exact"/>
        <w:rPr>
          <w:sz w:val="20"/>
          <w:szCs w:val="20"/>
          <w:color w:val="auto"/>
        </w:rPr>
      </w:pPr>
    </w:p>
    <w:p>
      <w:pPr>
        <w:ind w:right="80" w:firstLine="391"/>
        <w:spacing w:after="0" w:line="279" w:lineRule="auto"/>
        <w:rPr>
          <w:sz w:val="20"/>
          <w:szCs w:val="20"/>
          <w:color w:val="auto"/>
        </w:rPr>
      </w:pPr>
      <w:r>
        <w:rPr>
          <w:rFonts w:ascii="Arial" w:cs="Arial" w:eastAsia="Arial" w:hAnsi="Arial"/>
          <w:sz w:val="17"/>
          <w:szCs w:val="17"/>
          <w:color w:val="auto"/>
        </w:rPr>
        <w:t>In the first quarter of 2019, we received notices from holders of the 2018 Notes electing to voluntarily convert approximately $138.1 million in aggregate principal amount of the 2018 Notes. In February 2019, we notified trustee U.S. Bank National Association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2018 Notes were retired.</w:t>
      </w:r>
    </w:p>
    <w:p>
      <w:pPr>
        <w:spacing w:after="0" w:line="171" w:lineRule="exact"/>
        <w:rPr>
          <w:sz w:val="20"/>
          <w:szCs w:val="20"/>
          <w:color w:val="auto"/>
        </w:rPr>
      </w:pPr>
    </w:p>
    <w:p>
      <w:pPr>
        <w:ind w:firstLine="391"/>
        <w:spacing w:after="0" w:line="291" w:lineRule="auto"/>
        <w:rPr>
          <w:sz w:val="20"/>
          <w:szCs w:val="20"/>
          <w:color w:val="auto"/>
        </w:rPr>
      </w:pPr>
      <w:r>
        <w:rPr>
          <w:rFonts w:ascii="Arial" w:cs="Arial" w:eastAsia="Arial" w:hAnsi="Arial"/>
          <w:sz w:val="16"/>
          <w:szCs w:val="16"/>
          <w:color w:val="auto"/>
        </w:rPr>
        <w:t>In November 2019, we closed a private placement to qualified institutional buyers pursuant to Rule 144A under the Securities Act of $55.0 million aggregate principal amount of our 5.25% convertible senior notes due 2024 (2019 Notes). Net proceeds of the 2019 Notes issuance were $52.7 million, after deductions for commissions and other debt issuance costs. $51.8 million of the proceeds was used to retire $50.2 million aggregate principal amount of our 2014 Notes, leaving approximately $1.1 million of aggregate principal amount of our 2014 Notes outstanding. Pursuant to the Indenture governing the 2014 Notes, holders of the 2014 Notes have the right, subject to certain conditions specified in such indenture, to require the Company to purchase their 2014 Notes beginning in February 2021. The private placement of the 2019 Notes, and concurrent repurchase of a portion of the 2014 Notes, had the effect of refinancing a portion of the Company’s outstanding debt under the 2014 Notes to December 2024.</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719" w:right="359" w:bottom="1440" w:gutter="0" w:footer="0" w:header="0"/>
        </w:sectPr>
      </w:pPr>
    </w:p>
    <w:bookmarkStart w:id="37" w:name="page38"/>
    <w:bookmarkEnd w:id="37"/>
    <w:p>
      <w:pPr>
        <w:ind w:firstLine="391"/>
        <w:spacing w:after="0" w:line="255"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will be subject to adjustment upon the occurrence of certain specified events but will not be adjusted for any accrued and unpaid interest.</w:t>
      </w:r>
    </w:p>
    <w:p>
      <w:pPr>
        <w:spacing w:after="0" w:line="192" w:lineRule="exact"/>
        <w:rPr>
          <w:sz w:val="20"/>
          <w:szCs w:val="20"/>
          <w:color w:val="auto"/>
        </w:rPr>
      </w:pPr>
    </w:p>
    <w:p>
      <w:pPr>
        <w:ind w:right="20" w:firstLine="391"/>
        <w:spacing w:after="0" w:line="254" w:lineRule="auto"/>
        <w:rPr>
          <w:sz w:val="20"/>
          <w:szCs w:val="20"/>
          <w:color w:val="auto"/>
        </w:rPr>
      </w:pPr>
      <w:r>
        <w:rPr>
          <w:rFonts w:ascii="Arial" w:cs="Arial" w:eastAsia="Arial" w:hAnsi="Arial"/>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95" w:lineRule="exact"/>
        <w:rPr>
          <w:sz w:val="20"/>
          <w:szCs w:val="20"/>
          <w:color w:val="auto"/>
        </w:rPr>
      </w:pPr>
    </w:p>
    <w:p>
      <w:pPr>
        <w:ind w:right="20" w:firstLine="391"/>
        <w:spacing w:after="0" w:line="263" w:lineRule="auto"/>
        <w:rPr>
          <w:sz w:val="20"/>
          <w:szCs w:val="20"/>
          <w:color w:val="auto"/>
        </w:rPr>
      </w:pPr>
      <w:r>
        <w:rPr>
          <w:rFonts w:ascii="Arial" w:cs="Arial" w:eastAsia="Arial" w:hAnsi="Arial"/>
          <w:sz w:val="18"/>
          <w:szCs w:val="18"/>
          <w:color w:val="auto"/>
        </w:rPr>
        <w:t>The foregoing summaries of the 2014 Notes, the 2018 Notes, the 2019 Notes and the exchange transactions completed in March 2018 and November 2019 are not complete and are qualified in their entirety by the applicable indentures, forms of global notes, and other agreements and documents filed with the SEC.</w:t>
      </w:r>
    </w:p>
    <w:p>
      <w:pPr>
        <w:spacing w:after="0" w:line="184"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On August 2, 2018, we entered into a $15.0 million revolving senior credit facility (Revolving Credit Facility) with Silicon Valley Bank (SVB), with a maturity date of August 2, 2020. The Revolving Credit Facility is collateralized by substantially all our property, other than intellectual property. Outstanding loans under the Revolving Credit Facility bear interest, at the greater of (i) prime rate plus 0.50% or (ii) 5.50%. Amounts drawn under the Revolving Credit Facility will be used for working capital and general corporate purposes. As of March 31, 2020 total availability under the Revolving Credit Facility was $8.6 million. We currently have no outstanding debt under the Revolving Credit Facility, and we are in compliance with all the terms and conditions of the loan agreement governing the Revolving Credit Facility. See Note 7 to our consolidated financial statements for more information about the Revolving Credit Facility.</w:t>
      </w:r>
    </w:p>
    <w:p>
      <w:pPr>
        <w:spacing w:after="0" w:line="19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On April 21, 2020, we entered into the Third Amendment to Loan and Security Agreement with SVB (the Amendment), which amends the Loan and Security Agreement dated as of August 2, 2018, between the Company and SVB (as amended by the Default Waiver and First Amendment to Loan and Security Agreement dated September 7, 2018, and the Second Amendment to Loan and Security Agreement dated November 20, 2019, the Revolving Credit Agreement). The Amendment extends the maturity date by two years, to August 2, 2022. We also amended the interest rate to be the greater of (i) prime rate (as customarily defined), plus 0.50%, floating, and (ii) 5.25%. Interest on any outstanding loans continues to be due and payable monthly and the principal balance is due at maturity though loans can be prepaid at any time without penalty. Annual administration fees are unchanged and the quarterly unused revolving line facility fee remains at 0.75% per annum on the average unused facility. The Amendment also includes various administrative changes.</w:t>
      </w:r>
    </w:p>
    <w:p>
      <w:pPr>
        <w:spacing w:after="0" w:line="19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66"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and our ability to raise additional capital may be adversely impacted by potential worsening global economic conditions and the recent disruptions to and volatility in the credit and financial markets in the United States and worldwide resulting from COVID-19.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19" w:right="339" w:bottom="1440" w:gutter="0" w:footer="0" w:header="0"/>
        </w:sectPr>
      </w:pPr>
    </w:p>
    <w:bookmarkStart w:id="38" w:name="page39"/>
    <w:bookmarkEnd w:id="38"/>
    <w:p>
      <w:pPr>
        <w:ind w:right="400"/>
        <w:spacing w:after="0" w:line="263" w:lineRule="auto"/>
        <w:rPr>
          <w:sz w:val="20"/>
          <w:szCs w:val="20"/>
          <w:color w:val="auto"/>
        </w:rPr>
      </w:pPr>
      <w:r>
        <w:rPr>
          <w:rFonts w:ascii="Arial" w:cs="Arial" w:eastAsia="Arial" w:hAnsi="Arial"/>
          <w:sz w:val="18"/>
          <w:szCs w:val="18"/>
          <w:color w:val="auto"/>
        </w:rPr>
        <w:t>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 our inception, we have not had any off-balance sheet arrangements as defined in Item 303(a)(4) of the SEC’s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Our operating lease obligations relate to leases for our current corporate headquarters and leases for manufacturing and office space for our foreign subsidiaries. Please see Note 8 to our condensed consolidated financial statements for a discussion of our lease obligations.</w:t>
      </w:r>
    </w:p>
    <w:p>
      <w:pPr>
        <w:spacing w:after="0" w:line="92"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color w:val="auto"/>
        </w:rPr>
        <w:t>Other than as disclosed above, there have been no material changes during the three months ended March 31, 2020 to our contractual obligations disclosed in our “Management’s Discussion and Analysis of Financial Condition and Results of Operations” included in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three months ended March 31, 2020, we had a foreign currency loss of $1.0 million compared to a foreign currency gain of $45 thousand in the prior year for the same period.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We had cash and cash equivalents of $35.0 million as of March 31, 2020. These amounts were held primarily in cash on deposit with banks and money market funds which are short-term. We also held $13.5 million of investments in treasury securities at March 31, 2020.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1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2020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985" w:right="35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7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auto"/>
        </w:rPr>
        <w:t>The global COVID-19 pandemic and related impacts are having a material adverse effect on our operations, financial performance and cash flows. We are unable to predict the extent to which the pandemic and related impacts will continue to adversely impact our business operations, financial performance, results of operations, financial position and the achievement of our strategic objectives.</w:t>
      </w:r>
    </w:p>
    <w:p>
      <w:pPr>
        <w:spacing w:after="0" w:line="10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Since December 2019, an outbreak of SARS-CoV-2, a novel strain of coronavirus that causes a disease commonly known as COVID-19, has since spread globally throughout all the countries in which we and our customers, suppliers, and other business partners operate. The World Health Organization has declared COVID-19 to be a pandemic and a public health emergency of international concern. The COVID-19 pandemic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127"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COVID-19 pandemic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92" w:lineRule="exact"/>
        <w:rPr>
          <w:sz w:val="20"/>
          <w:szCs w:val="20"/>
          <w:color w:val="auto"/>
        </w:rPr>
      </w:pPr>
    </w:p>
    <w:p>
      <w:pPr>
        <w:ind w:left="760" w:right="26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demand for our products and services due to the impact of COVID-19 on our customers, particularly in the global academic research community;</w:t>
      </w:r>
    </w:p>
    <w:p>
      <w:pPr>
        <w:spacing w:after="0" w:line="116" w:lineRule="exact"/>
        <w:rPr>
          <w:rFonts w:ascii="Arial" w:cs="Arial" w:eastAsia="Arial" w:hAnsi="Arial"/>
          <w:sz w:val="18"/>
          <w:szCs w:val="18"/>
          <w:color w:val="auto"/>
        </w:rPr>
      </w:pPr>
    </w:p>
    <w:p>
      <w:pPr>
        <w:ind w:left="760" w:right="20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diminished business productivity due to inefficiencies in employees working from home or increasing physical distancing and other pandemic response protocols in our production facilities;</w:t>
      </w:r>
    </w:p>
    <w:p>
      <w:pPr>
        <w:spacing w:after="0" w:line="116" w:lineRule="exact"/>
        <w:rPr>
          <w:rFonts w:ascii="Arial" w:cs="Arial" w:eastAsia="Arial" w:hAnsi="Arial"/>
          <w:sz w:val="18"/>
          <w:szCs w:val="18"/>
          <w:color w:val="auto"/>
        </w:rPr>
      </w:pPr>
    </w:p>
    <w:p>
      <w:pPr>
        <w:ind w:left="760" w:right="8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negative impact of travel restrictions and social distancing policies on our sales operations, marketing efforts, and customer field support;</w:t>
      </w:r>
    </w:p>
    <w:p>
      <w:pPr>
        <w:spacing w:after="0" w:line="194" w:lineRule="exact"/>
        <w:rPr>
          <w:rFonts w:ascii="Arial" w:cs="Arial" w:eastAsia="Arial" w:hAnsi="Arial"/>
          <w:sz w:val="16"/>
          <w:szCs w:val="16"/>
          <w:color w:val="auto"/>
        </w:rPr>
      </w:pPr>
    </w:p>
    <w:p>
      <w:pPr>
        <w:ind w:left="760" w:right="2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impaired ability to retain personnel over concerns about workplace exposure to COVID-19, or to hire and effectively train new personnel, due to physical distancing protocols;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715" w:right="379" w:bottom="1440" w:gutter="0" w:footer="0" w:header="0"/>
        </w:sectPr>
      </w:pPr>
    </w:p>
    <w:bookmarkStart w:id="41" w:name="page42"/>
    <w:bookmarkEnd w:id="41"/>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if one of our facilities were to experience a COVID-19 outbreak;</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the operations of our contract manufacturers, suppliers, and other business partners;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volatility in our stock price due to financial market instability.</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extent to which the COVID-19 outbreak impacts our business, including our financial results, will depend on future developments, which are highly uncertain and cannot be predicted at this time with confidence, such as the continued geographic spread of the disease, the duration of the outbreak, and actions taken in the United States and elsewhere to contain the outbreak and treat the disease, such as social distancing and quarantines, business closures or business disruptions.</w:t>
      </w:r>
    </w:p>
    <w:p>
      <w:pPr>
        <w:spacing w:after="0" w:line="13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Because the severity, magnitude, and duration of the COVID-19 pandemic and its economic consequences are uncertain and rapidly changing,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13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the COVID-19 crisis continues to adversely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9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2017 compared to 2016, but increased year-over-year in 2018 compared to 2017. Our revenue continued to increase year-over-year in 2019 compared to 2018,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15" w:lineRule="exact"/>
        <w:rPr>
          <w:sz w:val="20"/>
          <w:szCs w:val="20"/>
          <w:color w:val="auto"/>
        </w:rPr>
      </w:pPr>
    </w:p>
    <w:p>
      <w:pPr>
        <w:ind w:right="260" w:firstLine="405"/>
        <w:spacing w:after="0" w:line="296" w:lineRule="auto"/>
        <w:rPr>
          <w:sz w:val="20"/>
          <w:szCs w:val="20"/>
          <w:color w:val="auto"/>
        </w:rPr>
      </w:pPr>
      <w:r>
        <w:rPr>
          <w:rFonts w:ascii="Arial" w:cs="Arial" w:eastAsia="Arial" w:hAnsi="Arial"/>
          <w:sz w:val="16"/>
          <w:szCs w:val="16"/>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881" w:right="35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color w:val="auto"/>
        </w:rPr>
        <w:t>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5" w:lineRule="exact"/>
        <w:rPr>
          <w:sz w:val="20"/>
          <w:szCs w:val="20"/>
          <w:color w:val="auto"/>
        </w:rPr>
      </w:pPr>
    </w:p>
    <w:p>
      <w:pPr>
        <w:ind w:right="260" w:firstLine="405"/>
        <w:spacing w:after="0" w:line="301"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$64.8 million, $59.0 million, and $60.5 million during the years 2019, 2018, and 2017, respectively. As of March 31, 2020, we had an accumulated deficit of $639.7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0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life science markets are highly competitive and subject to rapid technological change, and we may not be able to successfully compete.</w:t>
      </w:r>
    </w:p>
    <w:p>
      <w:pPr>
        <w:spacing w:after="0" w:line="198"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cell imaging, and additional applications using well established laboratory techniques, as well as newer technologies such as bead encoded arrays, microfluidics, next generation DNA sequencing,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1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consider Illumina, Inc.,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and NanoString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2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2"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881" w:right="359" w:bottom="1440" w:gutter="0" w:footer="0" w:header="0"/>
        </w:sectPr>
      </w:pPr>
    </w:p>
    <w:bookmarkStart w:id="43" w:name="page44"/>
    <w:bookmarkEnd w:id="43"/>
    <w:p>
      <w:pPr>
        <w:ind w:right="120"/>
        <w:spacing w:after="0" w:line="259" w:lineRule="auto"/>
        <w:rPr>
          <w:sz w:val="20"/>
          <w:szCs w:val="20"/>
          <w:color w:val="auto"/>
        </w:rPr>
      </w:pPr>
      <w:r>
        <w:rPr>
          <w:rFonts w:ascii="Arial" w:cs="Arial" w:eastAsia="Arial" w:hAnsi="Arial"/>
          <w:sz w:val="18"/>
          <w:szCs w:val="18"/>
          <w:color w:val="auto"/>
        </w:rPr>
        <w:t>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12"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9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3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38"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11" w:lineRule="exact"/>
        <w:rPr>
          <w:sz w:val="20"/>
          <w:szCs w:val="20"/>
          <w:color w:val="auto"/>
        </w:rPr>
      </w:pPr>
    </w:p>
    <w:p>
      <w:pPr>
        <w:ind w:right="420" w:firstLine="432"/>
        <w:spacing w:after="0" w:line="263"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3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2" w:lineRule="exact"/>
        <w:rPr>
          <w:sz w:val="20"/>
          <w:szCs w:val="20"/>
          <w:color w:val="auto"/>
        </w:rPr>
      </w:pPr>
    </w:p>
    <w:p>
      <w:pPr>
        <w:ind w:right="540" w:firstLine="405"/>
        <w:spacing w:after="0" w:line="259" w:lineRule="auto"/>
        <w:rPr>
          <w:sz w:val="20"/>
          <w:szCs w:val="20"/>
          <w:color w:val="auto"/>
        </w:rPr>
      </w:pPr>
      <w:r>
        <w:rPr>
          <w:rFonts w:ascii="Arial" w:cs="Arial" w:eastAsia="Arial" w:hAnsi="Arial"/>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881" w:right="359" w:bottom="1440" w:gutter="0" w:footer="0" w:header="0"/>
        </w:sectPr>
      </w:pPr>
    </w:p>
    <w:bookmarkStart w:id="44" w:name="page45"/>
    <w:bookmarkEnd w:id="44"/>
    <w:p>
      <w:pPr>
        <w:ind w:right="120"/>
        <w:spacing w:after="0" w:line="254" w:lineRule="auto"/>
        <w:rPr>
          <w:sz w:val="20"/>
          <w:szCs w:val="20"/>
          <w:color w:val="auto"/>
        </w:rPr>
      </w:pPr>
      <w:r>
        <w:rPr>
          <w:rFonts w:ascii="Arial" w:cs="Arial" w:eastAsia="Arial" w:hAnsi="Arial"/>
          <w:sz w:val="18"/>
          <w:szCs w:val="18"/>
          <w:color w:val="auto"/>
        </w:rPr>
        <w:t>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42"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 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7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1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expect that our revenue in the foreseeable future will continue to be derived primarily from sales of our systems, IFCs, assays, and reagents to academic research institutions, translational research and medicine centers, cancer centers,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881" w:right="359" w:bottom="1440" w:gutter="0" w:footer="0" w:header="0"/>
        </w:sectPr>
      </w:pPr>
    </w:p>
    <w:bookmarkStart w:id="45" w:name="page46"/>
    <w:bookmarkEnd w:id="45"/>
    <w:p>
      <w:pPr>
        <w:ind w:right="40"/>
        <w:spacing w:after="0" w:line="287" w:lineRule="auto"/>
        <w:rPr>
          <w:sz w:val="20"/>
          <w:szCs w:val="20"/>
          <w:color w:val="auto"/>
        </w:rPr>
      </w:pPr>
      <w:r>
        <w:rPr>
          <w:rFonts w:ascii="Arial" w:cs="Arial" w:eastAsia="Arial" w:hAnsi="Arial"/>
          <w:sz w:val="16"/>
          <w:szCs w:val="16"/>
          <w:color w:val="auto"/>
        </w:rPr>
        <w:t>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may additionally be impacted by factors such as the COVID-19 pandemic—could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our customers. For example, reductions in operating expenditures by global academic research facilities, approximately 60% to 70% of which are either closed or working at reduced capacity because of the COVID-19 pandemic, have resulted in lower than expected sales of our systems, IFCs, assays, and reagents. Similar reductions and delays in customer spending may result from other factors that are not within our control, such as:</w:t>
      </w:r>
    </w:p>
    <w:p>
      <w:pPr>
        <w:spacing w:after="0" w:line="118"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or public health crises;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760" w:right="4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plant and animal research companies engaged in research and commercial activities;</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mergers and acquisitions in the life science and plant and animal research industries;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2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our genomics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3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26"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881" w:right="35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33" w:lineRule="exact"/>
        <w:rPr>
          <w:sz w:val="20"/>
          <w:szCs w:val="20"/>
          <w:color w:val="auto"/>
        </w:rPr>
      </w:pPr>
    </w:p>
    <w:p>
      <w:pPr>
        <w:ind w:right="280" w:firstLine="432"/>
        <w:spacing w:after="0" w:line="263" w:lineRule="auto"/>
        <w:rPr>
          <w:sz w:val="20"/>
          <w:szCs w:val="20"/>
          <w:color w:val="auto"/>
        </w:rPr>
      </w:pPr>
      <w:r>
        <w:rPr>
          <w:rFonts w:ascii="Arial" w:cs="Arial" w:eastAsia="Arial" w:hAnsi="Arial"/>
          <w:sz w:val="18"/>
          <w:szCs w:val="18"/>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23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the years 2019, 2018, and 2017, approximately 63%, 57%, and 55%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33" w:lineRule="exact"/>
        <w:rPr>
          <w:sz w:val="20"/>
          <w:szCs w:val="20"/>
          <w:color w:val="auto"/>
        </w:rPr>
      </w:pPr>
    </w:p>
    <w:p>
      <w:pPr>
        <w:ind w:left="820" w:right="200" w:hanging="326"/>
        <w:spacing w:after="0" w:line="25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33"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71" w:lineRule="exact"/>
        <w:rPr>
          <w:rFonts w:ascii="Arial" w:cs="Arial" w:eastAsia="Arial" w:hAnsi="Arial"/>
          <w:sz w:val="18"/>
          <w:szCs w:val="18"/>
          <w:color w:val="auto"/>
        </w:rPr>
      </w:pPr>
    </w:p>
    <w:p>
      <w:pPr>
        <w:ind w:left="820" w:right="80" w:hanging="326"/>
        <w:spacing w:after="0" w:line="263"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129" w:lineRule="exact"/>
        <w:rPr>
          <w:rFonts w:ascii="Arial" w:cs="Arial" w:eastAsia="Arial" w:hAnsi="Arial"/>
          <w:sz w:val="18"/>
          <w:szCs w:val="18"/>
          <w:color w:val="auto"/>
        </w:rPr>
      </w:pPr>
    </w:p>
    <w:p>
      <w:pPr>
        <w:ind w:left="820" w:right="38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interruptions resulting from global sociopolitical events, including war and terrorism, public health crises such as COVID-19, and natural disasters including earthquakes, typhoons, floods and fires;</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7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881" w:right="379" w:bottom="1440" w:gutter="0" w:footer="0" w:header="0"/>
        </w:sectPr>
      </w:pPr>
    </w:p>
    <w:bookmarkStart w:id="47" w:name="page48"/>
    <w:bookmarkEnd w:id="47"/>
    <w:p>
      <w:pPr>
        <w:spacing w:after="0" w:line="275" w:lineRule="auto"/>
        <w:rPr>
          <w:sz w:val="20"/>
          <w:szCs w:val="20"/>
          <w:color w:val="auto"/>
        </w:rPr>
      </w:pPr>
      <w:r>
        <w:rPr>
          <w:rFonts w:ascii="Arial" w:cs="Arial" w:eastAsia="Arial" w:hAnsi="Arial"/>
          <w:sz w:val="17"/>
          <w:szCs w:val="17"/>
          <w:color w:val="auto"/>
        </w:rPr>
        <w:t>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2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1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3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3" w:lineRule="exact"/>
        <w:rPr>
          <w:sz w:val="20"/>
          <w:szCs w:val="20"/>
          <w:color w:val="auto"/>
        </w:rPr>
      </w:pPr>
    </w:p>
    <w:p>
      <w:pPr>
        <w:ind w:left="760" w:right="180" w:hanging="320"/>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29"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16" w:lineRule="exact"/>
        <w:rPr>
          <w:rFonts w:ascii="Arial" w:cs="Arial" w:eastAsia="Arial" w:hAnsi="Arial"/>
          <w:sz w:val="18"/>
          <w:szCs w:val="18"/>
          <w:color w:val="auto"/>
        </w:rPr>
      </w:pPr>
    </w:p>
    <w:p>
      <w:pPr>
        <w:ind w:left="760" w:right="38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6"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71"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5"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881" w:right="339" w:bottom="1440" w:gutter="0" w:footer="0" w:header="0"/>
        </w:sectPr>
      </w:pPr>
    </w:p>
    <w:bookmarkStart w:id="48" w:name="page49"/>
    <w:bookmarkEnd w:id="48"/>
    <w:p>
      <w:pPr>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12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In April 2020, in response to the COVID-19 pandemic, we implemented a temporary reduction in employee salaries and company-wide hiring constraints. The duration of both the temporary salary reduction and the hiring constraints is indefinite, and we cannot predict our employees’ willingness to remain with us during such salary reduction until our regular operations are restored. We do not maintain fixed term employment contracts or significant key person life insurance with any of our employees.</w:t>
      </w:r>
    </w:p>
    <w:p>
      <w:pPr>
        <w:spacing w:after="0" w:line="142" w:lineRule="exact"/>
        <w:rPr>
          <w:sz w:val="20"/>
          <w:szCs w:val="20"/>
          <w:color w:val="auto"/>
        </w:rPr>
      </w:pPr>
    </w:p>
    <w:p>
      <w:pPr>
        <w:jc w:val="both"/>
        <w:ind w:right="120" w:firstLine="432"/>
        <w:spacing w:after="0" w:line="287" w:lineRule="auto"/>
        <w:rPr>
          <w:sz w:val="20"/>
          <w:szCs w:val="20"/>
          <w:color w:val="auto"/>
        </w:rPr>
      </w:pPr>
      <w:r>
        <w:rPr>
          <w:rFonts w:ascii="Arial" w:cs="Arial" w:eastAsia="Arial" w:hAnsi="Arial"/>
          <w:sz w:val="16"/>
          <w:szCs w:val="16"/>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3"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985" w:right="339" w:bottom="1440" w:gutter="0" w:footer="0" w:header="0"/>
        </w:sectPr>
      </w:pPr>
    </w:p>
    <w:bookmarkStart w:id="49" w:name="page50"/>
    <w:bookmarkEnd w:id="49"/>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120" w:firstLine="432"/>
        <w:spacing w:after="0" w:line="311"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9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have implemented security controls to protect our information technology infrastructure but, despite our efforts, we are not fully insulated from technology disruptions that could adversely impact us. For example, in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If, however, confidential data is later determined to have been released in the course of this or any future event, it is possible that we could be the subject of actions by governmental authorities or claims from persons alleging they suffered damages from such a release. Although we believe we have contained the disruption from the March 2019 attack, we anticipate additional work and expense in the future as we continue to enhance our security processes and initiatives in response to ever-evolving information security threats.</w:t>
      </w:r>
    </w:p>
    <w:p>
      <w:pPr>
        <w:spacing w:after="0" w:line="12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881" w:right="359" w:bottom="1440" w:gutter="0" w:footer="0" w:header="0"/>
        </w:sectPr>
      </w:pPr>
    </w:p>
    <w:bookmarkStart w:id="50" w:name="page51"/>
    <w:bookmarkEnd w:id="50"/>
    <w:p>
      <w:pPr>
        <w:spacing w:after="0" w:line="312"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Since 2017, we have implemented efficiency and cost-savings initiatives intended to stabilize our business operations and return to growth. These efficiency initiatives have included targeted workforce reductions, optimizing our facilities, and reducing excess space. In connection with the COVID-19 pandemic, we have begun implementing reductions in our operating expense structure, including implementing enterprise-wide salary reductions and constrained hiring until our business returns to more normal volumes. Further actions such as these may be required on an ongoing basis to preserve liquidity and optimize our organization. For example, we may need to decrease or defer capital expenditures and development activities or implement further operating expense reduction measures. The implementation of these further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229"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To use our products, our Biomark, EP1, Helios/CyTOF 2, and Hyperion systems in particular, customers typically need to purchase specialized reagents. Any interruption in the availability of these reagents for use in our products could limit our ability to market our products.</w:t>
      </w:r>
    </w:p>
    <w:p>
      <w:pPr>
        <w:spacing w:after="0" w:line="66" w:lineRule="exact"/>
        <w:rPr>
          <w:sz w:val="20"/>
          <w:szCs w:val="20"/>
          <w:color w:val="auto"/>
        </w:rPr>
      </w:pPr>
    </w:p>
    <w:p>
      <w:pPr>
        <w:ind w:right="240" w:firstLine="432"/>
        <w:spacing w:after="0" w:line="291" w:lineRule="auto"/>
        <w:rPr>
          <w:sz w:val="20"/>
          <w:szCs w:val="20"/>
          <w:color w:val="auto"/>
        </w:rPr>
      </w:pPr>
      <w:r>
        <w:rPr>
          <w:rFonts w:ascii="Arial" w:cs="Arial" w:eastAsia="Arial" w:hAnsi="Arial"/>
          <w:sz w:val="16"/>
          <w:szCs w:val="16"/>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2"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3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If we elect to label and promote any of our products as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160" w:firstLine="432"/>
        <w:spacing w:after="0" w:line="296"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985" w:right="339" w:bottom="1440" w:gutter="0" w:footer="0" w:header="0"/>
        </w:sectPr>
      </w:pPr>
    </w:p>
    <w:bookmarkStart w:id="51" w:name="page52"/>
    <w:bookmarkEnd w:id="51"/>
    <w:p>
      <w:pPr>
        <w:ind w:right="40" w:firstLine="432"/>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24"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24"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2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2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881" w:right="339" w:bottom="1440" w:gutter="0" w:footer="0" w:header="0"/>
        </w:sectPr>
      </w:pPr>
    </w:p>
    <w:bookmarkStart w:id="52" w:name="page53"/>
    <w:bookmarkEnd w:id="52"/>
    <w:p>
      <w:pPr>
        <w:ind w:right="220"/>
        <w:spacing w:after="0" w:line="275" w:lineRule="auto"/>
        <w:rPr>
          <w:sz w:val="20"/>
          <w:szCs w:val="20"/>
          <w:color w:val="auto"/>
        </w:rPr>
      </w:pPr>
      <w:r>
        <w:rPr>
          <w:rFonts w:ascii="Arial" w:cs="Arial" w:eastAsia="Arial" w:hAnsi="Arial"/>
          <w:sz w:val="17"/>
          <w:szCs w:val="17"/>
          <w:color w:val="auto"/>
        </w:rPr>
        <w:t>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2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jc w:val="both"/>
        <w:ind w:right="580" w:firstLine="432"/>
        <w:spacing w:after="0" w:line="301" w:lineRule="auto"/>
        <w:rPr>
          <w:sz w:val="20"/>
          <w:szCs w:val="20"/>
          <w:color w:val="auto"/>
        </w:rPr>
      </w:pPr>
      <w:r>
        <w:rPr>
          <w:rFonts w:ascii="Arial" w:cs="Arial" w:eastAsia="Arial" w:hAnsi="Arial"/>
          <w:sz w:val="16"/>
          <w:szCs w:val="16"/>
          <w:color w:val="auto"/>
        </w:rPr>
        <w:t>If the FDA determines our products or related applications should be subject to additional regulation as in vitro diagnostic devices based upon customers’ use of our products for clinical diagnostic or therapeutic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207" w:lineRule="exact"/>
        <w:rPr>
          <w:sz w:val="20"/>
          <w:szCs w:val="20"/>
          <w:color w:val="auto"/>
        </w:rPr>
      </w:pPr>
    </w:p>
    <w:p>
      <w:pPr>
        <w:jc w:val="both"/>
        <w:ind w:right="58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13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881" w:right="339" w:bottom="1440" w:gutter="0" w:footer="0" w:header="0"/>
        </w:sectPr>
      </w:pPr>
    </w:p>
    <w:bookmarkStart w:id="53" w:name="page54"/>
    <w:bookmarkEnd w:id="53"/>
    <w:p>
      <w:pPr>
        <w:jc w:val="both"/>
        <w:ind w:right="180"/>
        <w:spacing w:after="0" w:line="263" w:lineRule="auto"/>
        <w:rPr>
          <w:sz w:val="20"/>
          <w:szCs w:val="20"/>
          <w:color w:val="auto"/>
        </w:rPr>
      </w:pPr>
      <w:r>
        <w:rPr>
          <w:rFonts w:ascii="Arial" w:cs="Arial" w:eastAsia="Arial" w:hAnsi="Arial"/>
          <w:sz w:val="18"/>
          <w:szCs w:val="18"/>
          <w:color w:val="auto"/>
        </w:rPr>
        <w:t>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3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(Nasdaq), the SEC, or other regulatory authorities, which would require additional financial and management resources.</w:t>
      </w:r>
    </w:p>
    <w:p>
      <w:pPr>
        <w:spacing w:after="0" w:line="214"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Impairment of our goodwill or other intangible assets could materially and adversely affect our business, operating results, and financial condition.</w:t>
      </w:r>
    </w:p>
    <w:p>
      <w:pPr>
        <w:spacing w:after="0" w:line="11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of December 31, 2019, we had approximately $153.2 million of goodwill and net intangible assets, including approximately $104.1 million of goodwill and $49.1 million of net intangible assets. These assets represent a significant portion of the assets recorded on our consolidated balance sheet and relate primarily to our acquisition of DVS Sciences, Inc. (DVS) in February 2014. In addition, if in the future we acquire additional businesses, technologies, or other intangible assets, a substantial portion of the value of such assets may be recorded as goodwill or intangible assets. In the fourth quarter of 2019, we concluded that certain of our patents and licenses were impaired and reduced the applicable carrying value to zero, recognizing a charge of $0.4 million, which is reflected in accumulated amortization.</w:t>
      </w:r>
    </w:p>
    <w:p>
      <w:pPr>
        <w:spacing w:after="0" w:line="13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1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have continued to experience losses and, if that trend continues, we may need to seek additional sources of financing. In addition, we may need to raise substantial additional capital for various purposes, including:</w:t>
      </w:r>
    </w:p>
    <w:p>
      <w:pPr>
        <w:spacing w:after="0" w:line="62"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71" w:lineRule="exact"/>
        <w:rPr>
          <w:sz w:val="20"/>
          <w:szCs w:val="20"/>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881" w:right="339" w:bottom="1440" w:gutter="0" w:footer="0" w:header="0"/>
        </w:sectPr>
      </w:pPr>
    </w:p>
    <w:bookmarkStart w:id="54" w:name="page55"/>
    <w:bookmarkEnd w:id="54"/>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efficiency and cost-savings initiatives;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crises, such as COVID-19;</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760" w:right="240" w:hanging="320"/>
        <w:spacing w:after="0" w:line="277"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16"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extreme disruption and volatility in the global capital markets, increasing the cost of—and adversely impacting access to—capital. If we raise additional funds by issuing equity securities, our stockholders may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potential worsening global economic conditions resulting from COVID-19.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3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11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August 2018, we entered into the Revolving Credit Facility, which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Revolving Credit Agreement and, if they are not repaid, could foreclose upon the assets securing our obligations under the Revolving Credit Facility.</w:t>
      </w:r>
    </w:p>
    <w:p>
      <w:pPr>
        <w:spacing w:after="0" w:line="227"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773" w:right="339" w:bottom="1440" w:gutter="0" w:footer="0" w:header="0"/>
        </w:sectPr>
      </w:pPr>
    </w:p>
    <w:bookmarkStart w:id="55" w:name="page56"/>
    <w:bookmarkEnd w:id="55"/>
    <w:p>
      <w:pPr>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12"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03" w:lineRule="exact"/>
        <w:rPr>
          <w:sz w:val="20"/>
          <w:szCs w:val="20"/>
          <w:color w:val="auto"/>
        </w:rPr>
      </w:pPr>
    </w:p>
    <w:p>
      <w:pPr>
        <w:jc w:val="both"/>
        <w:ind w:right="40" w:firstLine="432"/>
        <w:spacing w:after="0" w:line="311"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95" w:lineRule="exact"/>
        <w:rPr>
          <w:sz w:val="20"/>
          <w:szCs w:val="20"/>
          <w:color w:val="auto"/>
        </w:rPr>
      </w:pPr>
    </w:p>
    <w:p>
      <w:pPr>
        <w:ind w:right="20" w:firstLine="432"/>
        <w:spacing w:after="0" w:line="301" w:lineRule="auto"/>
        <w:rPr>
          <w:sz w:val="20"/>
          <w:szCs w:val="20"/>
          <w:color w:val="auto"/>
        </w:rPr>
      </w:pPr>
      <w:r>
        <w:rPr>
          <w:rFonts w:ascii="Arial" w:cs="Arial" w:eastAsia="Arial" w:hAnsi="Arial"/>
          <w:sz w:val="16"/>
          <w:szCs w:val="16"/>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99"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1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Adverse economic conditions in the U.S. and international markets, including the economic contraction resulting in part from the COVID-19 pandemic, have negatively affected our revenues and operating results and may continue to do so. 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United States government’s adoption and expansion of trade restrictions and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23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12"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We have experienced significant changes in our sales organization in the past year due to reorganizations and changes in leadership. In addition, as part of our cost reduction program to manage the impact of the COVID-19 pandemic, we have implemented enterprise-wide salary reductions, including with respect to our sales and marketing employees. Failure to return our employees to prior salary levels may negatively impact our ability to maintain the skilled sales and marketing force necessary to support business activities in the future, if and when market activities return to pre-COVID-19 levels. As a result, our future success will depend largely on our ability to retain and motivate such personnel.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985" w:right="359" w:bottom="1440" w:gutter="0" w:footer="0" w:header="0"/>
        </w:sectPr>
      </w:pPr>
    </w:p>
    <w:bookmarkStart w:id="56" w:name="page57"/>
    <w:bookmarkEnd w:id="56"/>
    <w:p>
      <w:pPr>
        <w:ind w:right="24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3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1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9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3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which supersedes nearly all existing U.S. GAAP revenue recognition guidance. The new guidance was effective for our fiscal year 2018. We</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accumulated deficit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30"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 xml:space="preserve">The FASB also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22"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881" w:right="359" w:bottom="1440" w:gutter="0" w:footer="0" w:header="0"/>
        </w:sectPr>
      </w:pPr>
    </w:p>
    <w:bookmarkStart w:id="57" w:name="page58"/>
    <w:bookmarkEnd w:id="57"/>
    <w:p>
      <w:pPr>
        <w:ind w:right="12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12"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We have significant outstanding convertible debt. As of March 31, 2020, we had outstanding $1.1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The 2019 Notes will mature on December 1, 2024, unless earlier converted, or repurchased in accordance with the terms of the 2019 Notes. If we undergo a fundamental change (as defined in the terms of the indenture governing either the 2014 Notes or the 2019 Notes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the debt owed under the 2014 Notes or 2019 Notes, we may issue additional convertible notes or other debt, which could include additional company obligations and represent more dilution to existing stockholders and noteholders.</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71" w:lineRule="exact"/>
        <w:rPr>
          <w:sz w:val="20"/>
          <w:szCs w:val="20"/>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171" w:lineRule="exact"/>
        <w:rPr>
          <w:rFonts w:ascii="Arial" w:cs="Arial" w:eastAsia="Arial" w:hAnsi="Arial"/>
          <w:sz w:val="18"/>
          <w:szCs w:val="18"/>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71" w:lineRule="exact"/>
        <w:rPr>
          <w:rFonts w:ascii="Arial" w:cs="Arial" w:eastAsia="Arial" w:hAnsi="Arial"/>
          <w:sz w:val="18"/>
          <w:szCs w:val="18"/>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71" w:lineRule="exact"/>
        <w:rPr>
          <w:rFonts w:ascii="Arial" w:cs="Arial" w:eastAsia="Arial" w:hAnsi="Arial"/>
          <w:sz w:val="18"/>
          <w:szCs w:val="18"/>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31"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985" w:right="359" w:bottom="1440" w:gutter="0" w:footer="0" w:header="0"/>
        </w:sectPr>
      </w:pPr>
    </w:p>
    <w:bookmarkStart w:id="58" w:name="page59"/>
    <w:bookmarkEnd w:id="58"/>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83" w:lineRule="exact"/>
        <w:rPr>
          <w:sz w:val="20"/>
          <w:szCs w:val="20"/>
          <w:color w:val="auto"/>
        </w:rPr>
      </w:pPr>
    </w:p>
    <w:p>
      <w:pPr>
        <w:ind w:right="108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20"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1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3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28"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66"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alleging, among other claims, misappropriation of proprietary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881" w:right="339" w:bottom="1440" w:gutter="0" w:footer="0" w:header="0"/>
        </w:sectPr>
      </w:pPr>
    </w:p>
    <w:bookmarkStart w:id="59" w:name="page60"/>
    <w:bookmarkEnd w:id="59"/>
    <w:p>
      <w:pPr>
        <w:ind w:right="60"/>
        <w:spacing w:after="0" w:line="296" w:lineRule="auto"/>
        <w:rPr>
          <w:sz w:val="20"/>
          <w:szCs w:val="20"/>
          <w:color w:val="auto"/>
        </w:rPr>
      </w:pPr>
      <w:r>
        <w:rPr>
          <w:rFonts w:ascii="Arial" w:cs="Arial" w:eastAsia="Arial" w:hAnsi="Arial"/>
          <w:sz w:val="16"/>
          <w:szCs w:val="16"/>
          <w:color w:val="auto"/>
        </w:rPr>
        <w:t>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1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881" w:right="339" w:bottom="1440" w:gutter="0" w:footer="0" w:header="0"/>
        </w:sectPr>
      </w:pPr>
    </w:p>
    <w:bookmarkStart w:id="60" w:name="page61"/>
    <w:bookmarkEnd w:id="60"/>
    <w:p>
      <w:pPr>
        <w:spacing w:after="0" w:line="287" w:lineRule="auto"/>
        <w:rPr>
          <w:sz w:val="20"/>
          <w:szCs w:val="20"/>
          <w:color w:val="auto"/>
        </w:rPr>
      </w:pPr>
      <w:r>
        <w:rPr>
          <w:rFonts w:ascii="Arial" w:cs="Arial" w:eastAsia="Arial" w:hAnsi="Arial"/>
          <w:sz w:val="16"/>
          <w:szCs w:val="16"/>
          <w:color w:val="auto"/>
        </w:rPr>
        <w:t>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obligations and restrictions relating to technologies developed in cooperation with Canadian government agencies.</w:t>
      </w:r>
    </w:p>
    <w:p>
      <w:pPr>
        <w:spacing w:after="0" w:line="198" w:lineRule="exact"/>
        <w:rPr>
          <w:sz w:val="20"/>
          <w:szCs w:val="20"/>
          <w:color w:val="auto"/>
        </w:rPr>
      </w:pPr>
    </w:p>
    <w:p>
      <w:pPr>
        <w:ind w:firstLine="391"/>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79"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2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2019, we had 69,956,397 shares of common stock outstanding, and stockholders holding at least 5% of our stock, individually or with affiliated persons or entities, collectively beneficially owned or controlled approximately 46.3% of such shares and one stockholder beneficially owned approximately 9.8%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881" w:right="35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46.3% held by our top six stockholders) means that a relatively small number of stockholders have significant control over the outcomes of stockholder voting.</w:t>
      </w:r>
    </w:p>
    <w:p>
      <w:pPr>
        <w:spacing w:after="0" w:line="1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16" w:lineRule="exact"/>
        <w:rPr>
          <w:sz w:val="20"/>
          <w:szCs w:val="20"/>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public health crises, including the COVID-19 pandemic, on global financial markets;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171" w:lineRule="exact"/>
        <w:rPr>
          <w:rFonts w:ascii="Arial" w:cs="Arial" w:eastAsia="Arial" w:hAnsi="Arial"/>
          <w:sz w:val="18"/>
          <w:szCs w:val="18"/>
          <w:color w:val="auto"/>
        </w:rPr>
      </w:pPr>
    </w:p>
    <w:p>
      <w:pPr>
        <w:jc w:val="both"/>
        <w:ind w:left="740" w:right="60" w:hanging="327"/>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29"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market conditions in the life science, plant and animal research, and CRO sectors;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manufacturing disruptions that could occur if we are unable to successfully expand our production in our current or an alternative facility;</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4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12"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3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16" w:lineRule="exact"/>
        <w:rPr>
          <w:sz w:val="20"/>
          <w:szCs w:val="20"/>
          <w:color w:val="auto"/>
        </w:rPr>
      </w:pPr>
    </w:p>
    <w:p>
      <w:pPr>
        <w:jc w:val="center"/>
        <w:ind w:left="5540" w:right="320" w:hanging="5100"/>
        <w:spacing w:after="0" w:line="527" w:lineRule="auto"/>
        <w:tabs>
          <w:tab w:leader="none" w:pos="7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 60</w:t>
      </w:r>
    </w:p>
    <w:p>
      <w:pPr>
        <w:sectPr>
          <w:pgSz w:w="11900" w:h="16838" w:orient="portrait"/>
          <w:cols w:equalWidth="0" w:num="1">
            <w:col w:w="11220"/>
          </w:cols>
          <w:pgMar w:left="320" w:top="881" w:right="359" w:bottom="1440" w:gutter="0" w:footer="0" w:header="0"/>
        </w:sectPr>
      </w:pPr>
    </w:p>
    <w:bookmarkStart w:id="62" w:name="page63"/>
    <w:bookmarkEnd w:id="62"/>
    <w:p>
      <w:pPr>
        <w:ind w:left="760" w:hanging="320"/>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82" w:lineRule="exact"/>
        <w:rPr>
          <w:rFonts w:ascii="Arial" w:cs="Arial" w:eastAsia="Arial" w:hAnsi="Arial"/>
          <w:sz w:val="17"/>
          <w:szCs w:val="17"/>
          <w:color w:val="auto"/>
        </w:rPr>
      </w:pPr>
    </w:p>
    <w:p>
      <w:pPr>
        <w:ind w:left="760" w:right="360" w:hanging="320"/>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16" w:lineRule="exact"/>
        <w:rPr>
          <w:rFonts w:ascii="Arial" w:cs="Arial" w:eastAsia="Arial" w:hAnsi="Arial"/>
          <w:sz w:val="18"/>
          <w:szCs w:val="18"/>
          <w:color w:val="auto"/>
        </w:rPr>
      </w:pPr>
    </w:p>
    <w:p>
      <w:pPr>
        <w:ind w:left="760" w:right="40" w:hanging="320"/>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16" w:lineRule="exact"/>
        <w:rPr>
          <w:rFonts w:ascii="Arial" w:cs="Arial" w:eastAsia="Arial" w:hAnsi="Arial"/>
          <w:sz w:val="18"/>
          <w:szCs w:val="18"/>
          <w:color w:val="auto"/>
        </w:rPr>
      </w:pPr>
    </w:p>
    <w:p>
      <w:pPr>
        <w:ind w:left="760" w:right="360" w:hanging="320"/>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three-year terms;</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187"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Revolving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0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Any conversions of the 2014 Notes or 2019 Notes will dilute the ownership interest of our existing stockholders and may otherwise depress the price of our common stock.</w:t>
      </w:r>
    </w:p>
    <w:p>
      <w:pPr>
        <w:spacing w:after="0" w:line="11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with our acquisition of InstruNor AS, a privately held Norwegian company, we issued 485,451 shares of our common stock pursuant to an exemption from registration provided under Regulation S of the Securities Act of 1933, as amended. The consideration for the InstruNor AS acquisition also included approximately $5.2 million in cash, for a total purchase price of $7.2 million.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881"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1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4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60" w:type="dxa"/>
            <w:vAlign w:val="bottom"/>
            <w:gridSpan w:val="4"/>
            <w:vMerge w:val="continue"/>
          </w:tcPr>
          <w:p>
            <w:pPr>
              <w:spacing w:after="0"/>
              <w:rPr>
                <w:sz w:val="13"/>
                <w:szCs w:val="13"/>
                <w:color w:val="auto"/>
              </w:rPr>
            </w:pPr>
          </w:p>
        </w:tc>
        <w:tc>
          <w:tcPr>
            <w:tcW w:w="15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From Form</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auto"/>
              </w:rPr>
              <w:t>31.1</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5"/>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Certification Pursuant to 18 U.S.C. Section 1350, as Adopted</w:t>
              </w:r>
            </w:hyperlink>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Pursuant to Section 302 of the Sarbanes-Oxley Act of 2002 of</w:t>
              </w:r>
            </w:hyperlink>
          </w:p>
        </w:tc>
        <w:tc>
          <w:tcPr>
            <w:tcW w:w="4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5"/>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Chief Executive Officer.</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2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Pursuant to 18 U.S.C. Section 1350, as Adopted</w:t>
              </w:r>
            </w:hyperlink>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Pursuant to Section 302 of the Sarbanes-Oxley Act of 2002 of</w:t>
              </w:r>
            </w:hyperlink>
          </w:p>
        </w:tc>
        <w:tc>
          <w:tcPr>
            <w:tcW w:w="4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tcPr>
          <w:p>
            <w:pPr>
              <w:spacing w:after="0" w:line="196" w:lineRule="exact"/>
              <w:rPr>
                <w:rFonts w:ascii="Arial" w:cs="Arial" w:eastAsia="Arial" w:hAnsi="Arial"/>
                <w:sz w:val="18"/>
                <w:szCs w:val="18"/>
                <w:color w:val="0000FF"/>
                <w:w w:val="94"/>
              </w:rPr>
            </w:pPr>
            <w:hyperlink w:anchor="page67">
              <w:r>
                <w:rPr>
                  <w:rFonts w:ascii="Arial" w:cs="Arial" w:eastAsia="Arial" w:hAnsi="Arial"/>
                  <w:sz w:val="18"/>
                  <w:szCs w:val="18"/>
                  <w:color w:val="0000FF"/>
                  <w:w w:val="94"/>
                </w:rPr>
                <w:t>Chief Financial Officer.</w:t>
              </w:r>
            </w:hyperlink>
          </w:p>
        </w:tc>
        <w:tc>
          <w:tcPr>
            <w:tcW w:w="3160" w:type="dxa"/>
            <w:vAlign w:val="bottom"/>
            <w:gridSpan w:val="4"/>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line="250" w:lineRule="exact"/>
              <w:rPr>
                <w:sz w:val="20"/>
                <w:szCs w:val="20"/>
                <w:color w:val="auto"/>
              </w:rPr>
            </w:pPr>
            <w:r>
              <w:rPr>
                <w:rFonts w:ascii="Arial" w:cs="Arial" w:eastAsia="Arial" w:hAnsi="Arial"/>
                <w:sz w:val="18"/>
                <w:szCs w:val="18"/>
                <w:color w:val="auto"/>
                <w:w w:val="86"/>
              </w:rPr>
              <w:t>32.1</w:t>
            </w:r>
            <w:r>
              <w:rPr>
                <w:rFonts w:ascii="Arial" w:cs="Arial" w:eastAsia="Arial" w:hAnsi="Arial"/>
                <w:sz w:val="25"/>
                <w:szCs w:val="25"/>
                <w:color w:val="auto"/>
                <w:w w:val="86"/>
                <w:vertAlign w:val="superscript"/>
              </w:rPr>
              <w:t>(1)</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20" w:type="dxa"/>
            <w:vAlign w:val="bottom"/>
            <w:gridSpan w:val="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Pursuant to 18 U.S.C. Section 1350, as Adopted</w:t>
              </w:r>
            </w:hyperlink>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Pursuant to Section 906 of the Sarbanes-Oxley Act of 2002 of</w:t>
              </w:r>
            </w:hyperlink>
          </w:p>
        </w:tc>
        <w:tc>
          <w:tcPr>
            <w:tcW w:w="4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5"/>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Chief Executive Officer.</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line="250" w:lineRule="exact"/>
              <w:rPr>
                <w:sz w:val="20"/>
                <w:szCs w:val="20"/>
                <w:color w:val="auto"/>
              </w:rPr>
            </w:pPr>
            <w:r>
              <w:rPr>
                <w:rFonts w:ascii="Arial" w:cs="Arial" w:eastAsia="Arial" w:hAnsi="Arial"/>
                <w:sz w:val="18"/>
                <w:szCs w:val="18"/>
                <w:color w:val="auto"/>
                <w:w w:val="86"/>
              </w:rPr>
              <w:t>32.2</w:t>
            </w:r>
            <w:r>
              <w:rPr>
                <w:rFonts w:ascii="Arial" w:cs="Arial" w:eastAsia="Arial" w:hAnsi="Arial"/>
                <w:sz w:val="25"/>
                <w:szCs w:val="25"/>
                <w:color w:val="auto"/>
                <w:w w:val="86"/>
                <w:vertAlign w:val="superscript"/>
              </w:rPr>
              <w:t>(1)</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20" w:type="dxa"/>
            <w:vAlign w:val="bottom"/>
            <w:gridSpan w:val="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Pursuant to 18 U.S.C. Section 1350, as Adopted</w:t>
              </w:r>
            </w:hyperlink>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Pursuant to Section 906 of the Sarbanes-Oxley Act of 2002 of</w:t>
              </w:r>
            </w:hyperlink>
          </w:p>
        </w:tc>
        <w:tc>
          <w:tcPr>
            <w:tcW w:w="4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5"/>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Chief Executive Officer.</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XBRL Instance Document - the instance document does not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XBRL Taxonomy Extension Label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right="160" w:hanging="172"/>
        <w:spacing w:after="0" w:line="278" w:lineRule="auto"/>
        <w:tabs>
          <w:tab w:leader="none" w:pos="247"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985" w:right="339" w:bottom="1440" w:gutter="0" w:footer="0" w:header="0"/>
        </w:sectPr>
      </w:pPr>
    </w:p>
    <w:bookmarkStart w:id="64" w:name="page65"/>
    <w:bookmarkEnd w:id="64"/>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FLUIDIGM CORPORATION</w:t>
      </w:r>
    </w:p>
    <w:p>
      <w:pPr>
        <w:spacing w:after="0" w:line="333" w:lineRule="exact"/>
        <w:rPr>
          <w:sz w:val="20"/>
          <w:szCs w:val="20"/>
          <w:color w:val="auto"/>
        </w:rPr>
      </w:pPr>
    </w:p>
    <w:p>
      <w:pPr>
        <w:ind w:left="40"/>
        <w:spacing w:after="0"/>
        <w:tabs>
          <w:tab w:leader="none" w:pos="4560" w:val="left"/>
          <w:tab w:leader="none" w:pos="528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4560" w:val="left"/>
          <w:tab w:leader="none" w:pos="528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20"/>
          </w:cols>
          <w:pgMar w:left="320" w:top="715" w:right="8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080" w:right="40" w:hanging="783"/>
        <w:spacing w:after="0" w:line="342" w:lineRule="auto"/>
        <w:rPr>
          <w:rFonts w:ascii="Arial" w:cs="Arial" w:eastAsia="Arial" w:hAnsi="Arial"/>
          <w:sz w:val="18"/>
          <w:szCs w:val="18"/>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sz w:val="20"/>
          <w:szCs w:val="20"/>
          <w:color w:val="auto"/>
        </w:rPr>
      </w:pPr>
    </w:p>
    <w:p>
      <w:pPr>
        <w:ind w:left="2080" w:hanging="782"/>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600" w:val="left"/>
          <w:tab w:leader="none" w:pos="70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71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left="1960" w:right="60" w:hanging="1304"/>
        <w:spacing w:after="0" w:line="263" w:lineRule="auto"/>
        <w:tabs>
          <w:tab w:leader="none" w:pos="13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960" w:right="100" w:hanging="1304"/>
        <w:spacing w:after="0" w:line="263" w:lineRule="auto"/>
        <w:tabs>
          <w:tab w:leader="none" w:pos="13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1960" w:right="200" w:hanging="1304"/>
        <w:spacing w:after="0" w:line="263" w:lineRule="auto"/>
        <w:tabs>
          <w:tab w:leader="none" w:pos="13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960" w:right="80" w:hanging="656"/>
        <w:spacing w:after="0" w:line="286" w:lineRule="auto"/>
        <w:tabs>
          <w:tab w:leader="none" w:pos="19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960" w:right="280" w:hanging="1304"/>
        <w:spacing w:after="0" w:line="263" w:lineRule="auto"/>
        <w:tabs>
          <w:tab w:leader="none" w:pos="13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6600" w:val="left"/>
          <w:tab w:leader="none" w:pos="70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2503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116" w:lineRule="exact"/>
        <w:rPr>
          <w:sz w:val="20"/>
          <w:szCs w:val="20"/>
          <w:color w:val="auto"/>
        </w:rPr>
      </w:pPr>
    </w:p>
    <w:p>
      <w:pPr>
        <w:ind w:left="420" w:right="280" w:hanging="7"/>
        <w:spacing w:after="0" w:line="277" w:lineRule="auto"/>
        <w:tabs>
          <w:tab w:leader="none" w:pos="7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2020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800" w:hanging="387"/>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0"/>
        <w:spacing w:after="0"/>
        <w:tabs>
          <w:tab w:leader="none" w:pos="5880" w:val="left"/>
          <w:tab w:leader="none" w:pos="63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31750</wp:posOffset>
            </wp:positionV>
            <wp:extent cx="237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16" w:lineRule="exact"/>
        <w:rPr>
          <w:sz w:val="20"/>
          <w:szCs w:val="20"/>
          <w:color w:val="auto"/>
        </w:rPr>
      </w:pPr>
    </w:p>
    <w:p>
      <w:pPr>
        <w:ind w:left="420" w:right="120" w:hanging="7"/>
        <w:spacing w:after="0" w:line="277" w:lineRule="auto"/>
        <w:tabs>
          <w:tab w:leader="none" w:pos="7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year ended March 31, 2020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800" w:hanging="387"/>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0"/>
        <w:spacing w:after="0"/>
        <w:tabs>
          <w:tab w:leader="none" w:pos="5880" w:val="left"/>
          <w:tab w:leader="none" w:pos="63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2366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4"/>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lvl w:ilvl="1">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lvl w:ilvl="1">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2020-05-11T14:09:14Z</dcterms:created>
  <dcterms:modified xsi:type="dcterms:W3CDTF">2020-05-11T14:09:14Z</dcterms:modified>
</cp:coreProperties>
</file>