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SCHEDULE 13D/A</w:t>
      </w:r>
    </w:p>
    <w:p>
      <w:pPr>
        <w:spacing w:after="0" w:line="243" w:lineRule="exact"/>
        <w:rPr>
          <w:sz w:val="24"/>
          <w:szCs w:val="24"/>
          <w:color w:val="auto"/>
        </w:rPr>
      </w:pPr>
    </w:p>
    <w:p>
      <w:pPr>
        <w:jc w:val="center"/>
        <w:ind w:left="360" w:right="2360"/>
        <w:spacing w:after="0" w:line="254" w:lineRule="auto"/>
        <w:rPr>
          <w:sz w:val="20"/>
          <w:szCs w:val="20"/>
          <w:color w:val="auto"/>
        </w:rPr>
      </w:pPr>
      <w:r>
        <w:rPr>
          <w:rFonts w:ascii="Times New Roman" w:cs="Times New Roman" w:eastAsia="Times New Roman" w:hAnsi="Times New Roman"/>
          <w:sz w:val="20"/>
          <w:szCs w:val="20"/>
          <w:color w:val="auto"/>
        </w:rPr>
        <w:t>INFORMATION TO BE INCLUDED IN STATEMENTS FILED PURSUANT TO RULE 13d-1(a) AND AMENDMENTS THERETO FILED PURSUANT TO RULE 13d-2(a)</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(Amendment No. 4)*</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2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0"/>
          <w:szCs w:val="20"/>
          <w:color w:val="auto"/>
        </w:rPr>
        <w:t>David Johnson</w:t>
      </w:r>
    </w:p>
    <w:p>
      <w:pPr>
        <w:spacing w:after="0" w:line="2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0"/>
          <w:szCs w:val="20"/>
          <w:color w:val="auto"/>
        </w:rPr>
        <w:t>Caligan Partners LP</w:t>
      </w:r>
    </w:p>
    <w:p>
      <w:pPr>
        <w:ind w:left="4780"/>
        <w:spacing w:after="0"/>
        <w:rPr>
          <w:sz w:val="20"/>
          <w:szCs w:val="20"/>
          <w:color w:val="auto"/>
        </w:rPr>
      </w:pPr>
      <w:r>
        <w:rPr>
          <w:rFonts w:ascii="Times New Roman" w:cs="Times New Roman" w:eastAsia="Times New Roman" w:hAnsi="Times New Roman"/>
          <w:sz w:val="20"/>
          <w:szCs w:val="20"/>
          <w:color w:val="auto"/>
        </w:rPr>
        <w:t>590 Madison Avenue</w:t>
      </w:r>
    </w:p>
    <w:p>
      <w:pPr>
        <w:ind w:left="4760"/>
        <w:spacing w:after="0"/>
        <w:rPr>
          <w:sz w:val="20"/>
          <w:szCs w:val="20"/>
          <w:color w:val="auto"/>
        </w:rPr>
      </w:pPr>
      <w:r>
        <w:rPr>
          <w:rFonts w:ascii="Times New Roman" w:cs="Times New Roman" w:eastAsia="Times New Roman" w:hAnsi="Times New Roman"/>
          <w:sz w:val="20"/>
          <w:szCs w:val="20"/>
          <w:color w:val="auto"/>
        </w:rPr>
        <w:t>New York, NY 10022</w:t>
      </w:r>
    </w:p>
    <w:p>
      <w:pPr>
        <w:ind w:left="5060"/>
        <w:spacing w:after="0"/>
        <w:rPr>
          <w:sz w:val="20"/>
          <w:szCs w:val="20"/>
          <w:color w:val="auto"/>
        </w:rPr>
      </w:pPr>
      <w:r>
        <w:rPr>
          <w:rFonts w:ascii="Times New Roman" w:cs="Times New Roman" w:eastAsia="Times New Roman" w:hAnsi="Times New Roman"/>
          <w:sz w:val="20"/>
          <w:szCs w:val="20"/>
          <w:color w:val="auto"/>
        </w:rPr>
        <w:t>(646) 859-8204</w:t>
      </w:r>
    </w:p>
    <w:p>
      <w:pPr>
        <w:spacing w:after="0" w:line="2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color w:val="auto"/>
        </w:rPr>
        <w:t>Eleazer Klein, Esq.</w:t>
      </w:r>
    </w:p>
    <w:p>
      <w:pPr>
        <w:spacing w:after="0" w:line="2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color w:val="auto"/>
        </w:rPr>
        <w:t>Schulte Roth &amp; Zabel LLP</w:t>
      </w:r>
    </w:p>
    <w:p>
      <w:pPr>
        <w:ind w:left="4960"/>
        <w:spacing w:after="0"/>
        <w:rPr>
          <w:sz w:val="20"/>
          <w:szCs w:val="20"/>
          <w:color w:val="auto"/>
        </w:rPr>
      </w:pPr>
      <w:r>
        <w:rPr>
          <w:rFonts w:ascii="Times New Roman" w:cs="Times New Roman" w:eastAsia="Times New Roman" w:hAnsi="Times New Roman"/>
          <w:sz w:val="20"/>
          <w:szCs w:val="20"/>
          <w:color w:val="auto"/>
        </w:rPr>
        <w:t>919 Third Avenue</w:t>
      </w:r>
    </w:p>
    <w:p>
      <w:pPr>
        <w:ind w:left="4800"/>
        <w:spacing w:after="0"/>
        <w:rPr>
          <w:sz w:val="20"/>
          <w:szCs w:val="20"/>
          <w:color w:val="auto"/>
        </w:rPr>
      </w:pPr>
      <w:r>
        <w:rPr>
          <w:rFonts w:ascii="Times New Roman" w:cs="Times New Roman" w:eastAsia="Times New Roman" w:hAnsi="Times New Roman"/>
          <w:sz w:val="20"/>
          <w:szCs w:val="20"/>
          <w:color w:val="auto"/>
        </w:rPr>
        <w:t>New York, NY 10022</w:t>
      </w:r>
    </w:p>
    <w:p>
      <w:pPr>
        <w:ind w:left="5000"/>
        <w:spacing w:after="0"/>
        <w:rPr>
          <w:sz w:val="20"/>
          <w:szCs w:val="20"/>
          <w:color w:val="auto"/>
        </w:rPr>
      </w:pPr>
      <w:r>
        <w:rPr>
          <w:rFonts w:ascii="Times New Roman" w:cs="Times New Roman" w:eastAsia="Times New Roman" w:hAnsi="Times New Roman"/>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color w:val="auto"/>
        </w:rPr>
        <w:t>(Name, Address and Telephone Number of Person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Authorized to Receive Notices and Communications)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August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30" w:lineRule="exact"/>
        <w:rPr>
          <w:sz w:val="24"/>
          <w:szCs w:val="24"/>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(Page 1 of 6 Pages)</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ind w:right="340" w:firstLine="8"/>
        <w:spacing w:after="0" w:line="246" w:lineRule="auto"/>
        <w:tabs>
          <w:tab w:leader="none" w:pos="1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5"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00"/>
          </w:cols>
          <w:pgMar w:left="320" w:top="423"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638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SCHEDULE 13D/A</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2 of 6 Pages</w:t>
            </w:r>
          </w:p>
        </w:tc>
        <w:tc>
          <w:tcPr>
            <w:tcW w:w="0" w:type="dxa"/>
            <w:vAlign w:val="bottom"/>
          </w:tcPr>
          <w:p>
            <w:pPr>
              <w:spacing w:after="0"/>
              <w:rPr>
                <w:sz w:val="1"/>
                <w:szCs w:val="1"/>
                <w:color w:val="auto"/>
              </w:rPr>
            </w:pPr>
          </w:p>
        </w:tc>
      </w:tr>
      <w:tr>
        <w:trPr>
          <w:trHeight w:val="351"/>
        </w:trPr>
        <w:tc>
          <w:tcPr>
            <w:tcW w:w="178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80" w:type="dxa"/>
            <w:vAlign w:val="bottom"/>
            <w:vMerge w:val="continue"/>
          </w:tcPr>
          <w:p>
            <w:pPr>
              <w:spacing w:after="0"/>
              <w:rPr>
                <w:sz w:val="15"/>
                <w:szCs w:val="15"/>
                <w:color w:val="auto"/>
              </w:rPr>
            </w:pPr>
          </w:p>
        </w:tc>
        <w:tc>
          <w:tcPr>
            <w:tcW w:w="63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Caligan Partners LP</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80" w:type="dxa"/>
            <w:vAlign w:val="bottom"/>
          </w:tcPr>
          <w:p>
            <w:pPr>
              <w:spacing w:after="0"/>
              <w:rPr>
                <w:sz w:val="6"/>
                <w:szCs w:val="6"/>
                <w:color w:val="auto"/>
              </w:rPr>
            </w:pPr>
          </w:p>
        </w:tc>
        <w:tc>
          <w:tcPr>
            <w:tcW w:w="638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80" w:type="dxa"/>
            <w:vAlign w:val="bottom"/>
            <w:tcBorders>
              <w:bottom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2</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2060"/>
              <w:spacing w:after="0" w:line="322"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22"/>
        </w:trPr>
        <w:tc>
          <w:tcPr>
            <w:tcW w:w="1780" w:type="dxa"/>
            <w:vAlign w:val="bottom"/>
            <w:vMerge w:val="continue"/>
          </w:tcPr>
          <w:p>
            <w:pPr>
              <w:spacing w:after="0"/>
              <w:rPr>
                <w:sz w:val="10"/>
                <w:szCs w:val="10"/>
                <w:color w:val="auto"/>
              </w:rPr>
            </w:pPr>
          </w:p>
        </w:tc>
        <w:tc>
          <w:tcPr>
            <w:tcW w:w="638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7"/>
        </w:trPr>
        <w:tc>
          <w:tcPr>
            <w:tcW w:w="17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80" w:type="dxa"/>
            <w:vAlign w:val="bottom"/>
          </w:tcPr>
          <w:p>
            <w:pPr>
              <w:ind w:left="2060"/>
              <w:spacing w:after="0"/>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8"/>
                <w:szCs w:val="2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-869950</wp:posOffset>
            </wp:positionV>
            <wp:extent cx="7132320" cy="5349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ind w:left="1820" w:hanging="1033"/>
        <w:spacing w:after="0" w:line="184" w:lineRule="auto"/>
        <w:tabs>
          <w:tab w:leader="none" w:pos="1820" w:val="left"/>
        </w:tabs>
        <w:numPr>
          <w:ilvl w:val="0"/>
          <w:numId w:val="2"/>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4</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SOURCE OF FUNDS</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700" w:type="dxa"/>
            <w:vAlign w:val="bottom"/>
            <w:vMerge w:val="continue"/>
          </w:tcPr>
          <w:p>
            <w:pPr>
              <w:spacing w:after="0"/>
              <w:rPr>
                <w:sz w:val="15"/>
                <w:szCs w:val="15"/>
                <w:color w:val="auto"/>
              </w:rPr>
            </w:pPr>
          </w:p>
        </w:tc>
        <w:tc>
          <w:tcPr>
            <w:tcW w:w="122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AF</w:t>
            </w:r>
          </w:p>
        </w:tc>
        <w:tc>
          <w:tcPr>
            <w:tcW w:w="6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6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5</w:t>
            </w:r>
          </w:p>
        </w:tc>
        <w:tc>
          <w:tcPr>
            <w:tcW w:w="8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DISCLOSURE OF LEGAL PROCEEDING IS REQUIRED PURSUANT TO ITEMS 2(d) or 2(e)</w:t>
            </w:r>
          </w:p>
        </w:tc>
        <w:tc>
          <w:tcPr>
            <w:tcW w:w="1440" w:type="dxa"/>
            <w:vAlign w:val="bottom"/>
          </w:tcPr>
          <w:p>
            <w:pPr>
              <w:ind w:left="4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700" w:type="dxa"/>
            <w:vAlign w:val="bottom"/>
          </w:tcPr>
          <w:p>
            <w:pPr>
              <w:spacing w:after="0"/>
              <w:rPr>
                <w:sz w:val="4"/>
                <w:szCs w:val="4"/>
                <w:color w:val="auto"/>
              </w:rPr>
            </w:pPr>
          </w:p>
        </w:tc>
        <w:tc>
          <w:tcPr>
            <w:tcW w:w="8100" w:type="dxa"/>
            <w:vAlign w:val="bottom"/>
            <w:gridSpan w:val="3"/>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00" w:type="dxa"/>
            <w:vAlign w:val="bottom"/>
            <w:tcBorders>
              <w:bottom w:val="single" w:sz="8" w:color="auto"/>
            </w:tcBorders>
          </w:tcPr>
          <w:p>
            <w:pPr>
              <w:spacing w:after="0"/>
              <w:rPr>
                <w:sz w:val="22"/>
                <w:szCs w:val="22"/>
                <w:color w:val="auto"/>
              </w:rPr>
            </w:pPr>
          </w:p>
        </w:tc>
        <w:tc>
          <w:tcPr>
            <w:tcW w:w="8100" w:type="dxa"/>
            <w:vAlign w:val="bottom"/>
            <w:tcBorders>
              <w:bottom w:val="single" w:sz="8" w:color="auto"/>
            </w:tcBorders>
            <w:gridSpan w:val="3"/>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6</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00" w:type="dxa"/>
            <w:vAlign w:val="bottom"/>
            <w:vMerge w:val="continue"/>
          </w:tcPr>
          <w:p>
            <w:pPr>
              <w:spacing w:after="0"/>
              <w:rPr>
                <w:sz w:val="15"/>
                <w:szCs w:val="15"/>
                <w:color w:val="auto"/>
              </w:rPr>
            </w:pPr>
          </w:p>
        </w:tc>
        <w:tc>
          <w:tcPr>
            <w:tcW w:w="122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w w:val="99"/>
              </w:rPr>
              <w:t>Delaware</w:t>
            </w:r>
          </w:p>
        </w:tc>
        <w:tc>
          <w:tcPr>
            <w:tcW w:w="6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6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80" w:type="dxa"/>
            <w:vAlign w:val="bottom"/>
          </w:tcPr>
          <w:p>
            <w:pPr>
              <w:spacing w:after="0"/>
              <w:rPr>
                <w:sz w:val="19"/>
                <w:szCs w:val="19"/>
                <w:color w:val="auto"/>
              </w:rPr>
            </w:pPr>
          </w:p>
        </w:tc>
        <w:tc>
          <w:tcPr>
            <w:tcW w:w="6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00" w:type="dxa"/>
            <w:vAlign w:val="bottom"/>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8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88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14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00" w:type="dxa"/>
            <w:vAlign w:val="bottom"/>
            <w:vMerge w:val="continue"/>
          </w:tcPr>
          <w:p>
            <w:pPr>
              <w:spacing w:after="0"/>
              <w:rPr>
                <w:sz w:val="8"/>
                <w:szCs w:val="8"/>
                <w:color w:val="auto"/>
              </w:rPr>
            </w:pPr>
          </w:p>
        </w:tc>
        <w:tc>
          <w:tcPr>
            <w:tcW w:w="114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8</w:t>
            </w:r>
          </w:p>
        </w:tc>
        <w:tc>
          <w:tcPr>
            <w:tcW w:w="80" w:type="dxa"/>
            <w:vAlign w:val="bottom"/>
          </w:tcPr>
          <w:p>
            <w:pPr>
              <w:spacing w:after="0"/>
              <w:rPr>
                <w:sz w:val="8"/>
                <w:szCs w:val="8"/>
                <w:color w:val="auto"/>
              </w:rPr>
            </w:pPr>
          </w:p>
        </w:tc>
        <w:tc>
          <w:tcPr>
            <w:tcW w:w="68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14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88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00" w:type="dxa"/>
            <w:vAlign w:val="bottom"/>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8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11,444,836 shares of Common Stock</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BENEFICIALLY</w:t>
            </w:r>
          </w:p>
        </w:tc>
        <w:tc>
          <w:tcPr>
            <w:tcW w:w="1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700" w:type="dxa"/>
            <w:vAlign w:val="bottom"/>
            <w:vMerge w:val="continue"/>
          </w:tcPr>
          <w:p>
            <w:pPr>
              <w:spacing w:after="0"/>
              <w:rPr>
                <w:sz w:val="8"/>
                <w:szCs w:val="8"/>
                <w:color w:val="auto"/>
              </w:rPr>
            </w:pPr>
          </w:p>
        </w:tc>
        <w:tc>
          <w:tcPr>
            <w:tcW w:w="114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9</w:t>
            </w:r>
          </w:p>
        </w:tc>
        <w:tc>
          <w:tcPr>
            <w:tcW w:w="80" w:type="dxa"/>
            <w:vAlign w:val="bottom"/>
          </w:tcPr>
          <w:p>
            <w:pPr>
              <w:spacing w:after="0"/>
              <w:rPr>
                <w:sz w:val="8"/>
                <w:szCs w:val="8"/>
                <w:color w:val="auto"/>
              </w:rPr>
            </w:pPr>
          </w:p>
        </w:tc>
        <w:tc>
          <w:tcPr>
            <w:tcW w:w="68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14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88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00" w:type="dxa"/>
            <w:vAlign w:val="bottom"/>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8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00" w:type="dxa"/>
            <w:vAlign w:val="bottom"/>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10</w:t>
            </w:r>
          </w:p>
        </w:tc>
        <w:tc>
          <w:tcPr>
            <w:tcW w:w="80" w:type="dxa"/>
            <w:vAlign w:val="bottom"/>
          </w:tcPr>
          <w:p>
            <w:pPr>
              <w:spacing w:after="0"/>
              <w:rPr>
                <w:sz w:val="9"/>
                <w:szCs w:val="9"/>
                <w:color w:val="auto"/>
              </w:rPr>
            </w:pPr>
          </w:p>
        </w:tc>
        <w:tc>
          <w:tcPr>
            <w:tcW w:w="68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88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700" w:type="dxa"/>
            <w:vAlign w:val="bottom"/>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8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11,444,836 shares of Common Stock</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88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6960" w:type="dxa"/>
            <w:vAlign w:val="bottom"/>
            <w:tcBorders>
              <w:bottom w:val="single" w:sz="8" w:color="auto"/>
            </w:tcBorders>
            <w:gridSpan w:val="2"/>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PERSON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00" w:type="dxa"/>
            <w:vAlign w:val="bottom"/>
            <w:vMerge w:val="continue"/>
          </w:tcPr>
          <w:p>
            <w:pPr>
              <w:spacing w:after="0"/>
              <w:rPr>
                <w:sz w:val="15"/>
                <w:szCs w:val="15"/>
                <w:color w:val="auto"/>
              </w:rPr>
            </w:pPr>
          </w:p>
        </w:tc>
        <w:tc>
          <w:tcPr>
            <w:tcW w:w="8100" w:type="dxa"/>
            <w:vAlign w:val="bottom"/>
            <w:gridSpan w:val="3"/>
            <w:vMerge w:val="restart"/>
          </w:tcPr>
          <w:p>
            <w:pPr>
              <w:ind w:left="440"/>
              <w:spacing w:after="0"/>
              <w:rPr>
                <w:sz w:val="20"/>
                <w:szCs w:val="20"/>
                <w:color w:val="auto"/>
              </w:rPr>
            </w:pPr>
            <w:r>
              <w:rPr>
                <w:rFonts w:ascii="Times New Roman" w:cs="Times New Roman" w:eastAsia="Times New Roman" w:hAnsi="Times New Roman"/>
                <w:sz w:val="20"/>
                <w:szCs w:val="20"/>
                <w:color w:val="auto"/>
              </w:rPr>
              <w:t>11,444,836 shares of Common Stock</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81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8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IF THE AGGREGATE AMOUNT IN ROW (11) EXCLUDES CERTAIN SHARES</w:t>
            </w:r>
          </w:p>
        </w:tc>
        <w:tc>
          <w:tcPr>
            <w:tcW w:w="1440" w:type="dxa"/>
            <w:vAlign w:val="bottom"/>
          </w:tcPr>
          <w:p>
            <w:pPr>
              <w:ind w:left="5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700" w:type="dxa"/>
            <w:vAlign w:val="bottom"/>
          </w:tcPr>
          <w:p>
            <w:pPr>
              <w:spacing w:after="0"/>
              <w:rPr>
                <w:sz w:val="4"/>
                <w:szCs w:val="4"/>
                <w:color w:val="auto"/>
              </w:rPr>
            </w:pPr>
          </w:p>
        </w:tc>
        <w:tc>
          <w:tcPr>
            <w:tcW w:w="8100" w:type="dxa"/>
            <w:vAlign w:val="bottom"/>
            <w:gridSpan w:val="3"/>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960" w:type="dxa"/>
            <w:vAlign w:val="bottom"/>
            <w:tcBorders>
              <w:bottom w:val="single" w:sz="8" w:color="auto"/>
            </w:tcBorders>
            <w:gridSpan w:val="2"/>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13</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(11)</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00" w:type="dxa"/>
            <w:vAlign w:val="bottom"/>
            <w:vMerge w:val="continue"/>
          </w:tcPr>
          <w:p>
            <w:pPr>
              <w:spacing w:after="0"/>
              <w:rPr>
                <w:sz w:val="15"/>
                <w:szCs w:val="15"/>
                <w:color w:val="auto"/>
              </w:rPr>
            </w:pPr>
          </w:p>
        </w:tc>
        <w:tc>
          <w:tcPr>
            <w:tcW w:w="11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14.8%</w:t>
            </w:r>
          </w:p>
        </w:tc>
        <w:tc>
          <w:tcPr>
            <w:tcW w:w="8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gridSpan w:val="2"/>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14</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00" w:type="dxa"/>
            <w:vAlign w:val="bottom"/>
            <w:vMerge w:val="continue"/>
          </w:tcPr>
          <w:p>
            <w:pPr>
              <w:spacing w:after="0"/>
              <w:rPr>
                <w:sz w:val="15"/>
                <w:szCs w:val="15"/>
                <w:color w:val="auto"/>
              </w:rPr>
            </w:pPr>
          </w:p>
        </w:tc>
        <w:tc>
          <w:tcPr>
            <w:tcW w:w="122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IA, PN</w:t>
            </w:r>
          </w:p>
        </w:tc>
        <w:tc>
          <w:tcPr>
            <w:tcW w:w="6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6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638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SCHEDULE 13D/A</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3 of 6 Pages</w:t>
            </w:r>
          </w:p>
        </w:tc>
        <w:tc>
          <w:tcPr>
            <w:tcW w:w="0" w:type="dxa"/>
            <w:vAlign w:val="bottom"/>
          </w:tcPr>
          <w:p>
            <w:pPr>
              <w:spacing w:after="0"/>
              <w:rPr>
                <w:sz w:val="1"/>
                <w:szCs w:val="1"/>
                <w:color w:val="auto"/>
              </w:rPr>
            </w:pPr>
          </w:p>
        </w:tc>
      </w:tr>
      <w:tr>
        <w:trPr>
          <w:trHeight w:val="662"/>
        </w:trPr>
        <w:tc>
          <w:tcPr>
            <w:tcW w:w="178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80" w:type="dxa"/>
            <w:vAlign w:val="bottom"/>
            <w:vMerge w:val="continue"/>
          </w:tcPr>
          <w:p>
            <w:pPr>
              <w:spacing w:after="0"/>
              <w:rPr>
                <w:sz w:val="15"/>
                <w:szCs w:val="15"/>
                <w:color w:val="auto"/>
              </w:rPr>
            </w:pPr>
          </w:p>
        </w:tc>
        <w:tc>
          <w:tcPr>
            <w:tcW w:w="63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David Johnson</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80" w:type="dxa"/>
            <w:vAlign w:val="bottom"/>
          </w:tcPr>
          <w:p>
            <w:pPr>
              <w:spacing w:after="0"/>
              <w:rPr>
                <w:sz w:val="6"/>
                <w:szCs w:val="6"/>
                <w:color w:val="auto"/>
              </w:rPr>
            </w:pPr>
          </w:p>
        </w:tc>
        <w:tc>
          <w:tcPr>
            <w:tcW w:w="638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80" w:type="dxa"/>
            <w:vAlign w:val="bottom"/>
            <w:tcBorders>
              <w:bottom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780" w:type="dxa"/>
            <w:vAlign w:val="bottom"/>
            <w:vMerge w:val="restart"/>
          </w:tcPr>
          <w:p>
            <w:pPr>
              <w:jc w:val="center"/>
              <w:spacing w:after="0" w:line="317" w:lineRule="exact"/>
              <w:rPr>
                <w:sz w:val="20"/>
                <w:szCs w:val="20"/>
                <w:color w:val="auto"/>
              </w:rPr>
            </w:pPr>
            <w:r>
              <w:rPr>
                <w:rFonts w:ascii="Times New Roman" w:cs="Times New Roman" w:eastAsia="Times New Roman" w:hAnsi="Times New Roman"/>
                <w:sz w:val="29"/>
                <w:szCs w:val="29"/>
                <w:b w:val="1"/>
                <w:bCs w:val="1"/>
                <w:color w:val="auto"/>
              </w:rPr>
              <w:t>2</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2060"/>
              <w:spacing w:after="0" w:line="317"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3"/>
        </w:trPr>
        <w:tc>
          <w:tcPr>
            <w:tcW w:w="1780" w:type="dxa"/>
            <w:vAlign w:val="bottom"/>
            <w:vMerge w:val="continue"/>
          </w:tcPr>
          <w:p>
            <w:pPr>
              <w:spacing w:after="0"/>
              <w:rPr>
                <w:sz w:val="6"/>
                <w:szCs w:val="6"/>
                <w:color w:val="auto"/>
              </w:rPr>
            </w:pPr>
          </w:p>
        </w:tc>
        <w:tc>
          <w:tcPr>
            <w:tcW w:w="638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7"/>
        </w:trPr>
        <w:tc>
          <w:tcPr>
            <w:tcW w:w="17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80" w:type="dxa"/>
            <w:vAlign w:val="bottom"/>
          </w:tcPr>
          <w:p>
            <w:pPr>
              <w:ind w:left="2060"/>
              <w:spacing w:after="0"/>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8"/>
                <w:szCs w:val="2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-838835</wp:posOffset>
            </wp:positionV>
            <wp:extent cx="7132320" cy="5314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314950"/>
                    </a:xfrm>
                    <a:prstGeom prst="rect">
                      <a:avLst/>
                    </a:prstGeom>
                    <a:noFill/>
                  </pic:spPr>
                </pic:pic>
              </a:graphicData>
            </a:graphic>
          </wp:anchor>
        </w:drawing>
      </w:r>
    </w:p>
    <w:p>
      <w:pPr>
        <w:ind w:left="1820" w:hanging="1033"/>
        <w:spacing w:after="0" w:line="181" w:lineRule="auto"/>
        <w:tabs>
          <w:tab w:leader="none" w:pos="1820" w:val="left"/>
        </w:tabs>
        <w:numPr>
          <w:ilvl w:val="0"/>
          <w:numId w:val="3"/>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4</w:t>
            </w:r>
          </w:p>
        </w:tc>
        <w:tc>
          <w:tcPr>
            <w:tcW w:w="8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SOURCE OF FUNDS</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700" w:type="dxa"/>
            <w:vAlign w:val="bottom"/>
            <w:vMerge w:val="continue"/>
          </w:tcPr>
          <w:p>
            <w:pPr>
              <w:spacing w:after="0"/>
              <w:rPr>
                <w:sz w:val="15"/>
                <w:szCs w:val="15"/>
                <w:color w:val="auto"/>
              </w:rPr>
            </w:pPr>
          </w:p>
        </w:tc>
        <w:tc>
          <w:tcPr>
            <w:tcW w:w="11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AF</w:t>
            </w:r>
          </w:p>
        </w:tc>
        <w:tc>
          <w:tcPr>
            <w:tcW w:w="6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69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5</w:t>
            </w:r>
          </w:p>
        </w:tc>
        <w:tc>
          <w:tcPr>
            <w:tcW w:w="8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DISCLOSURE OF LEGAL PROCEEDING IS REQUIRED PURSUANT TO ITEMS 2(d) or 2(e)</w:t>
            </w:r>
          </w:p>
        </w:tc>
        <w:tc>
          <w:tcPr>
            <w:tcW w:w="1440" w:type="dxa"/>
            <w:vAlign w:val="bottom"/>
          </w:tcPr>
          <w:p>
            <w:pPr>
              <w:ind w:left="4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700" w:type="dxa"/>
            <w:vAlign w:val="bottom"/>
          </w:tcPr>
          <w:p>
            <w:pPr>
              <w:spacing w:after="0"/>
              <w:rPr>
                <w:sz w:val="4"/>
                <w:szCs w:val="4"/>
                <w:color w:val="auto"/>
              </w:rPr>
            </w:pPr>
          </w:p>
        </w:tc>
        <w:tc>
          <w:tcPr>
            <w:tcW w:w="810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00" w:type="dxa"/>
            <w:vAlign w:val="bottom"/>
            <w:tcBorders>
              <w:bottom w:val="single" w:sz="8" w:color="auto"/>
            </w:tcBorders>
          </w:tcPr>
          <w:p>
            <w:pPr>
              <w:spacing w:after="0"/>
              <w:rPr>
                <w:sz w:val="22"/>
                <w:szCs w:val="22"/>
                <w:color w:val="auto"/>
              </w:rPr>
            </w:pPr>
          </w:p>
        </w:tc>
        <w:tc>
          <w:tcPr>
            <w:tcW w:w="8100" w:type="dxa"/>
            <w:vAlign w:val="bottom"/>
            <w:tcBorders>
              <w:bottom w:val="single" w:sz="8" w:color="auto"/>
            </w:tcBorders>
            <w:gridSpan w:val="2"/>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6</w:t>
            </w:r>
          </w:p>
        </w:tc>
        <w:tc>
          <w:tcPr>
            <w:tcW w:w="8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00" w:type="dxa"/>
            <w:vAlign w:val="bottom"/>
            <w:vMerge w:val="continue"/>
          </w:tcPr>
          <w:p>
            <w:pPr>
              <w:spacing w:after="0"/>
              <w:rPr>
                <w:sz w:val="15"/>
                <w:szCs w:val="15"/>
                <w:color w:val="auto"/>
              </w:rPr>
            </w:pPr>
          </w:p>
        </w:tc>
        <w:tc>
          <w:tcPr>
            <w:tcW w:w="8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8100" w:type="dxa"/>
            <w:vAlign w:val="bottom"/>
            <w:gridSpan w:val="2"/>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00" w:type="dxa"/>
            <w:vAlign w:val="bottom"/>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69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69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140" w:type="dxa"/>
            <w:vAlign w:val="bottom"/>
            <w:tcBorders>
              <w:bottom w:val="single" w:sz="8" w:color="auto"/>
              <w:right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00" w:type="dxa"/>
            <w:vAlign w:val="bottom"/>
            <w:vMerge w:val="continue"/>
          </w:tcPr>
          <w:p>
            <w:pPr>
              <w:spacing w:after="0"/>
              <w:rPr>
                <w:sz w:val="8"/>
                <w:szCs w:val="8"/>
                <w:color w:val="auto"/>
              </w:rPr>
            </w:pPr>
          </w:p>
        </w:tc>
        <w:tc>
          <w:tcPr>
            <w:tcW w:w="114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8</w:t>
            </w:r>
          </w:p>
        </w:tc>
        <w:tc>
          <w:tcPr>
            <w:tcW w:w="6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140" w:type="dxa"/>
            <w:vAlign w:val="bottom"/>
            <w:tcBorders>
              <w:right w:val="single" w:sz="8" w:color="auto"/>
            </w:tcBorders>
            <w:vMerge w:val="continue"/>
          </w:tcPr>
          <w:p>
            <w:pPr>
              <w:spacing w:after="0"/>
              <w:rPr>
                <w:sz w:val="10"/>
                <w:szCs w:val="10"/>
                <w:color w:val="auto"/>
              </w:rPr>
            </w:pPr>
          </w:p>
        </w:tc>
        <w:tc>
          <w:tcPr>
            <w:tcW w:w="696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00" w:type="dxa"/>
            <w:vAlign w:val="bottom"/>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69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11,444,836 shares of Common Stock</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BENEFICIALLY</w:t>
            </w:r>
          </w:p>
        </w:tc>
        <w:tc>
          <w:tcPr>
            <w:tcW w:w="1140" w:type="dxa"/>
            <w:vAlign w:val="bottom"/>
            <w:tcBorders>
              <w:right w:val="single" w:sz="8" w:color="auto"/>
            </w:tcBorders>
          </w:tcPr>
          <w:p>
            <w:pPr>
              <w:spacing w:after="0"/>
              <w:rPr>
                <w:sz w:val="17"/>
                <w:szCs w:val="17"/>
                <w:color w:val="auto"/>
              </w:rPr>
            </w:pPr>
          </w:p>
        </w:tc>
        <w:tc>
          <w:tcPr>
            <w:tcW w:w="696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140" w:type="dxa"/>
            <w:vAlign w:val="bottom"/>
            <w:tcBorders>
              <w:bottom w:val="single" w:sz="8" w:color="auto"/>
              <w:right w:val="single" w:sz="8" w:color="auto"/>
            </w:tcBorders>
          </w:tcPr>
          <w:p>
            <w:pPr>
              <w:spacing w:after="0"/>
              <w:rPr>
                <w:sz w:val="7"/>
                <w:szCs w:val="7"/>
                <w:color w:val="auto"/>
              </w:rPr>
            </w:pPr>
          </w:p>
        </w:tc>
        <w:tc>
          <w:tcPr>
            <w:tcW w:w="69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700" w:type="dxa"/>
            <w:vAlign w:val="bottom"/>
            <w:vMerge w:val="continue"/>
          </w:tcPr>
          <w:p>
            <w:pPr>
              <w:spacing w:after="0"/>
              <w:rPr>
                <w:sz w:val="8"/>
                <w:szCs w:val="8"/>
                <w:color w:val="auto"/>
              </w:rPr>
            </w:pPr>
          </w:p>
        </w:tc>
        <w:tc>
          <w:tcPr>
            <w:tcW w:w="114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9</w:t>
            </w:r>
          </w:p>
        </w:tc>
        <w:tc>
          <w:tcPr>
            <w:tcW w:w="6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140" w:type="dxa"/>
            <w:vAlign w:val="bottom"/>
            <w:tcBorders>
              <w:right w:val="single" w:sz="8" w:color="auto"/>
            </w:tcBorders>
            <w:vMerge w:val="continue"/>
          </w:tcPr>
          <w:p>
            <w:pPr>
              <w:spacing w:after="0"/>
              <w:rPr>
                <w:sz w:val="10"/>
                <w:szCs w:val="10"/>
                <w:color w:val="auto"/>
              </w:rPr>
            </w:pPr>
          </w:p>
        </w:tc>
        <w:tc>
          <w:tcPr>
            <w:tcW w:w="696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00" w:type="dxa"/>
            <w:vAlign w:val="bottom"/>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69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140" w:type="dxa"/>
            <w:vAlign w:val="bottom"/>
            <w:tcBorders>
              <w:right w:val="single" w:sz="8" w:color="auto"/>
            </w:tcBorders>
          </w:tcPr>
          <w:p>
            <w:pPr>
              <w:spacing w:after="0"/>
              <w:rPr>
                <w:sz w:val="17"/>
                <w:szCs w:val="17"/>
                <w:color w:val="auto"/>
              </w:rPr>
            </w:pPr>
          </w:p>
        </w:tc>
        <w:tc>
          <w:tcPr>
            <w:tcW w:w="696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140" w:type="dxa"/>
            <w:vAlign w:val="bottom"/>
            <w:tcBorders>
              <w:bottom w:val="single" w:sz="8" w:color="auto"/>
              <w:right w:val="single" w:sz="8" w:color="auto"/>
            </w:tcBorders>
          </w:tcPr>
          <w:p>
            <w:pPr>
              <w:spacing w:after="0"/>
              <w:rPr>
                <w:sz w:val="7"/>
                <w:szCs w:val="7"/>
                <w:color w:val="auto"/>
              </w:rPr>
            </w:pPr>
          </w:p>
        </w:tc>
        <w:tc>
          <w:tcPr>
            <w:tcW w:w="69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00" w:type="dxa"/>
            <w:vAlign w:val="bottom"/>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10</w:t>
            </w:r>
          </w:p>
        </w:tc>
        <w:tc>
          <w:tcPr>
            <w:tcW w:w="6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696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700" w:type="dxa"/>
            <w:vAlign w:val="bottom"/>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69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11,444,836 shares of Common Stock</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69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8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PERSON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00" w:type="dxa"/>
            <w:vAlign w:val="bottom"/>
            <w:vMerge w:val="continue"/>
          </w:tcPr>
          <w:p>
            <w:pPr>
              <w:spacing w:after="0"/>
              <w:rPr>
                <w:sz w:val="15"/>
                <w:szCs w:val="15"/>
                <w:color w:val="auto"/>
              </w:rPr>
            </w:pPr>
          </w:p>
        </w:tc>
        <w:tc>
          <w:tcPr>
            <w:tcW w:w="8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11,444,836 shares of Common Stock</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8100" w:type="dxa"/>
            <w:vAlign w:val="bottom"/>
            <w:gridSpan w:val="2"/>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8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IF THE AGGREGATE AMOUNT IN ROW (11) EXCLUDES CERTAIN SHARES</w:t>
            </w:r>
          </w:p>
        </w:tc>
        <w:tc>
          <w:tcPr>
            <w:tcW w:w="1440" w:type="dxa"/>
            <w:vAlign w:val="bottom"/>
          </w:tcPr>
          <w:p>
            <w:pPr>
              <w:ind w:left="5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700" w:type="dxa"/>
            <w:vAlign w:val="bottom"/>
          </w:tcPr>
          <w:p>
            <w:pPr>
              <w:spacing w:after="0"/>
              <w:rPr>
                <w:sz w:val="4"/>
                <w:szCs w:val="4"/>
                <w:color w:val="auto"/>
              </w:rPr>
            </w:pPr>
          </w:p>
        </w:tc>
        <w:tc>
          <w:tcPr>
            <w:tcW w:w="810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9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13</w:t>
            </w:r>
          </w:p>
        </w:tc>
        <w:tc>
          <w:tcPr>
            <w:tcW w:w="8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(11)</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00" w:type="dxa"/>
            <w:vAlign w:val="bottom"/>
            <w:vMerge w:val="continue"/>
          </w:tcPr>
          <w:p>
            <w:pPr>
              <w:spacing w:after="0"/>
              <w:rPr>
                <w:sz w:val="15"/>
                <w:szCs w:val="15"/>
                <w:color w:val="auto"/>
              </w:rPr>
            </w:pPr>
          </w:p>
        </w:tc>
        <w:tc>
          <w:tcPr>
            <w:tcW w:w="11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14.8%</w:t>
            </w:r>
          </w:p>
        </w:tc>
        <w:tc>
          <w:tcPr>
            <w:tcW w:w="6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69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14</w:t>
            </w:r>
          </w:p>
        </w:tc>
        <w:tc>
          <w:tcPr>
            <w:tcW w:w="8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00" w:type="dxa"/>
            <w:vAlign w:val="bottom"/>
            <w:vMerge w:val="continue"/>
          </w:tcPr>
          <w:p>
            <w:pPr>
              <w:spacing w:after="0"/>
              <w:rPr>
                <w:sz w:val="15"/>
                <w:szCs w:val="15"/>
                <w:color w:val="auto"/>
              </w:rPr>
            </w:pPr>
          </w:p>
        </w:tc>
        <w:tc>
          <w:tcPr>
            <w:tcW w:w="11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IN</w:t>
            </w:r>
          </w:p>
        </w:tc>
        <w:tc>
          <w:tcPr>
            <w:tcW w:w="6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69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4 of 6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both"/>
        <w:ind w:left="120" w:right="100"/>
        <w:spacing w:after="0" w:line="235" w:lineRule="auto"/>
        <w:rPr>
          <w:sz w:val="20"/>
          <w:szCs w:val="20"/>
          <w:color w:val="auto"/>
        </w:rPr>
      </w:pPr>
      <w:r>
        <w:rPr>
          <w:rFonts w:ascii="Times New Roman" w:cs="Times New Roman" w:eastAsia="Times New Roman" w:hAnsi="Times New Roman"/>
          <w:sz w:val="22"/>
          <w:szCs w:val="22"/>
          <w:color w:val="auto"/>
        </w:rPr>
        <w:t>The following constitutes Amendment No. 4 (this "</w:t>
      </w:r>
      <w:r>
        <w:rPr>
          <w:rFonts w:ascii="Times New Roman" w:cs="Times New Roman" w:eastAsia="Times New Roman" w:hAnsi="Times New Roman"/>
          <w:sz w:val="22"/>
          <w:szCs w:val="22"/>
          <w:u w:val="single" w:color="auto"/>
          <w:color w:val="auto"/>
        </w:rPr>
        <w:t>Amendment No. 4</w:t>
      </w:r>
      <w:r>
        <w:rPr>
          <w:rFonts w:ascii="Times New Roman" w:cs="Times New Roman" w:eastAsia="Times New Roman" w:hAnsi="Times New Roman"/>
          <w:sz w:val="22"/>
          <w:szCs w:val="22"/>
          <w:color w:val="auto"/>
        </w:rPr>
        <w:t>") to the Schedule 13D filed by the undersigned on May 10, 2021 with respect to the Common Stock of the Issuer (the "</w:t>
      </w:r>
      <w:r>
        <w:rPr>
          <w:rFonts w:ascii="Times New Roman" w:cs="Times New Roman" w:eastAsia="Times New Roman" w:hAnsi="Times New Roman"/>
          <w:sz w:val="22"/>
          <w:szCs w:val="22"/>
          <w:u w:val="single" w:color="auto"/>
          <w:color w:val="auto"/>
        </w:rPr>
        <w:t>Original Schedule 13D</w:t>
      </w:r>
      <w:r>
        <w:rPr>
          <w:rFonts w:ascii="Times New Roman" w:cs="Times New Roman" w:eastAsia="Times New Roman" w:hAnsi="Times New Roman"/>
          <w:sz w:val="22"/>
          <w:szCs w:val="22"/>
          <w:color w:val="auto"/>
        </w:rPr>
        <w:t>"), as amended by Amended by Amendment No. 1 to the Original Schedule 13D, filed with the SEC on March 29, 2022 ("</w:t>
      </w:r>
      <w:r>
        <w:rPr>
          <w:rFonts w:ascii="Times New Roman" w:cs="Times New Roman" w:eastAsia="Times New Roman" w:hAnsi="Times New Roman"/>
          <w:sz w:val="22"/>
          <w:szCs w:val="22"/>
          <w:u w:val="single" w:color="auto"/>
          <w:color w:val="auto"/>
        </w:rPr>
        <w:t>Amendment No. 1</w:t>
      </w:r>
      <w:r>
        <w:rPr>
          <w:rFonts w:ascii="Times New Roman" w:cs="Times New Roman" w:eastAsia="Times New Roman" w:hAnsi="Times New Roman"/>
          <w:sz w:val="22"/>
          <w:szCs w:val="22"/>
          <w:color w:val="auto"/>
        </w:rPr>
        <w:t>"), Amendment No. 2 to the Original Schedule 13D, filed with the SEC on May 3, 2022 ("</w:t>
      </w:r>
      <w:r>
        <w:rPr>
          <w:rFonts w:ascii="Times New Roman" w:cs="Times New Roman" w:eastAsia="Times New Roman" w:hAnsi="Times New Roman"/>
          <w:sz w:val="22"/>
          <w:szCs w:val="22"/>
          <w:u w:val="single" w:color="auto"/>
          <w:color w:val="auto"/>
        </w:rPr>
        <w:t>Amendment No. 2</w:t>
      </w:r>
      <w:r>
        <w:rPr>
          <w:rFonts w:ascii="Times New Roman" w:cs="Times New Roman" w:eastAsia="Times New Roman" w:hAnsi="Times New Roman"/>
          <w:sz w:val="22"/>
          <w:szCs w:val="22"/>
          <w:color w:val="auto"/>
        </w:rPr>
        <w:t>") and Amendment No. 3 to the Original Schedule 13D, filed with the SEC on June 7, 2022 ("</w:t>
      </w:r>
      <w:r>
        <w:rPr>
          <w:rFonts w:ascii="Times New Roman" w:cs="Times New Roman" w:eastAsia="Times New Roman" w:hAnsi="Times New Roman"/>
          <w:sz w:val="22"/>
          <w:szCs w:val="22"/>
          <w:u w:val="single" w:color="auto"/>
          <w:color w:val="auto"/>
        </w:rPr>
        <w:t>Amendment No. 3</w:t>
      </w:r>
      <w:r>
        <w:rPr>
          <w:rFonts w:ascii="Times New Roman" w:cs="Times New Roman" w:eastAsia="Times New Roman" w:hAnsi="Times New Roman"/>
          <w:sz w:val="22"/>
          <w:szCs w:val="22"/>
          <w:color w:val="auto"/>
        </w:rPr>
        <w:t>," together with the Original Schedule 13D, Amendment No. 1, Amendment No. 2 and this Amendment No. 4, the "</w:t>
      </w:r>
      <w:r>
        <w:rPr>
          <w:rFonts w:ascii="Times New Roman" w:cs="Times New Roman" w:eastAsia="Times New Roman" w:hAnsi="Times New Roman"/>
          <w:sz w:val="22"/>
          <w:szCs w:val="22"/>
          <w:u w:val="single" w:color="auto"/>
          <w:color w:val="auto"/>
        </w:rPr>
        <w:t>Schedule 13D</w:t>
      </w:r>
      <w:r>
        <w:rPr>
          <w:rFonts w:ascii="Times New Roman" w:cs="Times New Roman" w:eastAsia="Times New Roman" w:hAnsi="Times New Roman"/>
          <w:sz w:val="22"/>
          <w:szCs w:val="22"/>
          <w:color w:val="auto"/>
        </w:rPr>
        <w:t>"). This Amendment No. 4 amends the Schedule 13D as specifically set forth herein. Capitalized terms used herein not otherwise defined in this Amendment No. 3 have the meanings set forth in the Schedule 13D. This Amendment No. 4 amends Items 3 and 5(a) and (c) as set forth below.</w:t>
      </w:r>
    </w:p>
    <w:p>
      <w:pPr>
        <w:spacing w:after="0" w:line="201"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SOURCE AND AMOUNT OF FUNDS OR OTHER CONSIDERATION</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Item 3 of the Schedule 13D is hereby amended and restated in its entirety as follows:</w:t>
      </w:r>
    </w:p>
    <w:p>
      <w:pPr>
        <w:spacing w:after="0" w:line="233" w:lineRule="exact"/>
        <w:rPr>
          <w:sz w:val="20"/>
          <w:szCs w:val="20"/>
          <w:color w:val="auto"/>
        </w:rPr>
      </w:pPr>
    </w:p>
    <w:p>
      <w:pPr>
        <w:jc w:val="both"/>
        <w:ind w:left="1360" w:right="100"/>
        <w:spacing w:after="0" w:line="244" w:lineRule="auto"/>
        <w:rPr>
          <w:sz w:val="20"/>
          <w:szCs w:val="20"/>
          <w:color w:val="auto"/>
        </w:rPr>
      </w:pPr>
      <w:r>
        <w:rPr>
          <w:rFonts w:ascii="Times New Roman" w:cs="Times New Roman" w:eastAsia="Times New Roman" w:hAnsi="Times New Roman"/>
          <w:sz w:val="22"/>
          <w:szCs w:val="22"/>
          <w:color w:val="auto"/>
        </w:rPr>
        <w:t>The Reporting Persons used a total of approximately $47,470,658 (excluding brokerage commissions) to acquire the Common Stock reported herein. The source of the funds used to acquire the Common Stock reported herein was the working capital of the Caligan Fund and the Caligan Accounts.</w:t>
      </w:r>
    </w:p>
    <w:p>
      <w:pPr>
        <w:spacing w:after="0" w:line="196"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INTEREST IN SECURITIES OF THE ISSUER</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Items 5(a) - (c) of the Schedule 13D are hereby amended and restated as follows:</w:t>
      </w:r>
    </w:p>
    <w:p>
      <w:pPr>
        <w:spacing w:after="0" w:line="233" w:lineRule="exact"/>
        <w:rPr>
          <w:sz w:val="20"/>
          <w:szCs w:val="20"/>
          <w:color w:val="auto"/>
        </w:rPr>
      </w:pPr>
    </w:p>
    <w:p>
      <w:pPr>
        <w:jc w:val="both"/>
        <w:ind w:left="1360" w:right="100" w:hanging="1249"/>
        <w:spacing w:after="0" w:line="238" w:lineRule="auto"/>
        <w:tabs>
          <w:tab w:leader="none" w:pos="1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(11) and (13) of the cover pages to this Schedule 13D for the aggregate number of and percentages of the shares of Common Stock beneficially owned by each Reporting Person. The percentages set forth in this Schedule 13D are based upon 77,252,135 shares of Common Stock outstanding as of April 30, 2022, as reported in the Issuer's Quarterly Report for the quarterly period ended March 31, 2022 on Form 10-Q, filed with the Securities and Exchange Commission on May 9, 2022.</w:t>
      </w:r>
    </w:p>
    <w:p>
      <w:pPr>
        <w:spacing w:after="0" w:line="203" w:lineRule="exact"/>
        <w:rPr>
          <w:rFonts w:ascii="Times New Roman" w:cs="Times New Roman" w:eastAsia="Times New Roman" w:hAnsi="Times New Roman"/>
          <w:sz w:val="22"/>
          <w:szCs w:val="22"/>
          <w:color w:val="auto"/>
        </w:rPr>
      </w:pPr>
    </w:p>
    <w:p>
      <w:pPr>
        <w:jc w:val="both"/>
        <w:ind w:left="1360" w:right="120" w:hanging="1249"/>
        <w:spacing w:after="0" w:line="244" w:lineRule="auto"/>
        <w:tabs>
          <w:tab w:leader="none" w:pos="1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(7) through (10) of the cover pages to this Schedule 13D for the number of shares of Common Stock as to which each Reporting Person has the sole or shared power to vote or direct the vote and sole or shared power to dispose or to direct the disposition.</w:t>
      </w:r>
    </w:p>
    <w:p>
      <w:pPr>
        <w:spacing w:after="0" w:line="200" w:lineRule="exact"/>
        <w:rPr>
          <w:rFonts w:ascii="Times New Roman" w:cs="Times New Roman" w:eastAsia="Times New Roman" w:hAnsi="Times New Roman"/>
          <w:sz w:val="22"/>
          <w:szCs w:val="22"/>
          <w:color w:val="auto"/>
        </w:rPr>
      </w:pPr>
    </w:p>
    <w:p>
      <w:pPr>
        <w:ind w:left="1360" w:right="120" w:hanging="1249"/>
        <w:spacing w:after="0" w:line="258" w:lineRule="auto"/>
        <w:tabs>
          <w:tab w:leader="none" w:pos="1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transactions in the Common Stock effected by the Reporting Persons since the filing of Amendment No. 3 is set forth in Schedule A hereto and is incorporated by reference herein.</w:t>
      </w:r>
    </w:p>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5 of 6 Pages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640"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his or its knowledge and belief, the undersigned certifies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August 5, 2022</w:t>
      </w:r>
    </w:p>
    <w:p>
      <w:pPr>
        <w:spacing w:after="0" w:line="20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color w:val="auto"/>
        </w:rPr>
        <w:t>CALIGAN PARTNERS LP</w:t>
      </w:r>
    </w:p>
    <w:p>
      <w:pPr>
        <w:spacing w:after="0" w:line="200" w:lineRule="exact"/>
        <w:rPr>
          <w:sz w:val="20"/>
          <w:szCs w:val="20"/>
          <w:color w:val="auto"/>
        </w:rPr>
      </w:pPr>
    </w:p>
    <w:p>
      <w:pPr>
        <w:spacing w:after="0" w:line="270" w:lineRule="exact"/>
        <w:rPr>
          <w:sz w:val="20"/>
          <w:szCs w:val="20"/>
          <w:color w:val="auto"/>
        </w:rPr>
      </w:pPr>
    </w:p>
    <w:tbl>
      <w:tblPr>
        <w:tblLayout w:type="fixed"/>
        <w:tblInd w:w="57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/s/ David Johnson</w:t>
            </w:r>
          </w:p>
        </w:tc>
        <w:tc>
          <w:tcPr>
            <w:tcW w:w="0" w:type="dxa"/>
            <w:vAlign w:val="bottom"/>
          </w:tcPr>
          <w:p>
            <w:pPr>
              <w:spacing w:after="0"/>
              <w:rPr>
                <w:sz w:val="1"/>
                <w:szCs w:val="1"/>
                <w:color w:val="auto"/>
              </w:rPr>
            </w:pPr>
          </w:p>
        </w:tc>
      </w:tr>
      <w:tr>
        <w:trPr>
          <w:trHeight w:val="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44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David Johnson</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488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color w:val="auto"/>
        </w:rPr>
        <w:t>DAVID JOHNSON</w:t>
      </w:r>
    </w:p>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6 of 6 Pages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Schedule sets forth information with respect to each purchase and sale of the shares of Common Stock effectuated by the Reporting Persons since the filing of Amendment No. 3. All transactions were effectuated in the open market through a broker and the price per share excludes commissions. Where a price range is provided in the column Price Range ($), the price reported in that row's Price Per Share ($) column is a weighted average price. These shares of Common Stock were purchased in multiple transactions at prices between the price ranges indicated in the Price Range ($) column. The Reporting Persons undertake to provide to the staff of the SEC, upon request, full information regarding the number of shares of Common Stock purchased at each separate price.</w:t>
      </w:r>
    </w:p>
    <w:p>
      <w:pPr>
        <w:spacing w:after="0" w:line="206" w:lineRule="exact"/>
        <w:rPr>
          <w:sz w:val="20"/>
          <w:szCs w:val="20"/>
          <w:color w:val="auto"/>
        </w:rPr>
      </w:pPr>
    </w:p>
    <w:tbl>
      <w:tblPr>
        <w:tblLayout w:type="fixed"/>
        <w:tblInd w:w="840" w:type="dxa"/>
        <w:tblCellMar>
          <w:top w:w="0" w:type="dxa"/>
          <w:left w:w="0" w:type="dxa"/>
          <w:bottom w:w="0" w:type="dxa"/>
          <w:right w:w="0" w:type="dxa"/>
        </w:tblCellMar>
      </w:tblPr>
      <w:tr>
        <w:trPr>
          <w:trHeight w:val="286"/>
        </w:trPr>
        <w:tc>
          <w:tcPr>
            <w:tcW w:w="1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Trade Date</w:t>
            </w:r>
          </w:p>
        </w:tc>
        <w:tc>
          <w:tcPr>
            <w:tcW w:w="334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Shares Purchased (Sold)</w:t>
            </w:r>
          </w:p>
        </w:tc>
        <w:tc>
          <w:tcPr>
            <w:tcW w:w="27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Price Per Share ($)</w:t>
            </w:r>
          </w:p>
        </w:tc>
        <w:tc>
          <w:tcPr>
            <w:tcW w:w="2020" w:type="dxa"/>
            <w:vAlign w:val="bottom"/>
          </w:tcPr>
          <w:p>
            <w:pPr>
              <w:jc w:val="center"/>
              <w:ind w:left="472"/>
              <w:spacing w:after="0"/>
              <w:rPr>
                <w:sz w:val="20"/>
                <w:szCs w:val="20"/>
                <w:color w:val="auto"/>
              </w:rPr>
            </w:pPr>
            <w:r>
              <w:rPr>
                <w:rFonts w:ascii="Times New Roman" w:cs="Times New Roman" w:eastAsia="Times New Roman" w:hAnsi="Times New Roman"/>
                <w:sz w:val="22"/>
                <w:szCs w:val="22"/>
                <w:b w:val="1"/>
                <w:bCs w:val="1"/>
                <w:color w:val="auto"/>
                <w:w w:val="99"/>
              </w:rPr>
              <w:t>Price Range ($)</w:t>
            </w:r>
          </w:p>
        </w:tc>
      </w:tr>
      <w:tr>
        <w:trPr>
          <w:trHeight w:val="447"/>
        </w:trPr>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06/13/2022</w:t>
            </w:r>
          </w:p>
        </w:tc>
        <w:tc>
          <w:tcPr>
            <w:tcW w:w="33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7"/>
              </w:rPr>
              <w:t>100,000</w:t>
            </w:r>
          </w:p>
        </w:tc>
        <w:tc>
          <w:tcPr>
            <w:tcW w:w="278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1.70</w:t>
            </w:r>
          </w:p>
        </w:tc>
        <w:tc>
          <w:tcPr>
            <w:tcW w:w="202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auto"/>
                <w:w w:val="99"/>
              </w:rPr>
              <w:t>1.64-1.75</w:t>
            </w:r>
          </w:p>
        </w:tc>
      </w:tr>
      <w:tr>
        <w:trPr>
          <w:trHeight w:val="243"/>
        </w:trPr>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07/29/2022</w:t>
            </w:r>
          </w:p>
        </w:tc>
        <w:tc>
          <w:tcPr>
            <w:tcW w:w="334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color w:val="auto"/>
                <w:w w:val="97"/>
              </w:rPr>
              <w:t>137,648</w:t>
            </w:r>
          </w:p>
        </w:tc>
        <w:tc>
          <w:tcPr>
            <w:tcW w:w="27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8"/>
              </w:rPr>
              <w:t>1.42</w:t>
            </w:r>
          </w:p>
        </w:tc>
        <w:tc>
          <w:tcPr>
            <w:tcW w:w="2020" w:type="dxa"/>
            <w:vAlign w:val="bottom"/>
          </w:tcPr>
          <w:p>
            <w:pPr>
              <w:jc w:val="center"/>
              <w:ind w:left="472"/>
              <w:spacing w:after="0" w:line="243" w:lineRule="exact"/>
              <w:rPr>
                <w:sz w:val="20"/>
                <w:szCs w:val="20"/>
                <w:color w:val="auto"/>
              </w:rPr>
            </w:pPr>
            <w:r>
              <w:rPr>
                <w:rFonts w:ascii="Times New Roman" w:cs="Times New Roman" w:eastAsia="Times New Roman" w:hAnsi="Times New Roman"/>
                <w:sz w:val="22"/>
                <w:szCs w:val="22"/>
                <w:color w:val="auto"/>
                <w:w w:val="99"/>
              </w:rPr>
              <w:t>1.37-1.45</w:t>
            </w:r>
          </w:p>
        </w:tc>
      </w:tr>
      <w:tr>
        <w:trPr>
          <w:trHeight w:val="243"/>
        </w:trPr>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08/01/2022</w:t>
            </w:r>
          </w:p>
        </w:tc>
        <w:tc>
          <w:tcPr>
            <w:tcW w:w="334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color w:val="auto"/>
                <w:w w:val="97"/>
              </w:rPr>
              <w:t>210,200</w:t>
            </w:r>
          </w:p>
        </w:tc>
        <w:tc>
          <w:tcPr>
            <w:tcW w:w="27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8"/>
              </w:rPr>
              <w:t>1.48</w:t>
            </w:r>
          </w:p>
        </w:tc>
        <w:tc>
          <w:tcPr>
            <w:tcW w:w="2020" w:type="dxa"/>
            <w:vAlign w:val="bottom"/>
          </w:tcPr>
          <w:p>
            <w:pPr>
              <w:jc w:val="center"/>
              <w:ind w:left="472"/>
              <w:spacing w:after="0" w:line="243" w:lineRule="exact"/>
              <w:rPr>
                <w:sz w:val="20"/>
                <w:szCs w:val="20"/>
                <w:color w:val="auto"/>
              </w:rPr>
            </w:pPr>
            <w:r>
              <w:rPr>
                <w:rFonts w:ascii="Times New Roman" w:cs="Times New Roman" w:eastAsia="Times New Roman" w:hAnsi="Times New Roman"/>
                <w:sz w:val="22"/>
                <w:szCs w:val="22"/>
                <w:color w:val="auto"/>
                <w:w w:val="99"/>
              </w:rPr>
              <w:t>1.40-1.52</w:t>
            </w:r>
          </w:p>
        </w:tc>
      </w:tr>
      <w:tr>
        <w:trPr>
          <w:trHeight w:val="243"/>
        </w:trPr>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08/02/2022</w:t>
            </w:r>
          </w:p>
        </w:tc>
        <w:tc>
          <w:tcPr>
            <w:tcW w:w="334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color w:val="auto"/>
                <w:w w:val="97"/>
              </w:rPr>
              <w:t>272,618</w:t>
            </w:r>
          </w:p>
        </w:tc>
        <w:tc>
          <w:tcPr>
            <w:tcW w:w="27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8"/>
              </w:rPr>
              <w:t>1.64</w:t>
            </w:r>
          </w:p>
        </w:tc>
        <w:tc>
          <w:tcPr>
            <w:tcW w:w="2020" w:type="dxa"/>
            <w:vAlign w:val="bottom"/>
          </w:tcPr>
          <w:p>
            <w:pPr>
              <w:jc w:val="center"/>
              <w:ind w:left="472"/>
              <w:spacing w:after="0" w:line="243" w:lineRule="exact"/>
              <w:rPr>
                <w:sz w:val="20"/>
                <w:szCs w:val="20"/>
                <w:color w:val="auto"/>
              </w:rPr>
            </w:pPr>
            <w:r>
              <w:rPr>
                <w:rFonts w:ascii="Times New Roman" w:cs="Times New Roman" w:eastAsia="Times New Roman" w:hAnsi="Times New Roman"/>
                <w:sz w:val="22"/>
                <w:szCs w:val="22"/>
                <w:color w:val="auto"/>
                <w:w w:val="99"/>
              </w:rPr>
              <w:t>1.49-1.70</w:t>
            </w:r>
          </w:p>
        </w:tc>
      </w:tr>
      <w:tr>
        <w:trPr>
          <w:trHeight w:val="243"/>
        </w:trPr>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08/03/2022</w:t>
            </w:r>
          </w:p>
        </w:tc>
        <w:tc>
          <w:tcPr>
            <w:tcW w:w="334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color w:val="auto"/>
                <w:w w:val="99"/>
              </w:rPr>
              <w:t>46,009</w:t>
            </w:r>
          </w:p>
        </w:tc>
        <w:tc>
          <w:tcPr>
            <w:tcW w:w="27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8"/>
              </w:rPr>
              <w:t>1.74</w:t>
            </w:r>
          </w:p>
        </w:tc>
        <w:tc>
          <w:tcPr>
            <w:tcW w:w="2020" w:type="dxa"/>
            <w:vAlign w:val="bottom"/>
          </w:tcPr>
          <w:p>
            <w:pPr>
              <w:jc w:val="center"/>
              <w:ind w:left="472"/>
              <w:spacing w:after="0" w:line="243" w:lineRule="exact"/>
              <w:rPr>
                <w:sz w:val="20"/>
                <w:szCs w:val="20"/>
                <w:color w:val="auto"/>
              </w:rPr>
            </w:pPr>
            <w:r>
              <w:rPr>
                <w:rFonts w:ascii="Times New Roman" w:cs="Times New Roman" w:eastAsia="Times New Roman" w:hAnsi="Times New Roman"/>
                <w:sz w:val="22"/>
                <w:szCs w:val="22"/>
                <w:color w:val="auto"/>
                <w:w w:val="99"/>
              </w:rPr>
              <w:t>1.70-1.75</w:t>
            </w:r>
          </w:p>
        </w:tc>
      </w:tr>
      <w:tr>
        <w:trPr>
          <w:trHeight w:val="282"/>
        </w:trPr>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08/04/2022</w:t>
            </w:r>
          </w:p>
        </w:tc>
        <w:tc>
          <w:tcPr>
            <w:tcW w:w="33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7"/>
              </w:rPr>
              <w:t>255,173</w:t>
            </w:r>
          </w:p>
        </w:tc>
        <w:tc>
          <w:tcPr>
            <w:tcW w:w="278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1.75</w:t>
            </w:r>
          </w:p>
        </w:tc>
        <w:tc>
          <w:tcPr>
            <w:tcW w:w="202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auto"/>
                <w:w w:val="99"/>
              </w:rPr>
              <w:t>1.71-1.77</w:t>
            </w:r>
          </w:p>
        </w:tc>
      </w:tr>
    </w:tbl>
    <w:p>
      <w:pPr>
        <w:spacing w:after="0" w:line="1" w:lineRule="exact"/>
        <w:rPr>
          <w:sz w:val="20"/>
          <w:szCs w:val="20"/>
          <w:color w:val="auto"/>
        </w:rPr>
      </w:pP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3"/>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2022-08-05T10:15:14Z</dcterms:created>
  <dcterms:modified xsi:type="dcterms:W3CDTF">2022-08-05T10:15:14Z</dcterms:modified>
</cp:coreProperties>
</file>