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January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2 Tower Place, Suite 2000, South San Francisco, California 94080</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2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02" w:lineRule="auto"/>
        <w:tabs>
          <w:tab w:leader="none" w:pos="97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Fluidigm Corporation is filing this Amendment No. 1 to its Current Report on Form 8-K filed with the Securities and Exchange Commission (the “SEC”) on January 24, 2022 (the “Report”) to refile Exhibit 10.1 in order to correct a typographical error. In Exhibit 10.1, the definition of “Preferred Shares” incorrectly referenced Series B-2 Preferred Stock rather than Series B-1 Preferred Stock. This Amendment No. 1 is filed solely to refile Exhibit 10.1 to correct such typographical error. Except as stated in this Explanatory Note, this Amendment No. 1 does not otherwise change or update the disclosure set forth in the Report.</w:t>
      </w:r>
    </w:p>
    <w:p>
      <w:pPr>
        <w:spacing w:after="0" w:line="33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60" w:type="dxa"/>
            <w:vAlign w:val="bottom"/>
            <w:gridSpan w:val="13"/>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6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Series B-1 Loan Agreement, dated as of January 23, 2022, by and among Fluidigm Corporation, Casdin Partners Master Fund, L.P., and</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Casdin Private Growth Equity Fund II, L.P.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9620" w:type="dxa"/>
            <w:vAlign w:val="bottom"/>
            <w:tcBorders>
              <w:bottom w:val="single" w:sz="8" w:color="0000EE"/>
            </w:tcBorders>
            <w:gridSpan w:val="14"/>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Series B-2 Loan Agreement, dated as of January 23, 2022, by and among Fluidigm Corporation, Viking Global Opportunities Illiquid</w:t>
              </w:r>
            </w:hyperlink>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Investments Sub-Master LP, and Viking Global Opportunities Drawdown (Aggregator) LP.*</w:t>
              </w:r>
            </w:hyperlink>
          </w:p>
        </w:tc>
        <w:tc>
          <w:tcPr>
            <w:tcW w:w="3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Series B-1 Convertible Preferred Stock Purchase Agreement, dated as of January 23, 2022, by and among Fluidigm Corporation, Casdin</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Private Growth Equity Fund II, L.P., and Casdin Partners Master Fund, L.P.*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9820" w:type="dxa"/>
            <w:vAlign w:val="bottom"/>
            <w:tcBorders>
              <w:bottom w:val="single" w:sz="8" w:color="0000EE"/>
            </w:tcBorders>
            <w:gridSpan w:val="16"/>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Series B-2 Convertible Preferred Stock Purchase Agreement, dated as of January 23, 2022, by and among Fluidigm Corporation, Viking</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Global Opportunities Illiquid Investments Sub-Master LP, and Viking Global Opportunities Drawdown (Aggregator) LP.*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120" w:type="dxa"/>
            <w:vAlign w:val="bottom"/>
            <w:tcBorders>
              <w:bottom w:val="single" w:sz="8" w:color="0000EE"/>
            </w:tcBorders>
            <w:gridSpan w:val="19"/>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Registration Rights Agreement, dated as of January 23, 2022, by and between Fluidigm Corporation, Casdin Private Growth Equity Fund II,</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20" w:type="dxa"/>
            <w:vAlign w:val="bottom"/>
            <w:gridSpan w:val="19"/>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L.P., Casdin Partners Master Fund, L.P., Viking Global Opportunities Illiquid Investments Sub-Master LP, and Viking Global Opportunities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21">
              <w:r>
                <w:rPr>
                  <w:rFonts w:ascii="Arial" w:cs="Arial" w:eastAsia="Arial" w:hAnsi="Arial"/>
                  <w:sz w:val="18"/>
                  <w:szCs w:val="18"/>
                  <w:color w:val="0000EE"/>
                  <w:w w:val="92"/>
                </w:rPr>
                <w:t>Drawdown (Aggregator) LP.*</w:t>
              </w:r>
            </w:hyperlink>
          </w:p>
        </w:tc>
        <w:tc>
          <w:tcPr>
            <w:tcW w:w="7880" w:type="dxa"/>
            <w:vAlign w:val="bottom"/>
            <w:tcBorders>
              <w:top w:val="single" w:sz="8" w:color="0000EE"/>
            </w:tcBorders>
            <w:gridSpan w:val="16"/>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120" w:type="dxa"/>
            <w:vAlign w:val="bottom"/>
            <w:gridSpan w:val="19"/>
          </w:tcPr>
          <w:p>
            <w:pPr>
              <w:spacing w:after="0"/>
              <w:rPr>
                <w:rFonts w:ascii="Arial" w:cs="Arial" w:eastAsia="Arial" w:hAnsi="Arial"/>
                <w:sz w:val="18"/>
                <w:szCs w:val="18"/>
                <w:color w:val="0000EE"/>
              </w:rPr>
            </w:pPr>
            <w:hyperlink r:id="rId22">
              <w:r>
                <w:rPr>
                  <w:rFonts w:ascii="Arial" w:cs="Arial" w:eastAsia="Arial" w:hAnsi="Arial"/>
                  <w:sz w:val="18"/>
                  <w:szCs w:val="18"/>
                  <w:color w:val="0000EE"/>
                </w:rPr>
                <w:t>Stephen Christopher Linthwaite Transition Agreement and Release.*</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r:id="rId23">
              <w:r>
                <w:rPr>
                  <w:rFonts w:ascii="Arial" w:cs="Arial" w:eastAsia="Arial" w:hAnsi="Arial"/>
                  <w:sz w:val="18"/>
                  <w:szCs w:val="18"/>
                  <w:color w:val="0000EE"/>
                  <w:w w:val="94"/>
                </w:rPr>
                <w:t>Michael Egholm Offer Letter.*</w:t>
              </w:r>
            </w:hyperlink>
          </w:p>
        </w:tc>
        <w:tc>
          <w:tcPr>
            <w:tcW w:w="2720" w:type="dxa"/>
            <w:vAlign w:val="bottom"/>
            <w:tcBorders>
              <w:top w:val="single" w:sz="8" w:color="0000EE"/>
            </w:tcBorders>
            <w:gridSpan w:val="5"/>
          </w:tcPr>
          <w:p>
            <w:pPr>
              <w:spacing w:after="0"/>
              <w:rPr>
                <w:sz w:val="24"/>
                <w:szCs w:val="24"/>
                <w:color w:val="auto"/>
              </w:rPr>
            </w:pPr>
          </w:p>
        </w:tc>
        <w:tc>
          <w:tcPr>
            <w:tcW w:w="51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8280" w:type="dxa"/>
            <w:vAlign w:val="bottom"/>
            <w:tcBorders>
              <w:bottom w:val="single" w:sz="8" w:color="0000EE"/>
            </w:tcBorders>
            <w:gridSpan w:val="12"/>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Indemnification Agreement, dated January 23, 2022, by and between Fluidigm Corporation and Michael Egholm.*</w:t>
              </w:r>
            </w:hyperlink>
          </w:p>
        </w:tc>
        <w:tc>
          <w:tcPr>
            <w:tcW w:w="18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10120" w:type="dxa"/>
            <w:vAlign w:val="bottom"/>
            <w:gridSpan w:val="19"/>
          </w:tcPr>
          <w:p>
            <w:pPr>
              <w:spacing w:after="0"/>
              <w:rPr>
                <w:rFonts w:ascii="Arial" w:cs="Arial" w:eastAsia="Arial" w:hAnsi="Arial"/>
                <w:sz w:val="18"/>
                <w:szCs w:val="18"/>
                <w:color w:val="0000EE"/>
              </w:rPr>
            </w:pPr>
            <w:hyperlink r:id="rId25">
              <w:r>
                <w:rPr>
                  <w:rFonts w:ascii="Arial" w:cs="Arial" w:eastAsia="Arial" w:hAnsi="Arial"/>
                  <w:sz w:val="18"/>
                  <w:szCs w:val="18"/>
                  <w:color w:val="0000EE"/>
                </w:rPr>
                <w:t>Hanjoon Alex Kim Offer Letter.*</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320" w:type="dxa"/>
            <w:vAlign w:val="bottom"/>
          </w:tcPr>
          <w:p>
            <w:pPr>
              <w:spacing w:after="0"/>
              <w:rPr>
                <w:sz w:val="24"/>
                <w:szCs w:val="24"/>
                <w:color w:val="auto"/>
              </w:rPr>
            </w:pPr>
          </w:p>
        </w:tc>
        <w:tc>
          <w:tcPr>
            <w:tcW w:w="2400" w:type="dxa"/>
            <w:vAlign w:val="bottom"/>
            <w:tcBorders>
              <w:top w:val="single" w:sz="8" w:color="0000EE"/>
            </w:tcBorders>
            <w:gridSpan w:val="4"/>
          </w:tcPr>
          <w:p>
            <w:pPr>
              <w:spacing w:after="0"/>
              <w:rPr>
                <w:rFonts w:ascii="Arial" w:cs="Arial" w:eastAsia="Arial" w:hAnsi="Arial"/>
                <w:sz w:val="18"/>
                <w:szCs w:val="18"/>
                <w:color w:val="0000EE"/>
              </w:rPr>
            </w:pPr>
            <w:hyperlink r:id="rId26">
              <w:r>
                <w:rPr>
                  <w:rFonts w:ascii="Arial" w:cs="Arial" w:eastAsia="Arial" w:hAnsi="Arial"/>
                  <w:sz w:val="18"/>
                  <w:szCs w:val="18"/>
                  <w:color w:val="0000EE"/>
                </w:rPr>
                <w:t>Form of Retention Letter.*</w:t>
              </w:r>
            </w:hyperlink>
          </w:p>
        </w:tc>
        <w:tc>
          <w:tcPr>
            <w:tcW w:w="77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56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4460" w:type="dxa"/>
            <w:vAlign w:val="bottom"/>
            <w:tcBorders>
              <w:bottom w:val="single" w:sz="8" w:color="0000EE"/>
            </w:tcBorders>
            <w:gridSpan w:val="6"/>
          </w:tcPr>
          <w:p>
            <w:pPr>
              <w:spacing w:after="0"/>
              <w:rPr>
                <w:rFonts w:ascii="Arial" w:cs="Arial" w:eastAsia="Arial" w:hAnsi="Arial"/>
                <w:sz w:val="18"/>
                <w:szCs w:val="18"/>
                <w:color w:val="0000EE"/>
                <w:w w:val="89"/>
              </w:rPr>
            </w:pPr>
            <w:hyperlink r:id="rId27">
              <w:r>
                <w:rPr>
                  <w:rFonts w:ascii="Arial" w:cs="Arial" w:eastAsia="Arial" w:hAnsi="Arial"/>
                  <w:sz w:val="18"/>
                  <w:szCs w:val="18"/>
                  <w:color w:val="0000EE"/>
                  <w:w w:val="89"/>
                </w:rPr>
                <w:t>Fluidigm Corporation Press Release dated January 24, 2022.*</w:t>
              </w:r>
            </w:hyperlink>
          </w:p>
        </w:tc>
        <w:tc>
          <w:tcPr>
            <w:tcW w:w="56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 w:right="4320" w:hanging="4"/>
        <w:spacing w:after="0" w:line="496" w:lineRule="auto"/>
        <w:tabs>
          <w:tab w:leader="none" w:pos="787"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Date File (embedded within the Inline XBRL document).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24"/>
          </w:cols>
          <w:pgMar w:left="436" w:top="297" w:right="5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Nicholas Khadder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117"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January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CASDIN PARTNERS MASTER FUND, L.P.</w:t>
      </w:r>
      <w:r>
        <w:rPr>
          <w:rFonts w:ascii="Arial" w:cs="Arial" w:eastAsia="Arial" w:hAnsi="Arial"/>
          <w:sz w:val="18"/>
          <w:szCs w:val="18"/>
          <w:color w:val="auto"/>
        </w:rPr>
        <w:t>, a Cayman Islands exempted limited partnership (“</w:t>
      </w:r>
      <w:r>
        <w:rPr>
          <w:rFonts w:ascii="Arial" w:cs="Arial" w:eastAsia="Arial" w:hAnsi="Arial"/>
          <w:sz w:val="18"/>
          <w:szCs w:val="18"/>
          <w:b w:val="1"/>
          <w:bCs w:val="1"/>
          <w:color w:val="auto"/>
        </w:rPr>
        <w:t>Master Fund</w:t>
      </w:r>
      <w:r>
        <w:rPr>
          <w:rFonts w:ascii="Arial" w:cs="Arial" w:eastAsia="Arial" w:hAnsi="Arial"/>
          <w:sz w:val="18"/>
          <w:szCs w:val="18"/>
          <w:color w:val="auto"/>
        </w:rPr>
        <w:t>”),</w:t>
      </w:r>
      <w:r>
        <w:rPr>
          <w:rFonts w:ascii="Arial" w:cs="Arial" w:eastAsia="Arial" w:hAnsi="Arial"/>
          <w:sz w:val="18"/>
          <w:szCs w:val="18"/>
          <w:b w:val="1"/>
          <w:bCs w:val="1"/>
          <w:color w:val="auto"/>
        </w:rPr>
        <w:t xml:space="preserve"> CASDIN PRIVATE GROWTH EQUITY FUND 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PGE Fund</w:t>
      </w:r>
      <w:r>
        <w:rPr>
          <w:rFonts w:ascii="Arial" w:cs="Arial" w:eastAsia="Arial" w:hAnsi="Arial"/>
          <w:sz w:val="18"/>
          <w:szCs w:val="18"/>
          <w:color w:val="auto"/>
        </w:rPr>
        <w:t>” and together with Master Fund,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repay Lenders. The parties agree as follows:</w:t>
      </w:r>
    </w:p>
    <w:p>
      <w:pPr>
        <w:spacing w:after="0" w:line="89"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ind w:right="60" w:firstLine="440"/>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any Lender shall so request, Borrower and Lenders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Capitalized terms not otherwise defined in this Agreement shall have the meanings set forth in Section 14. All other terms contained in this Agreement, unless otherwise indicated, shall have the meaning provided by the Code to the extent such terms are defined therein.</w:t>
      </w:r>
    </w:p>
    <w:p>
      <w:pPr>
        <w:spacing w:after="0" w:line="69"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Lenders the Outstanding Principal Amount of the Loan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67"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Loan.</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2.2.1 [Reserved]</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225" w:lineRule="exact"/>
        <w:rPr>
          <w:sz w:val="20"/>
          <w:szCs w:val="20"/>
          <w:color w:val="auto"/>
        </w:rPr>
      </w:pPr>
    </w:p>
    <w:p>
      <w:pPr>
        <w:ind w:right="20" w:firstLine="1979"/>
        <w:spacing w:after="0" w:line="275" w:lineRule="auto"/>
        <w:tabs>
          <w:tab w:leader="none" w:pos="2227"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Master Fund shall make one term loan to Borrower in an aggregate original principal amount equal to Eight Million and Seven Hundred Fifty Thousand Dollars ($8,750,000) (the “</w:t>
      </w:r>
      <w:r>
        <w:rPr>
          <w:rFonts w:ascii="Arial" w:cs="Arial" w:eastAsia="Arial" w:hAnsi="Arial"/>
          <w:sz w:val="17"/>
          <w:szCs w:val="17"/>
          <w:b w:val="1"/>
          <w:bCs w:val="1"/>
          <w:color w:val="auto"/>
        </w:rPr>
        <w:t>Master Fund Loan</w:t>
      </w:r>
      <w:r>
        <w:rPr>
          <w:rFonts w:ascii="Arial" w:cs="Arial" w:eastAsia="Arial" w:hAnsi="Arial"/>
          <w:sz w:val="17"/>
          <w:szCs w:val="17"/>
          <w:color w:val="auto"/>
        </w:rPr>
        <w:t>”) and PGE Fund shall make one term loan to Borrower in an aggregate original principal amount equal to Three Million and Seven Hundred Fifty Thousand Dollars ($3,750,000) (the “</w:t>
      </w:r>
      <w:r>
        <w:rPr>
          <w:rFonts w:ascii="Arial" w:cs="Arial" w:eastAsia="Arial" w:hAnsi="Arial"/>
          <w:sz w:val="17"/>
          <w:szCs w:val="17"/>
          <w:b w:val="1"/>
          <w:bCs w:val="1"/>
          <w:color w:val="auto"/>
        </w:rPr>
        <w:t>PGE Fund Loan</w:t>
      </w:r>
      <w:r>
        <w:rPr>
          <w:rFonts w:ascii="Arial" w:cs="Arial" w:eastAsia="Arial" w:hAnsi="Arial"/>
          <w:sz w:val="17"/>
          <w:szCs w:val="17"/>
          <w:color w:val="auto"/>
        </w:rPr>
        <w:t>” and collectively with the Master Fund Loan, the “</w:t>
      </w:r>
      <w:r>
        <w:rPr>
          <w:rFonts w:ascii="Arial" w:cs="Arial" w:eastAsia="Arial" w:hAnsi="Arial"/>
          <w:sz w:val="17"/>
          <w:szCs w:val="17"/>
          <w:b w:val="1"/>
          <w:bCs w:val="1"/>
          <w:color w:val="auto"/>
        </w:rPr>
        <w:t>Loan</w:t>
      </w:r>
      <w:r>
        <w:rPr>
          <w:rFonts w:ascii="Arial" w:cs="Arial" w:eastAsia="Arial" w:hAnsi="Arial"/>
          <w:sz w:val="17"/>
          <w:szCs w:val="17"/>
          <w:color w:val="auto"/>
        </w:rPr>
        <w:t>”). The Loan shall equal an aggregate original principal amount of Twelve Million and Five Hundred Thousand Dollars ($12,500,000).</w:t>
      </w:r>
    </w:p>
    <w:p>
      <w:pPr>
        <w:spacing w:after="0" w:line="176" w:lineRule="exact"/>
        <w:rPr>
          <w:rFonts w:ascii="Arial" w:cs="Arial" w:eastAsia="Arial" w:hAnsi="Arial"/>
          <w:sz w:val="17"/>
          <w:szCs w:val="17"/>
          <w:color w:val="auto"/>
        </w:rPr>
      </w:pPr>
    </w:p>
    <w:p>
      <w:pPr>
        <w:ind w:right="140" w:firstLine="1979"/>
        <w:spacing w:after="0" w:line="301" w:lineRule="auto"/>
        <w:tabs>
          <w:tab w:leader="none" w:pos="223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Unless earlier converted, the Outstanding Principal Amount of the Loan (inclusive of principal and accrued and unpaid interest) shall be due and payable in cash on the Loan Maturity Date. Interest shall be due and payable in accordance with Section 2.4(b) hereof. Each Lender shall maintain in accordance with its usual practice an account or accounts evidencing the Obligations of the Borrower to such Lender resulting from the Loan made by such Lender from time to time, including the amounts of principal and interest payable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4" w:name="page5"/>
    <w:bookmarkEnd w:id="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paid to such Lender from time to time under this Agreement. The entries made in the accounts maintained pursuant to this Section 2.2 shall be prima facie evidence of the existence and amounts of the obligations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obligations of the Borrower to repay the Obligations in accordance with their terms.</w:t>
      </w:r>
    </w:p>
    <w:p>
      <w:pPr>
        <w:spacing w:after="0" w:line="149" w:lineRule="exact"/>
        <w:rPr>
          <w:sz w:val="20"/>
          <w:szCs w:val="20"/>
          <w:color w:val="auto"/>
        </w:rPr>
      </w:pPr>
    </w:p>
    <w:p>
      <w:pPr>
        <w:ind w:right="140" w:firstLine="1979"/>
        <w:spacing w:after="0" w:line="277" w:lineRule="auto"/>
        <w:tabs>
          <w:tab w:leader="none" w:pos="222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 Permitted Prepayment</w:t>
      </w:r>
      <w:r>
        <w:rPr>
          <w:rFonts w:ascii="Arial" w:cs="Arial" w:eastAsia="Arial" w:hAnsi="Arial"/>
          <w:sz w:val="18"/>
          <w:szCs w:val="18"/>
          <w:color w:val="auto"/>
        </w:rPr>
        <w:t>. Borrower shall not have the option to pay any of the balance under the Loan before the Loan becomes due without the consent of the Lenders.</w:t>
      </w:r>
    </w:p>
    <w:p>
      <w:pPr>
        <w:spacing w:after="0" w:line="170" w:lineRule="exact"/>
        <w:rPr>
          <w:rFonts w:ascii="Arial" w:cs="Arial" w:eastAsia="Arial" w:hAnsi="Arial"/>
          <w:sz w:val="18"/>
          <w:szCs w:val="18"/>
          <w:color w:val="auto"/>
        </w:rPr>
      </w:pPr>
    </w:p>
    <w:p>
      <w:pPr>
        <w:ind w:right="40" w:firstLine="1979"/>
        <w:spacing w:after="0" w:line="263" w:lineRule="auto"/>
        <w:tabs>
          <w:tab w:leader="none" w:pos="2237"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Evidence of Debt</w:t>
      </w:r>
      <w:r>
        <w:rPr>
          <w:rFonts w:ascii="Arial" w:cs="Arial" w:eastAsia="Arial" w:hAnsi="Arial"/>
          <w:sz w:val="18"/>
          <w:szCs w:val="18"/>
          <w:color w:val="auto"/>
        </w:rPr>
        <w:t>. Each Lender may request that the Loan made by it hereunder be evidenced by a Promissory Note. In such event, the Borrower shall execute and deliver to such Lender a Promissory Note dated the Effective Date, payable to the order of such Lender in an amount equal to the Master Fund Loan or the PGE Fund Loan, as applicable.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Payment of Interest on the Loan.</w:t>
      </w:r>
    </w:p>
    <w:p>
      <w:pPr>
        <w:spacing w:after="0" w:line="229" w:lineRule="exact"/>
        <w:rPr>
          <w:sz w:val="20"/>
          <w:szCs w:val="20"/>
          <w:color w:val="auto"/>
        </w:rPr>
      </w:pPr>
    </w:p>
    <w:p>
      <w:pPr>
        <w:ind w:left="1680" w:hanging="252"/>
        <w:spacing w:after="0"/>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21"/>
        <w:spacing w:after="0"/>
        <w:tabs>
          <w:tab w:leader="none" w:pos="22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right="40" w:firstLine="1979"/>
        <w:spacing w:after="0" w:line="308" w:lineRule="auto"/>
        <w:tabs>
          <w:tab w:leader="none" w:pos="2248"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Loan; Interest; Computation.</w:t>
      </w:r>
      <w:r>
        <w:rPr>
          <w:rFonts w:ascii="Arial" w:cs="Arial" w:eastAsia="Arial" w:hAnsi="Arial"/>
          <w:sz w:val="17"/>
          <w:szCs w:val="17"/>
          <w:color w:val="auto"/>
        </w:rPr>
        <w:t xml:space="preserve"> The Borrower agrees to pay to Lenders interest on the Outstanding Principal Amount of the Loan at the Applicable Interest Rate for the period from the Funding Date (as defined herein) until the date the Loan shall be paid in full.</w:t>
      </w:r>
    </w:p>
    <w:p>
      <w:pPr>
        <w:spacing w:after="0" w:line="146" w:lineRule="exact"/>
        <w:rPr>
          <w:sz w:val="20"/>
          <w:szCs w:val="20"/>
          <w:color w:val="auto"/>
        </w:rPr>
      </w:pPr>
    </w:p>
    <w:p>
      <w:pPr>
        <w:ind w:right="180" w:firstLine="1979"/>
        <w:spacing w:after="0" w:line="259" w:lineRule="auto"/>
        <w:tabs>
          <w:tab w:leader="none" w:pos="22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interest shall (a) accrue daily, (b) be payable “in kind” by adding such interest to the Outstanding Principal Amount on the last Business Day of each month after the Funding Date and (c) constitute principal thereafter. On each such last Business Day of each month after the Funding Date, accrued interest shall be capitalized. For the avoidance of doubt, under the terms of this Agreement accrued interest under the Loan shall first be due by Borrower to Lenders on January 31, 2022.</w:t>
      </w:r>
    </w:p>
    <w:p>
      <w:pPr>
        <w:spacing w:after="0" w:line="183" w:lineRule="exact"/>
        <w:rPr>
          <w:sz w:val="20"/>
          <w:szCs w:val="20"/>
          <w:color w:val="auto"/>
        </w:rPr>
      </w:pPr>
    </w:p>
    <w:p>
      <w:pPr>
        <w:ind w:right="800" w:firstLine="440"/>
        <w:spacing w:after="0" w:line="347" w:lineRule="auto"/>
        <w:rPr>
          <w:sz w:val="20"/>
          <w:szCs w:val="20"/>
          <w:color w:val="auto"/>
        </w:rPr>
      </w:pPr>
      <w:r>
        <w:rPr>
          <w:rFonts w:ascii="Arial" w:cs="Arial" w:eastAsia="Arial" w:hAnsi="Arial"/>
          <w:sz w:val="16"/>
          <w:szCs w:val="16"/>
          <w:b w:val="1"/>
          <w:bCs w:val="1"/>
          <w:color w:val="auto"/>
        </w:rPr>
        <w:t xml:space="preserve">2.5 Fees. </w:t>
      </w:r>
      <w:r>
        <w:rPr>
          <w:rFonts w:ascii="Arial" w:cs="Arial" w:eastAsia="Arial" w:hAnsi="Arial"/>
          <w:sz w:val="16"/>
          <w:szCs w:val="16"/>
          <w:color w:val="auto"/>
        </w:rPr>
        <w:t>Borrower shall pay to Lenders all Lender Expenses (including reasonable attorneys’ fees and expenses for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incurred through and after the Effective Date when due (or, if no stated due date, upon demand by Lenders).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2.6 Payments; Application of Payments.</w:t>
      </w:r>
    </w:p>
    <w:p>
      <w:pPr>
        <w:spacing w:after="0" w:line="229" w:lineRule="exact"/>
        <w:rPr>
          <w:sz w:val="20"/>
          <w:szCs w:val="20"/>
          <w:color w:val="auto"/>
        </w:rPr>
      </w:pPr>
    </w:p>
    <w:p>
      <w:pPr>
        <w:ind w:right="260" w:firstLine="1979"/>
        <w:spacing w:after="0" w:line="257" w:lineRule="auto"/>
        <w:tabs>
          <w:tab w:leader="none" w:pos="22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payments to be made by Borrower under any Loan Document shall be made in immediately available funds in Dollars, without setoff or counterclaim, before 12:00 p.m. New York time on the date when due. Payments of principal and/or interest received after 12:00 p.m. New York time are considered received at the opening of business on the next Business Day. When a payment is due on a day that is not a Business Day, the payment shall be due the next Business Day, and additional fees or interest, as applicable, shall continue to accrue until paid in accordance with the Master Fund Loan or the PGE Fund Loan, as applicable.</w:t>
      </w:r>
    </w:p>
    <w:p>
      <w:pPr>
        <w:spacing w:after="0" w:line="187" w:lineRule="exact"/>
        <w:rPr>
          <w:rFonts w:ascii="Arial" w:cs="Arial" w:eastAsia="Arial" w:hAnsi="Arial"/>
          <w:sz w:val="18"/>
          <w:szCs w:val="18"/>
          <w:color w:val="auto"/>
        </w:rPr>
      </w:pPr>
    </w:p>
    <w:p>
      <w:pPr>
        <w:ind w:firstLine="1979"/>
        <w:spacing w:after="0" w:line="259" w:lineRule="auto"/>
        <w:tabs>
          <w:tab w:leader="none" w:pos="22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Lenders have the exclusive right to determine the order and manner in which all payments with respect to the Obligations may be applied. Borrower shall have no right to specify the order or the accounts to which Lenders shall allocate or apply any payments required to be made by Borrower to Lenders or otherwise received by Lenders under this Agreement when any such allocation or application is not specified elsewhere in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2.7 Withholding.</w:t>
      </w:r>
    </w:p>
    <w:p>
      <w:pPr>
        <w:spacing w:after="0" w:line="121" w:lineRule="exact"/>
        <w:rPr>
          <w:sz w:val="20"/>
          <w:szCs w:val="20"/>
          <w:color w:val="auto"/>
        </w:rPr>
      </w:pPr>
    </w:p>
    <w:p>
      <w:pPr>
        <w:ind w:right="160" w:firstLine="1428"/>
        <w:spacing w:after="0" w:line="259" w:lineRule="auto"/>
        <w:tabs>
          <w:tab w:leader="none" w:pos="1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received by Lenders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except as required by applicable law. Specifically, however, if at any time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law requires Borrower to make any withholding or deduction from any such payment or other sum payable hereunder to any Lender,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Lender receives an amount equal to the sum it would have received had no such deduction or withholding been made. Borrower will, upon request, furnish such Lender with proof reasonably satisfactory to such Lender indicating that Borrower has made such withholding payment.</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firstLine="1979"/>
        <w:spacing w:after="0" w:line="293" w:lineRule="auto"/>
        <w:tabs>
          <w:tab w:leader="none" w:pos="21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Each Lender shall deliver to Borrower, on the Effective Date and at the time or times reasonably requested by the Borrower, properly completed documentation certifying that it is not subject to backup withholding, together with any other documentation such Lender is legally entitled to deliver establishing an exemption from or reduction in the applicable rate of any withholding tax. Notwithstanding anything to the contrary in this Section 2.7, the completion, execution and submission of such documentation (other than such documentation set forth in paragraphs (b) (ii)(A), (ii)(B) and (ii)(D)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64" w:lineRule="exact"/>
        <w:rPr>
          <w:rFonts w:ascii="Arial" w:cs="Arial" w:eastAsia="Arial" w:hAnsi="Arial"/>
          <w:sz w:val="16"/>
          <w:szCs w:val="16"/>
          <w:color w:val="auto"/>
        </w:rPr>
      </w:pPr>
    </w:p>
    <w:p>
      <w:pPr>
        <w:ind w:left="2240" w:hanging="261"/>
        <w:spacing w:after="0"/>
        <w:tabs>
          <w:tab w:leader="none" w:pos="2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1420" w:firstLine="391"/>
        <w:spacing w:after="0" w:line="286" w:lineRule="auto"/>
        <w:tabs>
          <w:tab w:leader="none" w:pos="209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on or about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57" w:lineRule="exact"/>
        <w:rPr>
          <w:rFonts w:ascii="Arial" w:cs="Arial" w:eastAsia="Arial" w:hAnsi="Arial"/>
          <w:sz w:val="17"/>
          <w:szCs w:val="17"/>
          <w:color w:val="auto"/>
        </w:rPr>
      </w:pPr>
    </w:p>
    <w:p>
      <w:pPr>
        <w:ind w:left="1420" w:right="20" w:firstLine="391"/>
        <w:spacing w:after="0" w:line="311" w:lineRule="auto"/>
        <w:tabs>
          <w:tab w:leader="none" w:pos="208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whichever of the following is applicable:</w:t>
      </w:r>
    </w:p>
    <w:p>
      <w:pPr>
        <w:spacing w:after="0" w:line="41" w:lineRule="exact"/>
        <w:rPr>
          <w:sz w:val="20"/>
          <w:szCs w:val="20"/>
          <w:color w:val="auto"/>
        </w:rPr>
      </w:pPr>
    </w:p>
    <w:p>
      <w:pPr>
        <w:ind w:left="1420" w:right="20" w:firstLine="391"/>
        <w:spacing w:after="0" w:line="291" w:lineRule="auto"/>
        <w:tabs>
          <w:tab w:leader="none" w:pos="20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an income tax treaty to which the United States is a party (x) with respect to payments of interest under any Loan Document, executed copies of IRS Form W-8BEN or IRS</w:t>
      </w:r>
    </w:p>
    <w:p>
      <w:pPr>
        <w:ind w:left="1420" w:right="100"/>
        <w:spacing w:after="0" w:line="265" w:lineRule="auto"/>
        <w:rPr>
          <w:rFonts w:ascii="Arial" w:cs="Arial" w:eastAsia="Arial" w:hAnsi="Arial"/>
          <w:sz w:val="16"/>
          <w:szCs w:val="16"/>
          <w:color w:val="auto"/>
        </w:rPr>
      </w:pPr>
      <w:r>
        <w:rPr>
          <w:rFonts w:ascii="Arial" w:cs="Arial" w:eastAsia="Arial" w:hAnsi="Arial"/>
          <w:sz w:val="17"/>
          <w:szCs w:val="17"/>
          <w:color w:val="auto"/>
        </w:rPr>
        <w:t>Form W-8BEN-E establishing an exemption from, or reduction of, U.S. federal withholding Tax pursuant to the “interest” article of such tax treaty and (y) with respect to any other applicable payments under any Loan Document, IRS Form W-8BEN or IRS</w:t>
      </w:r>
    </w:p>
    <w:p>
      <w:pPr>
        <w:ind w:left="1420"/>
        <w:spacing w:after="0" w:line="260" w:lineRule="auto"/>
        <w:rPr>
          <w:rFonts w:ascii="Arial" w:cs="Arial" w:eastAsia="Arial" w:hAnsi="Arial"/>
          <w:sz w:val="16"/>
          <w:szCs w:val="16"/>
          <w:color w:val="auto"/>
        </w:rPr>
      </w:pPr>
      <w:r>
        <w:rPr>
          <w:rFonts w:ascii="Arial" w:cs="Arial" w:eastAsia="Arial" w:hAnsi="Arial"/>
          <w:sz w:val="18"/>
          <w:szCs w:val="18"/>
          <w:color w:val="auto"/>
        </w:rPr>
        <w:t>Form W-8BEN-E establishing an exemption from, or reduction of, U.S. federal withholding Tax pursuant to the “business profits” or “other income” article of such tax treaty;</w:t>
      </w:r>
    </w:p>
    <w:p>
      <w:pPr>
        <w:spacing w:after="0" w:line="77" w:lineRule="exact"/>
        <w:rPr>
          <w:rFonts w:ascii="Arial" w:cs="Arial" w:eastAsia="Arial" w:hAnsi="Arial"/>
          <w:sz w:val="16"/>
          <w:szCs w:val="16"/>
          <w:color w:val="auto"/>
        </w:rPr>
      </w:pPr>
    </w:p>
    <w:p>
      <w:pPr>
        <w:ind w:left="2060" w:hanging="249"/>
        <w:spacing w:after="0"/>
        <w:tabs>
          <w:tab w:leader="none" w:pos="2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2060" w:hanging="249"/>
        <w:spacing w:after="0"/>
        <w:tabs>
          <w:tab w:leader="none" w:pos="2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a Lender that is not a U.S. Person claiming the benefits of the exemption for portfolio interest under</w:t>
      </w:r>
    </w:p>
    <w:p>
      <w:pPr>
        <w:spacing w:after="0" w:line="35" w:lineRule="exact"/>
        <w:rPr>
          <w:sz w:val="20"/>
          <w:szCs w:val="20"/>
          <w:color w:val="auto"/>
        </w:rPr>
      </w:pPr>
    </w:p>
    <w:p>
      <w:pPr>
        <w:ind w:left="1420" w:right="100"/>
        <w:spacing w:after="0" w:line="281" w:lineRule="auto"/>
        <w:rPr>
          <w:sz w:val="20"/>
          <w:szCs w:val="20"/>
          <w:color w:val="auto"/>
        </w:rPr>
      </w:pPr>
      <w:r>
        <w:rPr>
          <w:rFonts w:ascii="Arial" w:cs="Arial" w:eastAsia="Arial" w:hAnsi="Arial"/>
          <w:sz w:val="16"/>
          <w:szCs w:val="16"/>
          <w:color w:val="auto"/>
        </w:rPr>
        <w:t>Section 881(c) of the Code, (x) a certificate executed under penalty of perjury to the effect that such Lender is not a “bank” within the meaning of Section 881(c)(3)(A) of the Code, a “10 percent shareholder” of the Borrower within the meaning of Section 871(h)</w:t>
      </w:r>
    </w:p>
    <w:p>
      <w:pPr>
        <w:spacing w:after="0" w:line="1" w:lineRule="exact"/>
        <w:rPr>
          <w:sz w:val="20"/>
          <w:szCs w:val="20"/>
          <w:color w:val="auto"/>
        </w:rPr>
      </w:pPr>
    </w:p>
    <w:p>
      <w:pPr>
        <w:ind w:left="1420" w:right="40"/>
        <w:spacing w:after="0" w:line="290" w:lineRule="auto"/>
        <w:rPr>
          <w:sz w:val="20"/>
          <w:szCs w:val="20"/>
          <w:color w:val="auto"/>
        </w:rPr>
      </w:pPr>
      <w:r>
        <w:rPr>
          <w:rFonts w:ascii="Arial" w:cs="Arial" w:eastAsia="Arial" w:hAnsi="Arial"/>
          <w:sz w:val="17"/>
          <w:szCs w:val="17"/>
          <w:color w:val="auto"/>
        </w:rPr>
        <w:t>(3)(B) of the Code, or a “controlled foreign corporation” related to the Borrower as described in Section 881(c)(3)(C) of the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copies of IRS Form W-8BEN or IRS Form W-8BEN-E;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1420" w:firstLine="391"/>
        <w:spacing w:after="0" w:line="275" w:lineRule="auto"/>
        <w:tabs>
          <w:tab w:leader="none" w:pos="2058"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Lender is a partnership and one or more direct or indirect partners of such Foreign Lender are claiming the portfolio interest exemption, such Lender may provide a U.S. Tax Compliance Certificate on behalf of each such direct and indirect partner;</w:t>
      </w:r>
    </w:p>
    <w:p>
      <w:pPr>
        <w:spacing w:after="0" w:line="68" w:lineRule="exact"/>
        <w:rPr>
          <w:sz w:val="20"/>
          <w:szCs w:val="20"/>
          <w:color w:val="auto"/>
        </w:rPr>
      </w:pPr>
    </w:p>
    <w:p>
      <w:pPr>
        <w:ind w:left="1420" w:right="340" w:firstLine="391"/>
        <w:spacing w:after="0" w:line="273" w:lineRule="auto"/>
        <w:tabs>
          <w:tab w:leader="none" w:pos="208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69" w:lineRule="exact"/>
        <w:rPr>
          <w:rFonts w:ascii="Arial" w:cs="Arial" w:eastAsia="Arial" w:hAnsi="Arial"/>
          <w:sz w:val="17"/>
          <w:szCs w:val="17"/>
          <w:color w:val="auto"/>
        </w:rPr>
      </w:pPr>
    </w:p>
    <w:p>
      <w:pPr>
        <w:ind w:left="1420" w:right="80" w:firstLine="391"/>
        <w:spacing w:after="0" w:line="290" w:lineRule="auto"/>
        <w:tabs>
          <w:tab w:leader="none" w:pos="20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65" w:lineRule="exact"/>
        <w:rPr>
          <w:sz w:val="20"/>
          <w:szCs w:val="20"/>
          <w:color w:val="auto"/>
        </w:rPr>
      </w:pPr>
    </w:p>
    <w:p>
      <w:pPr>
        <w:ind w:right="120" w:firstLine="1983"/>
        <w:spacing w:after="0" w:line="342" w:lineRule="auto"/>
        <w:rPr>
          <w:sz w:val="20"/>
          <w:szCs w:val="20"/>
          <w:color w:val="auto"/>
        </w:rPr>
      </w:pPr>
      <w:r>
        <w:rPr>
          <w:rFonts w:ascii="Arial" w:cs="Arial" w:eastAsia="Arial" w:hAnsi="Arial"/>
          <w:sz w:val="16"/>
          <w:szCs w:val="16"/>
          <w:color w:val="auto"/>
        </w:rPr>
        <w:t>Each Lender agrees that if any form or certification it previously delivered expires or becomes obsolete or inaccurate in any respect, it shall at Borrower’s request update such form or certification or promptly notify the Borrower in writing of its legal inability to do so.</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(c) The agreements and obligations of Borrower and Lenders contained in this Section 2.7 shall survive the termination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w:t>
      </w:r>
    </w:p>
    <w:p>
      <w:pPr>
        <w:spacing w:after="0" w:line="20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2.8 Original Issue Discount. </w:t>
      </w:r>
      <w:r>
        <w:rPr>
          <w:rFonts w:ascii="Arial" w:cs="Arial" w:eastAsia="Arial" w:hAnsi="Arial"/>
          <w:sz w:val="18"/>
          <w:szCs w:val="18"/>
          <w:color w:val="auto"/>
        </w:rPr>
        <w:t>The parties acknowledge and agree that the Loan pursuant to this Agreement will be issued with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(as that term is used in Section 1273(a) of the Internal Revenue Code of 1986, as amended) solely for U.S. federal, state and local income tax purposes. Additional information regarding original issue discount, including the issue date and the yield to maturity with respect to Term Loans can be obtained by contacting Borrower at the address listed in Article 10.</w:t>
      </w:r>
    </w:p>
    <w:p>
      <w:pPr>
        <w:spacing w:after="0" w:line="85"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3.1 Conditions Precedent to Loan. </w:t>
      </w:r>
      <w:r>
        <w:rPr>
          <w:rFonts w:ascii="Arial" w:cs="Arial" w:eastAsia="Arial" w:hAnsi="Arial"/>
          <w:sz w:val="18"/>
          <w:szCs w:val="18"/>
          <w:color w:val="auto"/>
        </w:rPr>
        <w:t>Lenders’ obligation to make the Loan is subject to the condition precedent that Lenders shall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satisfactory to Lenders, such documents, and completion of such other matters, as Lenders may reasonably deem necessary or appropriate, including, without limitation:</w:t>
      </w:r>
    </w:p>
    <w:p>
      <w:pPr>
        <w:spacing w:after="0" w:line="180" w:lineRule="exact"/>
        <w:rPr>
          <w:sz w:val="20"/>
          <w:szCs w:val="20"/>
          <w:color w:val="auto"/>
        </w:rPr>
      </w:pPr>
    </w:p>
    <w:p>
      <w:pPr>
        <w:ind w:left="2220" w:hanging="241"/>
        <w:spacing w:after="0"/>
        <w:tabs>
          <w:tab w:leader="none" w:pos="2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jc w:val="both"/>
        <w:ind w:right="240" w:firstLine="1979"/>
        <w:spacing w:after="0" w:line="263" w:lineRule="auto"/>
        <w:tabs>
          <w:tab w:leader="none" w:pos="22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4" w:right="500" w:firstLine="1979"/>
        <w:spacing w:after="0" w:line="342" w:lineRule="auto"/>
        <w:tabs>
          <w:tab w:leader="none" w:pos="2231"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23" w:lineRule="exact"/>
        <w:rPr>
          <w:rFonts w:ascii="Arial" w:cs="Arial" w:eastAsia="Arial" w:hAnsi="Arial"/>
          <w:sz w:val="16"/>
          <w:szCs w:val="16"/>
          <w:color w:val="auto"/>
        </w:rPr>
      </w:pPr>
    </w:p>
    <w:p>
      <w:pPr>
        <w:ind w:left="2244" w:hanging="261"/>
        <w:spacing w:after="0"/>
        <w:tabs>
          <w:tab w:leader="none" w:pos="22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 w:right="60" w:firstLine="1979"/>
        <w:spacing w:after="0" w:line="263" w:lineRule="auto"/>
        <w:tabs>
          <w:tab w:leader="none" w:pos="22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Lenders may request, accompanied by written evidence (including any UCC termination statements) that the Liens indicated in any such financing statements either constitute Permitted Liens or have been or, in connection with the Loan, will be terminated or released;</w:t>
      </w:r>
    </w:p>
    <w:p>
      <w:pPr>
        <w:spacing w:after="0" w:line="183" w:lineRule="exact"/>
        <w:rPr>
          <w:rFonts w:ascii="Arial" w:cs="Arial" w:eastAsia="Arial" w:hAnsi="Arial"/>
          <w:sz w:val="18"/>
          <w:szCs w:val="18"/>
          <w:color w:val="auto"/>
        </w:rPr>
      </w:pPr>
    </w:p>
    <w:p>
      <w:pPr>
        <w:ind w:left="2204" w:hanging="221"/>
        <w:spacing w:after="0"/>
        <w:tabs>
          <w:tab w:leader="none" w:pos="22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the fees and Lender Expenses then due as specified in Section 2.5 hereof; and</w:t>
      </w:r>
    </w:p>
    <w:p>
      <w:pPr>
        <w:spacing w:after="0" w:line="225" w:lineRule="exact"/>
        <w:rPr>
          <w:rFonts w:ascii="Arial" w:cs="Arial" w:eastAsia="Arial" w:hAnsi="Arial"/>
          <w:sz w:val="18"/>
          <w:szCs w:val="18"/>
          <w:color w:val="auto"/>
        </w:rPr>
      </w:pPr>
    </w:p>
    <w:p>
      <w:pPr>
        <w:ind w:left="4" w:right="360" w:firstLine="1979"/>
        <w:spacing w:after="0" w:line="286" w:lineRule="auto"/>
        <w:tabs>
          <w:tab w:leader="none" w:pos="22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duly executed subordination agreements by Subsidiaries that would subordinate any outstanding Indebtedness owing from Borrower to such Subsidiaries, which subordination agreement shall (i) be in form and substance similar to the subordination agreements in existence among such Subsidiaries and Silicon Valley Bank and (ii) subordinate such Indebtedness to the Obligations.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3.2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[Reserved]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3.4 Procedures for Borrowing.</w:t>
      </w:r>
    </w:p>
    <w:p>
      <w:pPr>
        <w:spacing w:after="0" w:line="229" w:lineRule="exact"/>
        <w:rPr>
          <w:sz w:val="20"/>
          <w:szCs w:val="20"/>
          <w:color w:val="auto"/>
        </w:rPr>
      </w:pPr>
    </w:p>
    <w:p>
      <w:pPr>
        <w:ind w:left="2224" w:hanging="241"/>
        <w:spacing w:after="0"/>
        <w:tabs>
          <w:tab w:leader="none" w:pos="222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4" w:right="100" w:firstLine="1979"/>
        <w:spacing w:after="0" w:line="259" w:lineRule="auto"/>
        <w:tabs>
          <w:tab w:leader="none" w:pos="224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xml:space="preserve"> Subject to the prior satisfaction of all other applicable conditions to the making of the Loan set forth in this Agreement, to obtain the Loan, Borrower shall notify Lenders (which notice shall be irrevocable) by electronic mail by 12:00 noon New York time on the date on which the Loan is made to or for the account of Borrower. Such notice shall be in a written format acceptable to Lenders that is executed by an Authorized Signer.</w:t>
      </w:r>
    </w:p>
    <w:p>
      <w:pPr>
        <w:spacing w:after="0" w:line="88" w:lineRule="exact"/>
        <w:rPr>
          <w:sz w:val="20"/>
          <w:szCs w:val="20"/>
          <w:color w:val="auto"/>
        </w:rPr>
      </w:pPr>
    </w:p>
    <w:p>
      <w:pPr>
        <w:ind w:left="964" w:hanging="532"/>
        <w:spacing w:after="0"/>
        <w:tabs>
          <w:tab w:leader="none" w:pos="96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131" w:lineRule="exact"/>
        <w:rPr>
          <w:sz w:val="20"/>
          <w:szCs w:val="20"/>
          <w:color w:val="auto"/>
        </w:rPr>
      </w:pPr>
    </w:p>
    <w:p>
      <w:pPr>
        <w:ind w:left="964" w:hanging="532"/>
        <w:spacing w:after="0"/>
        <w:tabs>
          <w:tab w:leader="none" w:pos="96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Borrower represents and warrants as of the Effective Date as follows:</w:t>
      </w:r>
    </w:p>
    <w:p>
      <w:pPr>
        <w:spacing w:after="0" w:line="2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represents and warrants to Lenders that, except as may have been updated by a notification to Lenders pursuant to Section 7.2, (a) Borrower’s exact legal name is that indicated on the signature page hereof; and (b) Borrower (and each of its predecessors) has not, in the past five (5) years, changed its jurisdiction of formation, organizational structure or type, or any organizational number assigned by its jurisdiction. If Borrower is not now a Registered Organization but later becomes one, Borrower shall promptly notify Lenders of such occurrence and provide Lenders with Borrower’s organizational identification number.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w:t>
      </w:r>
    </w:p>
    <w:p>
      <w:pPr>
        <w:spacing w:after="0" w:line="35" w:lineRule="exact"/>
        <w:rPr>
          <w:sz w:val="20"/>
          <w:szCs w:val="20"/>
          <w:color w:val="auto"/>
        </w:rPr>
      </w:pPr>
    </w:p>
    <w:p>
      <w:pPr>
        <w:ind w:left="4" w:hanging="4"/>
        <w:spacing w:after="0" w:line="253" w:lineRule="auto"/>
        <w:tabs>
          <w:tab w:leader="none" w:pos="21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[Reserved]</w:t>
      </w:r>
    </w:p>
    <w:p>
      <w:pPr>
        <w:spacing w:after="0" w:line="225" w:lineRule="exact"/>
        <w:rPr>
          <w:sz w:val="20"/>
          <w:szCs w:val="20"/>
          <w:color w:val="auto"/>
        </w:rPr>
      </w:pPr>
    </w:p>
    <w:p>
      <w:pPr>
        <w:jc w:val="both"/>
        <w:ind w:right="260" w:firstLine="440"/>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disclosed, there are no actions or proceedings pending or, to the knowledge of any Responsible Officer,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or against Borrower or any of its Subsidiaries that could, individually or in the aggregate, reasonably be expected to result in expenses to Borrower of more than One Million Dollars ($1,000,000).</w:t>
      </w:r>
    </w:p>
    <w:p>
      <w:pPr>
        <w:spacing w:after="0" w:line="17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5.5 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Lenders.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59"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5.9 Tax Returns and Payments; Pension Contributions. </w:t>
      </w:r>
      <w:r>
        <w:rPr>
          <w:rFonts w:ascii="Arial" w:cs="Arial" w:eastAsia="Arial" w:hAnsi="Arial"/>
          <w:sz w:val="17"/>
          <w:szCs w:val="17"/>
          <w:color w:val="auto"/>
        </w:rPr>
        <w:t>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72"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Lenders in writing of the commencement of, and any material development in, the proceedings, and (ii) post bonds or take any other steps required to prevent the Governmental Authority levying such contested taxes from obtaining a Lien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5.10 Use of Proceeds. </w:t>
      </w:r>
      <w:r>
        <w:rPr>
          <w:rFonts w:ascii="Arial" w:cs="Arial" w:eastAsia="Arial" w:hAnsi="Arial"/>
          <w:sz w:val="18"/>
          <w:szCs w:val="18"/>
          <w:color w:val="auto"/>
        </w:rPr>
        <w:t>Borrower shall use the proceeds of the Loan solely as working capital and for general corporate purposes.</w:t>
      </w:r>
    </w:p>
    <w:p>
      <w:pPr>
        <w:spacing w:after="0" w:line="225"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in any report, certificate, or written statement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to Lenders, as of the date such representation, warranty, or other statement was made, taken together with all such written reports, written certificates and written statements submitted to Lenders, contains any untrue statement of a material fact or omits to state a material fact necessary to make the statements contained in the reports, certificates, or written statements not misleading (it being recognized by Lenders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203" w:lineRule="exact"/>
        <w:rPr>
          <w:sz w:val="20"/>
          <w:szCs w:val="20"/>
          <w:color w:val="auto"/>
        </w:rPr>
      </w:pPr>
    </w:p>
    <w:p>
      <w:pPr>
        <w:ind w:left="960" w:hanging="532"/>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Government Compliance.</w:t>
      </w:r>
    </w:p>
    <w:p>
      <w:pPr>
        <w:spacing w:after="0" w:line="229" w:lineRule="exact"/>
        <w:rPr>
          <w:sz w:val="20"/>
          <w:szCs w:val="20"/>
          <w:color w:val="auto"/>
        </w:rPr>
      </w:pPr>
    </w:p>
    <w:p>
      <w:pPr>
        <w:ind w:firstLine="1979"/>
        <w:spacing w:after="0" w:line="257" w:lineRule="auto"/>
        <w:tabs>
          <w:tab w:leader="none" w:pos="2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187" w:lineRule="exact"/>
        <w:rPr>
          <w:rFonts w:ascii="Arial" w:cs="Arial" w:eastAsia="Arial" w:hAnsi="Arial"/>
          <w:sz w:val="18"/>
          <w:szCs w:val="18"/>
          <w:color w:val="auto"/>
        </w:rPr>
      </w:pPr>
    </w:p>
    <w:p>
      <w:pPr>
        <w:ind w:right="160" w:firstLine="1979"/>
        <w:spacing w:after="0" w:line="308" w:lineRule="auto"/>
        <w:tabs>
          <w:tab w:leader="none" w:pos="2238"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all of the Governmental Approvals necessary for the performance by Borrower of its obligations under the Loan Documents to which it is a party. Borrower shall promptly provide copies of any such obtained Governmental Approvals to Lenders.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6.2 Financial Statements, Reports, Certificates. </w:t>
      </w:r>
      <w:r>
        <w:rPr>
          <w:rFonts w:ascii="Arial" w:cs="Arial" w:eastAsia="Arial" w:hAnsi="Arial"/>
          <w:sz w:val="18"/>
          <w:szCs w:val="18"/>
          <w:color w:val="auto"/>
        </w:rPr>
        <w:t>Provide Lenders with the following:</w:t>
      </w:r>
    </w:p>
    <w:p>
      <w:pPr>
        <w:spacing w:after="0" w:line="229" w:lineRule="exact"/>
        <w:rPr>
          <w:sz w:val="20"/>
          <w:szCs w:val="20"/>
          <w:color w:val="auto"/>
        </w:rPr>
      </w:pPr>
    </w:p>
    <w:p>
      <w:pPr>
        <w:ind w:left="2220" w:hanging="241"/>
        <w:spacing w:after="0"/>
        <w:tabs>
          <w:tab w:leader="none" w:pos="2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979"/>
        <w:spacing w:after="0" w:line="279" w:lineRule="auto"/>
        <w:tabs>
          <w:tab w:leader="none" w:pos="22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Lenders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 provided, however, notwithstanding the foregoing, the Quarterly Financial Statements for Borrower’s fourth (4th) quarter of each fiscal year, shall be due within ninety (90) days of such fiscal quarter;</w:t>
      </w:r>
    </w:p>
    <w:p>
      <w:pPr>
        <w:spacing w:after="0" w:line="171" w:lineRule="exact"/>
        <w:rPr>
          <w:rFonts w:ascii="Arial" w:cs="Arial" w:eastAsia="Arial" w:hAnsi="Arial"/>
          <w:sz w:val="17"/>
          <w:szCs w:val="17"/>
          <w:color w:val="auto"/>
        </w:rPr>
      </w:pPr>
    </w:p>
    <w:p>
      <w:pPr>
        <w:ind w:left="2240" w:hanging="261"/>
        <w:spacing w:after="0"/>
        <w:tabs>
          <w:tab w:leader="none" w:pos="2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20" w:hanging="241"/>
        <w:spacing w:after="0"/>
        <w:tabs>
          <w:tab w:leader="none" w:pos="2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540" w:firstLine="1979"/>
        <w:spacing w:after="0" w:line="277" w:lineRule="auto"/>
        <w:tabs>
          <w:tab w:leader="none" w:pos="2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within five (5) days of filing, copies of all periodic and other reports, proxy statements and other materials filed by Borrower and/or any Guarantor with the SEC, any Governmental Authority succeeding to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Lenders in writing (which may be by electronic mail) of the posting of any such documents;</w:t>
      </w:r>
    </w:p>
    <w:p>
      <w:pPr>
        <w:spacing w:after="0" w:line="176" w:lineRule="exact"/>
        <w:rPr>
          <w:sz w:val="20"/>
          <w:szCs w:val="20"/>
          <w:color w:val="auto"/>
        </w:rPr>
      </w:pPr>
    </w:p>
    <w:p>
      <w:pPr>
        <w:ind w:right="60" w:firstLine="1979"/>
        <w:spacing w:after="0" w:line="263" w:lineRule="auto"/>
        <w:tabs>
          <w:tab w:leader="none" w:pos="22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 as reasonably requested by Lenders;</w:t>
      </w:r>
    </w:p>
    <w:p>
      <w:pPr>
        <w:spacing w:after="0" w:line="183" w:lineRule="exact"/>
        <w:rPr>
          <w:rFonts w:ascii="Arial" w:cs="Arial" w:eastAsia="Arial" w:hAnsi="Arial"/>
          <w:sz w:val="18"/>
          <w:szCs w:val="18"/>
          <w:color w:val="auto"/>
        </w:rPr>
      </w:pPr>
    </w:p>
    <w:p>
      <w:pPr>
        <w:ind w:right="80" w:firstLine="1979"/>
        <w:spacing w:after="0" w:line="277" w:lineRule="auto"/>
        <w:tabs>
          <w:tab w:leader="none" w:pos="223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along with such other information relating thereto as reasonably requested by Lenders; and</w:t>
      </w:r>
    </w:p>
    <w:p>
      <w:pPr>
        <w:spacing w:after="0" w:line="170" w:lineRule="exact"/>
        <w:rPr>
          <w:rFonts w:ascii="Arial" w:cs="Arial" w:eastAsia="Arial" w:hAnsi="Arial"/>
          <w:sz w:val="18"/>
          <w:szCs w:val="18"/>
          <w:color w:val="auto"/>
        </w:rPr>
      </w:pPr>
    </w:p>
    <w:p>
      <w:pPr>
        <w:ind w:right="520" w:firstLine="1979"/>
        <w:spacing w:after="0" w:line="277" w:lineRule="auto"/>
        <w:tabs>
          <w:tab w:leader="none" w:pos="21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Lenders.</w:t>
      </w:r>
    </w:p>
    <w:p>
      <w:pPr>
        <w:spacing w:after="0" w:line="166"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as otherwise disclosed to Lenders, any submission by Borrower of any financial statement submitted to Lender shall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by Borrower that (i) as of the date of such financial statement, the information and calculations set forth therein are true, accurate and correct, (ii) as of the end of the compliance period set forth in such submission, Borrower is in complete compliance with all required covenants except as noted in such financial statement, (iii) as of the date of such submission, no Events of Default have occurred or are continuing, (iv)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 as of the date of such submission, no Liens have been levied or claims made against Borrower or any of its Subsidiaries relating to unpaid employee payroll or benefits of which Borrower has not previously provided written notification to Lender.</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6.4 [Reserved]</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their terms.</w:t>
      </w:r>
    </w:p>
    <w:p>
      <w:pPr>
        <w:spacing w:after="0" w:line="183"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b w:val="1"/>
          <w:bCs w:val="1"/>
          <w:color w:val="auto"/>
        </w:rPr>
        <w:t xml:space="preserve">6.6 Access to Books and Records. </w:t>
      </w:r>
      <w:r>
        <w:rPr>
          <w:rFonts w:ascii="Arial" w:cs="Arial" w:eastAsia="Arial" w:hAnsi="Arial"/>
          <w:sz w:val="17"/>
          <w:szCs w:val="17"/>
          <w:color w:val="auto"/>
        </w:rPr>
        <w:t>At reasonable times, on five (5) Business Days’ notice (provided no notice is required if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has occurred and is continuing), Lenders shall have the right to audit and copy Borrower’s Books. The foregoing inspections and audits shall be conducted no more often than once every twelve (12) months (or more frequently as Lenders in their reasonable discretion determines that conditions warrant) unless an Event of Default has occurred and is continuing in which case such inspections and audits shall occur as often as Lenders shall determine is necessary. The foregoing inspections and audits shall be conducted at Borrower’s expense and the charge therefor shall be One Thousand Dollars ($1,000) per person per day (or such higher amount as shall represent Lenders’ then-current standard charge for the same), plus reasonable out-of-pocket expenses. In the event Borrower and Lenders schedule an audit more than eight (8) days in advance, and Borrower cancels or seeks to or reschedules the audit with less than eight (8) days written notice to Lenders, then (without limiting any of Lenders’ rights or remedies) Borrower shall pay Lenders a fee of Two Thousand Dollars ($2,000) plus any out-of-pocket expenses incurred by Lenders to compensate Lenders for the anticipated costs and expenses of the cancellation or rescheduling.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6.7 Insurance.</w:t>
      </w:r>
    </w:p>
    <w:p>
      <w:pPr>
        <w:spacing w:after="0" w:line="229" w:lineRule="exact"/>
        <w:rPr>
          <w:sz w:val="20"/>
          <w:szCs w:val="20"/>
          <w:color w:val="auto"/>
        </w:rPr>
      </w:pPr>
    </w:p>
    <w:p>
      <w:pPr>
        <w:ind w:right="140" w:firstLine="1979"/>
        <w:spacing w:after="0" w:line="279" w:lineRule="auto"/>
        <w:tabs>
          <w:tab w:leader="none" w:pos="2227" w:val="left"/>
        </w:tabs>
        <w:numPr>
          <w:ilvl w:val="0"/>
          <w:numId w:val="29"/>
        </w:numPr>
        <w:rPr>
          <w:rFonts w:ascii="Arial" w:cs="Arial" w:eastAsia="Arial" w:hAnsi="Arial"/>
          <w:sz w:val="17"/>
          <w:szCs w:val="17"/>
          <w:color w:val="auto"/>
        </w:rPr>
      </w:pPr>
      <w:r>
        <w:rPr>
          <w:rFonts w:ascii="Arial" w:cs="Arial" w:eastAsia="Arial" w:hAnsi="Arial"/>
          <w:sz w:val="17"/>
          <w:szCs w:val="17"/>
          <w:color w:val="auto"/>
        </w:rPr>
        <w:t>Keep its business insured for risks and in amounts standard for companies in Borrower’s industry and location and as Lenders may reasonably request. Insurance policies shall be in a form, with financially sound and reputable insurance companies that are not Affiliates of Borrower, and in amounts that are satisfactory to Lenders. All property policies shall have a lender’s loss payable endorsement showing Lenders as lender loss payee. All liability policies shall show, or have endorsements showing, Lenders as additional insured.</w:t>
      </w:r>
    </w:p>
    <w:p>
      <w:pPr>
        <w:spacing w:after="0" w:line="171" w:lineRule="exact"/>
        <w:rPr>
          <w:rFonts w:ascii="Arial" w:cs="Arial" w:eastAsia="Arial" w:hAnsi="Arial"/>
          <w:sz w:val="17"/>
          <w:szCs w:val="17"/>
          <w:color w:val="auto"/>
        </w:rPr>
      </w:pPr>
    </w:p>
    <w:p>
      <w:pPr>
        <w:ind w:right="160" w:firstLine="1979"/>
        <w:spacing w:after="0" w:line="259" w:lineRule="auto"/>
        <w:tabs>
          <w:tab w:leader="none" w:pos="2238"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Lenders’ option, payable to Lenders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w:t>
      </w:r>
    </w:p>
    <w:p>
      <w:pPr>
        <w:spacing w:after="0" w:line="186" w:lineRule="exact"/>
        <w:rPr>
          <w:rFonts w:ascii="Arial" w:cs="Arial" w:eastAsia="Arial" w:hAnsi="Arial"/>
          <w:sz w:val="18"/>
          <w:szCs w:val="18"/>
          <w:color w:val="auto"/>
        </w:rPr>
      </w:pPr>
    </w:p>
    <w:p>
      <w:pPr>
        <w:ind w:left="2220" w:hanging="241"/>
        <w:spacing w:after="0"/>
        <w:tabs>
          <w:tab w:leader="none" w:pos="2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6.8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6.9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6.10 Protection of Intellectual Property Rights.</w:t>
      </w:r>
    </w:p>
    <w:p>
      <w:pPr>
        <w:spacing w:after="0" w:line="229" w:lineRule="exact"/>
        <w:rPr>
          <w:sz w:val="20"/>
          <w:szCs w:val="20"/>
          <w:color w:val="auto"/>
        </w:rPr>
      </w:pPr>
    </w:p>
    <w:p>
      <w:pPr>
        <w:ind w:firstLine="1979"/>
        <w:spacing w:after="0" w:line="259" w:lineRule="auto"/>
        <w:tabs>
          <w:tab w:leader="none" w:pos="222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Lenders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Lender’s written consent.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6.11 [Reserved]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6.12 [Reserved]</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 xml:space="preserve">6.13 Formation or Acquisition of Subsidiaries. </w:t>
      </w:r>
      <w:r>
        <w:rPr>
          <w:rFonts w:ascii="Arial" w:cs="Arial" w:eastAsia="Arial" w:hAnsi="Arial"/>
          <w:sz w:val="17"/>
          <w:szCs w:val="17"/>
          <w:color w:val="auto"/>
        </w:rPr>
        <w:t>Notwithstanding and without limiting the negative covenants contained in Sections 7.3 and 7.7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at the time that Borrower or any Guarantor forms any direct or indirect Subsidiary or acquires any direct or indirect Subsidiary after the Effective Date (including, without limitation, pursuant to a Division), Borrower and such Guarantor shall (a) with respect to Domestic Subsidiaries only, cause such new Domestic Subsidiary to provide to Lenders a joinder to this Agreement to become a co-borrower hereunder or a Guaranty to become a Guarantor hereunder, all in form and substance satisfactory to Lenders, (b) [reserved]; and (c) provide to Lenders all other documentation in form and substance satisfactory to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6.13 shall be a Loan Document.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6.14 [Reserved]</w:t>
      </w:r>
    </w:p>
    <w:p>
      <w:pPr>
        <w:spacing w:after="0" w:line="225"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6.15 Permitted Convertible Indebtedness. </w:t>
      </w:r>
      <w:r>
        <w:rPr>
          <w:rFonts w:ascii="Arial" w:cs="Arial" w:eastAsia="Arial" w:hAnsi="Arial"/>
          <w:sz w:val="18"/>
          <w:szCs w:val="18"/>
          <w:color w:val="auto"/>
        </w:rPr>
        <w:t>Promptly after Borrower’s receipt of notice of any election or request by the holders of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Indebtedness to redeem, provide Lender with written notice of such election or request.</w:t>
      </w:r>
    </w:p>
    <w:p>
      <w:pPr>
        <w:spacing w:after="0" w:line="67" w:lineRule="exact"/>
        <w:rPr>
          <w:sz w:val="20"/>
          <w:szCs w:val="20"/>
          <w:color w:val="auto"/>
        </w:rPr>
      </w:pPr>
    </w:p>
    <w:p>
      <w:pPr>
        <w:ind w:left="960" w:hanging="532"/>
        <w:spacing w:after="0"/>
        <w:tabs>
          <w:tab w:leader="none" w:pos="9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not do any of the following without the Required Lenders’ prior written consent:</w:t>
      </w:r>
    </w:p>
    <w:p>
      <w:pPr>
        <w:spacing w:after="0" w:line="22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(including, without limitation, pursuant to a Division)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w:t>
      </w:r>
    </w:p>
    <w:p>
      <w:pPr>
        <w:ind w:left="4" w:right="20" w:hanging="4"/>
        <w:spacing w:after="0" w:line="252"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188"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7.2 Changes in Business, Management, Control,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currently engaged in by Borrower and such Subsidiary, as applicable, or reasonably related thereto; (b) liquidate or dissolve; or (c) except with respect to Key Person departures currently contemplated in connection with Lenders’ purchase of certain Preferred Shares of Borrower, fail to provide notice to Lenders of any Key Person departing from or ceasing to be employed by Borrower within five (5) days after his or her departure from Borrower.Borrower shall not, without at least thirty (30) days prior written notice to Lenders: (1) add any new offices or business locations, including warehouses (unless such new offices or business locations contain less than Five Hundred Thousand Dollars ($500,000) in Borrower’s assets or property), (2) change its jurisdiction of organization, (3) change its organizational structure or type, (4) change its legal name, or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(5) change any organizational number (if any) assigned by its jurisdiction of organization.</w:t>
      </w:r>
    </w:p>
    <w:p>
      <w:pPr>
        <w:spacing w:after="0" w:line="207"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or property of another Person (including, without limitation, by the formation of any Subsidiary or pursuant to a Division). Notwithstanding the foregoing, (a) a Subsidiary may merge or consolidate into another Subsidiary or into Borrower and (b) Borrower may consummate Permitted Acquisitions.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7.5 Encumbrance. Create, incur, allow, or suffer any Lien on any of its property, except for Permitted Liens.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7.6 [Reserved]</w:t>
      </w:r>
    </w:p>
    <w:p>
      <w:pPr>
        <w:spacing w:after="0" w:line="225"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b w:val="1"/>
          <w:bCs w:val="1"/>
          <w:color w:val="auto"/>
        </w:rPr>
        <w:t xml:space="preserve">7.7 Distributions; Investments. </w:t>
      </w:r>
      <w:r>
        <w:rPr>
          <w:rFonts w:ascii="Arial" w:cs="Arial" w:eastAsia="Arial" w:hAnsi="Arial"/>
          <w:sz w:val="17"/>
          <w:szCs w:val="17"/>
          <w:color w:val="auto"/>
        </w:rPr>
        <w:t>(a) Pay any dividends or make any distribution or payment or redeem, retire or purchase any capital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other than Permitted Investments. For the avoidance of doubt, the term “capital stock” shall not include any convertible debt security and clause (a) shall not apply to the redemption, repurchase or conversion of any convertible debt security.</w:t>
      </w:r>
    </w:p>
    <w:p>
      <w:pPr>
        <w:spacing w:after="0" w:line="182" w:lineRule="exact"/>
        <w:rPr>
          <w:sz w:val="20"/>
          <w:szCs w:val="20"/>
          <w:color w:val="auto"/>
        </w:rPr>
      </w:pPr>
    </w:p>
    <w:p>
      <w:pPr>
        <w:ind w:left="4" w:right="500" w:firstLine="440"/>
        <w:spacing w:after="0" w:line="282" w:lineRule="auto"/>
        <w:rPr>
          <w:sz w:val="20"/>
          <w:szCs w:val="20"/>
          <w:color w:val="auto"/>
        </w:rPr>
      </w:pPr>
      <w:r>
        <w:rPr>
          <w:rFonts w:ascii="Arial" w:cs="Arial" w:eastAsia="Arial" w:hAnsi="Arial"/>
          <w:sz w:val="18"/>
          <w:szCs w:val="18"/>
          <w:b w:val="1"/>
          <w:bCs w:val="1"/>
          <w:color w:val="auto"/>
        </w:rPr>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13" w:name="page14"/>
    <w:bookmarkEnd w:id="13"/>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7.9 Subordinated Debt; Permitted Convertible Indebtedness.</w:t>
      </w:r>
    </w:p>
    <w:p>
      <w:pPr>
        <w:spacing w:after="0" w:line="225" w:lineRule="exact"/>
        <w:rPr>
          <w:sz w:val="20"/>
          <w:szCs w:val="20"/>
          <w:color w:val="auto"/>
        </w:rPr>
      </w:pPr>
    </w:p>
    <w:p>
      <w:pPr>
        <w:ind w:firstLine="1979"/>
        <w:spacing w:after="0" w:line="261" w:lineRule="auto"/>
        <w:tabs>
          <w:tab w:leader="none" w:pos="2227"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(i) Make or permit any payment on any Subordinated Debt, except under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subordination, 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Lenders.</w:t>
      </w:r>
    </w:p>
    <w:p>
      <w:pPr>
        <w:spacing w:after="0" w:line="179" w:lineRule="exact"/>
        <w:rPr>
          <w:rFonts w:ascii="Arial" w:cs="Arial" w:eastAsia="Arial" w:hAnsi="Arial"/>
          <w:sz w:val="18"/>
          <w:szCs w:val="18"/>
          <w:color w:val="auto"/>
        </w:rPr>
      </w:pPr>
    </w:p>
    <w:p>
      <w:pPr>
        <w:ind w:right="20" w:firstLine="1979"/>
        <w:spacing w:after="0" w:line="288" w:lineRule="auto"/>
        <w:tabs>
          <w:tab w:leader="none" w:pos="2237"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Permitted Convertible Indebtedness. </w:t>
      </w:r>
      <w:r>
        <w:rPr>
          <w:rFonts w:ascii="Arial" w:cs="Arial" w:eastAsia="Arial" w:hAnsi="Arial"/>
          <w:sz w:val="16"/>
          <w:szCs w:val="16"/>
          <w:color w:val="auto"/>
        </w:rPr>
        <w:t>Except for redemptions or repurchases of the Permitted Convertible Indebtedness</w:t>
      </w:r>
      <w:r>
        <w:rPr>
          <w:rFonts w:ascii="Arial" w:cs="Arial" w:eastAsia="Arial" w:hAnsi="Arial"/>
          <w:sz w:val="16"/>
          <w:szCs w:val="16"/>
          <w:b w:val="1"/>
          <w:bCs w:val="1"/>
          <w:color w:val="auto"/>
        </w:rPr>
        <w:t xml:space="preserve"> </w:t>
      </w:r>
      <w:r>
        <w:rPr>
          <w:rFonts w:ascii="Arial" w:cs="Arial" w:eastAsia="Arial" w:hAnsi="Arial"/>
          <w:sz w:val="16"/>
          <w:szCs w:val="16"/>
          <w:color w:val="auto"/>
        </w:rPr>
        <w:t>mandatorily required to be made pursuant to the terms of the Indentures as in effect on the date hereof,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(i)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 Borrower’s option) and (ii) notwithstanding anything to the contrary herein, Borrower may issue a conversion notice under Section 14.13 of the Indenture for the 2019 Notes and may make all required payments and deliveries upon conversion of the 2019 Notes in connection with such conversion notice.</w:t>
      </w:r>
    </w:p>
    <w:p>
      <w:pPr>
        <w:spacing w:after="0" w:line="163"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b w:val="1"/>
          <w:bCs w:val="1"/>
          <w:color w:val="auto"/>
        </w:rPr>
        <w:t xml:space="preserve">7.10 Compliance. </w:t>
      </w:r>
      <w:r>
        <w:rPr>
          <w:rFonts w:ascii="Arial" w:cs="Arial" w:eastAsia="Arial" w:hAnsi="Arial"/>
          <w:sz w:val="16"/>
          <w:szCs w:val="16"/>
          <w:color w:val="auto"/>
        </w:rPr>
        <w:t>Become an “investment company” or a company controlled by an “investment company”, under the Investment Company Act</w:t>
      </w:r>
      <w:r>
        <w:rPr>
          <w:rFonts w:ascii="Arial" w:cs="Arial" w:eastAsia="Arial" w:hAnsi="Arial"/>
          <w:sz w:val="16"/>
          <w:szCs w:val="16"/>
          <w:b w:val="1"/>
          <w:bCs w:val="1"/>
          <w:color w:val="auto"/>
        </w:rPr>
        <w:t xml:space="preserve"> </w:t>
      </w:r>
      <w:r>
        <w:rPr>
          <w:rFonts w:ascii="Arial" w:cs="Arial" w:eastAsia="Arial" w:hAnsi="Arial"/>
          <w:sz w:val="16"/>
          <w:szCs w:val="16"/>
          <w:color w:val="auto"/>
        </w:rPr>
        <w:t>of 1940, as amended, or undertake as one of its important activities extending credit to purchase or carry margin stock (as defined in Regulation U of the Board of Governors of the Federal Reserve System), or use the proceeds of the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r>
        <w:rPr>
          <w:rFonts w:ascii="Arial" w:cs="Arial" w:eastAsia="Arial" w:hAnsi="Arial"/>
          <w:sz w:val="16"/>
          <w:szCs w:val="16"/>
          <w:b w:val="1"/>
          <w:bCs w:val="1"/>
          <w:color w:val="auto"/>
        </w:rPr>
        <w:t>7.11 Guaranty.</w:t>
      </w:r>
      <w:r>
        <w:rPr>
          <w:rFonts w:ascii="Arial" w:cs="Arial" w:eastAsia="Arial" w:hAnsi="Arial"/>
          <w:sz w:val="16"/>
          <w:szCs w:val="16"/>
          <w:color w:val="auto"/>
        </w:rPr>
        <w:t xml:space="preserve"> To permit any of its Subsidiaries to guarantee the payment of any Indebtedness of Borrower or any of its Subsidiaries unless such Subsidiary within 10 days executes and delivers a Guaranty in form and substance reasonably satisfactory to Lenders providing for a Guaranty by such Subsidiary of the Obligations, provided that the Guaranty arising under this provision in favor of Lenders as a result of a Subsidiary guaranteeing obligations under the SVB Loan and Security Agreement shall be subordinated in right of payment to the same extent the Obligations are subordinated to the obligations under the SVB Loan and Security Agreement.</w:t>
      </w:r>
    </w:p>
    <w:p>
      <w:pPr>
        <w:spacing w:after="0" w:line="69"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b w:val="1"/>
          <w:bCs w:val="1"/>
          <w:color w:val="auto"/>
        </w:rPr>
        <w:t xml:space="preserve">8.1 Payment Default. </w:t>
      </w:r>
      <w:r>
        <w:rPr>
          <w:rFonts w:ascii="Arial" w:cs="Arial" w:eastAsia="Arial" w:hAnsi="Arial"/>
          <w:sz w:val="16"/>
          <w:szCs w:val="16"/>
          <w:color w:val="auto"/>
        </w:rPr>
        <w:t>Borrower fails to (a) make any payment of principal or interest on the Loan when due, or (b) pay any other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 Covenant Default.</w:t>
      </w: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(a) Borrower fails or neglects to perform any obligation in Sections 6.2, 6.5, 6.6, 6.7, 6.10 or 6.13 or violates any covenant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7; or</w:t>
      </w:r>
    </w:p>
    <w:p>
      <w:pPr>
        <w:spacing w:after="0" w:line="211" w:lineRule="exact"/>
        <w:rPr>
          <w:sz w:val="20"/>
          <w:szCs w:val="20"/>
          <w:color w:val="auto"/>
        </w:rPr>
      </w:pPr>
    </w:p>
    <w:p>
      <w:pPr>
        <w:ind w:right="120" w:firstLine="1979"/>
        <w:spacing w:after="0" w:line="271" w:lineRule="auto"/>
        <w:tabs>
          <w:tab w:leader="none" w:pos="2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8.3 Material Adverse Change. </w:t>
      </w:r>
      <w:r>
        <w:rPr>
          <w:rFonts w:ascii="Arial" w:cs="Arial" w:eastAsia="Arial" w:hAnsi="Arial"/>
          <w:sz w:val="18"/>
          <w:szCs w:val="18"/>
          <w:color w:val="auto"/>
        </w:rPr>
        <w:t>A Material Adverse Change occurs;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8.4 Attachment; Levy; Restraint on Business.</w:t>
      </w:r>
    </w:p>
    <w:p>
      <w:pPr>
        <w:spacing w:after="0" w:line="229" w:lineRule="exact"/>
        <w:rPr>
          <w:sz w:val="20"/>
          <w:szCs w:val="20"/>
          <w:color w:val="auto"/>
        </w:rPr>
      </w:pPr>
    </w:p>
    <w:p>
      <w:pPr>
        <w:ind w:right="40" w:firstLine="1979"/>
        <w:spacing w:after="0" w:line="259" w:lineRule="auto"/>
        <w:tabs>
          <w:tab w:leader="none" w:pos="2227"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or</w:t>
      </w:r>
    </w:p>
    <w:p>
      <w:pPr>
        <w:spacing w:after="0" w:line="186" w:lineRule="exact"/>
        <w:rPr>
          <w:rFonts w:ascii="Arial" w:cs="Arial" w:eastAsia="Arial" w:hAnsi="Arial"/>
          <w:sz w:val="18"/>
          <w:szCs w:val="18"/>
          <w:color w:val="auto"/>
        </w:rPr>
      </w:pPr>
    </w:p>
    <w:p>
      <w:pPr>
        <w:ind w:right="540" w:firstLine="1979"/>
        <w:spacing w:after="0" w:line="308" w:lineRule="auto"/>
        <w:tabs>
          <w:tab w:leader="none" w:pos="2238"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4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Lenders receiving written notice from the party asserting such breach or default of such cure or waiver of the breach or default under such other agreement, if at the time of such cure or waiver under such other agreement (x) Lenders have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Lenders be materially less advantageous to Borrower;</w:t>
      </w:r>
    </w:p>
    <w:p>
      <w:pPr>
        <w:spacing w:after="0" w:line="16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Five Hundred Thousand Dollars ($500,000) (not covered by independent third-party insurance as to which liability has been accepted by such insurance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Lenders or to induce Lenders to enter this Agreement or any Loan Document, and such representation, warranty, or other statement is incorrect in any material respect when made;</w:t>
      </w:r>
    </w:p>
    <w:p>
      <w:pPr>
        <w:spacing w:after="0" w:line="176"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6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183"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decision or such revocation, rescission, suspension, modification or non-renewal could reasonably be expected to cause, a Material Adverse Change.</w:t>
      </w:r>
    </w:p>
    <w:p>
      <w:pPr>
        <w:spacing w:after="0" w:line="81"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LENDERS’ RIGHTS AND REMEDIES</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Required Lenders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166" w:lineRule="exact"/>
        <w:rPr>
          <w:sz w:val="20"/>
          <w:szCs w:val="20"/>
          <w:color w:val="auto"/>
        </w:rPr>
      </w:pPr>
    </w:p>
    <w:p>
      <w:pPr>
        <w:ind w:right="440" w:firstLine="1979"/>
        <w:spacing w:after="0" w:line="277" w:lineRule="auto"/>
        <w:tabs>
          <w:tab w:leader="none" w:pos="22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Required Lenders);</w:t>
      </w:r>
    </w:p>
    <w:p>
      <w:pPr>
        <w:spacing w:after="0" w:line="170" w:lineRule="exact"/>
        <w:rPr>
          <w:rFonts w:ascii="Arial" w:cs="Arial" w:eastAsia="Arial" w:hAnsi="Arial"/>
          <w:sz w:val="18"/>
          <w:szCs w:val="18"/>
          <w:color w:val="auto"/>
        </w:rPr>
      </w:pPr>
    </w:p>
    <w:p>
      <w:pPr>
        <w:ind w:left="2240" w:hanging="261"/>
        <w:spacing w:after="0"/>
        <w:tabs>
          <w:tab w:leader="none" w:pos="2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Lenders under the Loan Documents or at law or equity.</w:t>
      </w:r>
    </w:p>
    <w:p>
      <w:pPr>
        <w:spacing w:after="0" w:line="221"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9.2 No Waiver; Remedies Cumulative. </w:t>
      </w:r>
      <w:r>
        <w:rPr>
          <w:rFonts w:ascii="Arial" w:cs="Arial" w:eastAsia="Arial" w:hAnsi="Arial"/>
          <w:sz w:val="16"/>
          <w:szCs w:val="16"/>
          <w:color w:val="auto"/>
        </w:rPr>
        <w:t>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Lenders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Lenders have all rights and remedies provided under the Code, by law, or in equity. Lender’s exercise of one right or remedy is not an election and shall not preclude Lenders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161"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9.3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Lenders on which Borrower is liable.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40" w:top="274" w:right="539" w:bottom="1440" w:gutter="0" w:footer="0" w:header="0"/>
        </w:sectPr>
      </w:pPr>
    </w:p>
    <w:bookmarkStart w:id="16" w:name="page17"/>
    <w:bookmarkEnd w:id="16"/>
    <w:p>
      <w:pPr>
        <w:ind w:left="964" w:hanging="532"/>
        <w:spacing w:after="0"/>
        <w:tabs>
          <w:tab w:leader="none" w:pos="96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jc w:val="both"/>
        <w:ind w:left="4" w:right="60" w:hanging="4"/>
        <w:spacing w:after="0" w:line="255" w:lineRule="auto"/>
        <w:tabs>
          <w:tab w:leader="none" w:pos="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Lender or Borrower may change their respective mailing or electronic mail address or facsimile number by giving the other party written notice thereof in accordance with the terms of this Section 10.</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If to Borrower:</w:t>
            </w: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FLUIDIGM CORPORATION</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2 Tower Place, Suite 2000</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South San Francisco, CA 94080</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w w:val="93"/>
              </w:rPr>
              <w:t>Attn: Vikram Jog, Chief Financial Officer</w:t>
            </w:r>
          </w:p>
        </w:tc>
      </w:tr>
      <w:tr>
        <w:trPr>
          <w:trHeight w:val="190"/>
        </w:trPr>
        <w:tc>
          <w:tcPr>
            <w:tcW w:w="2020" w:type="dxa"/>
            <w:vAlign w:val="bottom"/>
          </w:tcPr>
          <w:p>
            <w:pPr>
              <w:spacing w:after="0"/>
              <w:rPr>
                <w:sz w:val="16"/>
                <w:szCs w:val="16"/>
                <w:color w:val="auto"/>
              </w:rPr>
            </w:pPr>
          </w:p>
        </w:tc>
        <w:tc>
          <w:tcPr>
            <w:tcW w:w="3940" w:type="dxa"/>
            <w:vAlign w:val="bottom"/>
            <w:gridSpan w:val="3"/>
          </w:tcPr>
          <w:p>
            <w:pPr>
              <w:ind w:left="920"/>
              <w:spacing w:after="0" w:line="190" w:lineRule="exact"/>
              <w:rPr>
                <w:sz w:val="20"/>
                <w:szCs w:val="20"/>
                <w:color w:val="auto"/>
              </w:rPr>
            </w:pPr>
            <w:r>
              <w:rPr>
                <w:rFonts w:ascii="Arial" w:cs="Arial" w:eastAsia="Arial" w:hAnsi="Arial"/>
                <w:sz w:val="18"/>
                <w:szCs w:val="18"/>
                <w:color w:val="auto"/>
              </w:rPr>
              <w:t>Email: vikram.jog@fluidigm.com</w:t>
            </w:r>
          </w:p>
        </w:tc>
      </w:tr>
      <w:tr>
        <w:trPr>
          <w:trHeight w:val="20"/>
        </w:trPr>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2"/>
        </w:trPr>
        <w:tc>
          <w:tcPr>
            <w:tcW w:w="2020" w:type="dxa"/>
            <w:vAlign w:val="bottom"/>
          </w:tcPr>
          <w:p>
            <w:pPr>
              <w:spacing w:after="0"/>
              <w:rPr>
                <w:sz w:val="20"/>
                <w:szCs w:val="20"/>
                <w:color w:val="auto"/>
              </w:rPr>
            </w:pPr>
            <w:r>
              <w:rPr>
                <w:rFonts w:ascii="Arial" w:cs="Arial" w:eastAsia="Arial" w:hAnsi="Arial"/>
                <w:sz w:val="18"/>
                <w:szCs w:val="18"/>
                <w:color w:val="auto"/>
              </w:rPr>
              <w:t>If to Lenders:</w:t>
            </w: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CASDIN CAPITAL, LLC</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w w:val="90"/>
              </w:rPr>
              <w:t>1350 Avenue of the Americas, Suite 2600</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New York, NY 10019</w:t>
            </w:r>
          </w:p>
        </w:tc>
      </w:tr>
      <w:tr>
        <w:trPr>
          <w:trHeight w:val="216"/>
        </w:trPr>
        <w:tc>
          <w:tcPr>
            <w:tcW w:w="2020" w:type="dxa"/>
            <w:vAlign w:val="bottom"/>
          </w:tcPr>
          <w:p>
            <w:pPr>
              <w:spacing w:after="0"/>
              <w:rPr>
                <w:sz w:val="18"/>
                <w:szCs w:val="18"/>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Attn: Fund Accounting</w:t>
            </w:r>
          </w:p>
        </w:tc>
      </w:tr>
      <w:tr>
        <w:trPr>
          <w:trHeight w:val="230"/>
        </w:trPr>
        <w:tc>
          <w:tcPr>
            <w:tcW w:w="2020" w:type="dxa"/>
            <w:vAlign w:val="bottom"/>
          </w:tcPr>
          <w:p>
            <w:pPr>
              <w:spacing w:after="0"/>
              <w:rPr>
                <w:sz w:val="20"/>
                <w:szCs w:val="20"/>
                <w:color w:val="auto"/>
              </w:rPr>
            </w:pPr>
          </w:p>
        </w:tc>
        <w:tc>
          <w:tcPr>
            <w:tcW w:w="3940" w:type="dxa"/>
            <w:vAlign w:val="bottom"/>
            <w:gridSpan w:val="3"/>
          </w:tcPr>
          <w:p>
            <w:pPr>
              <w:ind w:left="920"/>
              <w:spacing w:after="0"/>
              <w:rPr>
                <w:sz w:val="20"/>
                <w:szCs w:val="20"/>
                <w:color w:val="auto"/>
              </w:rPr>
            </w:pPr>
            <w:r>
              <w:rPr>
                <w:rFonts w:ascii="Arial" w:cs="Arial" w:eastAsia="Arial" w:hAnsi="Arial"/>
                <w:sz w:val="18"/>
                <w:szCs w:val="18"/>
                <w:color w:val="auto"/>
              </w:rPr>
              <w:t>Email: fundacct@casdincapital.com</w:t>
            </w:r>
          </w:p>
        </w:tc>
      </w:tr>
    </w:tbl>
    <w:p>
      <w:pPr>
        <w:spacing w:after="0" w:line="103" w:lineRule="exact"/>
        <w:rPr>
          <w:sz w:val="20"/>
          <w:szCs w:val="20"/>
          <w:color w:val="auto"/>
        </w:rPr>
      </w:pPr>
    </w:p>
    <w:p>
      <w:pPr>
        <w:ind w:left="964" w:hanging="532"/>
        <w:spacing w:after="0"/>
        <w:tabs>
          <w:tab w:leader="none" w:pos="96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New York law governs the Loan Documents. Borrower and Lender each submit to the exclusive jurisdiction of the State and Federal courts of New York, in each case sitting in the Borough of Manhattan.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b w:val="1"/>
          <w:bCs w:val="1"/>
          <w:color w:val="auto"/>
        </w:rPr>
        <w:t>EACH PARTY HERETO HEREBY IRREVOCABLY WAIVES, TO THE FULLEST EXTENT PERMITTED BY APPLICABLE LAW, ANY RIGHT IT MAY HAVE TO A TRIAL BY JURY IN ANY LEGAL PROCEEDING DIRECTLY OR INDIRECTLY ARISING OUT OF OR RELATING TO THIS AGREEMENT OR ANY OF THE LOAN DOCUMENTS (WHETHER BASED ON CONTRACT, TORT OR ANY OTHER THEORY). EACH PARTY HERETO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ANY NOTE BY, AMONG OTHER THINGS, THE MUTUAL WAIVERS AND CERTIFICATIONS IN THIS SECTION 11.</w:t>
      </w:r>
    </w:p>
    <w:p>
      <w:pPr>
        <w:spacing w:after="0" w:line="19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127" w:lineRule="exact"/>
        <w:rPr>
          <w:sz w:val="20"/>
          <w:szCs w:val="20"/>
          <w:color w:val="auto"/>
        </w:rPr>
      </w:pPr>
    </w:p>
    <w:p>
      <w:pPr>
        <w:ind w:left="964" w:hanging="532"/>
        <w:spacing w:after="0"/>
        <w:tabs>
          <w:tab w:leader="none" w:pos="96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left="4" w:right="560" w:firstLine="440"/>
        <w:spacing w:after="0" w:line="261" w:lineRule="auto"/>
        <w:rPr>
          <w:sz w:val="20"/>
          <w:szCs w:val="20"/>
          <w:color w:val="auto"/>
        </w:rPr>
      </w:pPr>
      <w:r>
        <w:rPr>
          <w:rFonts w:ascii="Arial" w:cs="Arial" w:eastAsia="Arial" w:hAnsi="Arial"/>
          <w:sz w:val="18"/>
          <w:szCs w:val="18"/>
          <w:b w:val="1"/>
          <w:bCs w:val="1"/>
          <w:color w:val="auto"/>
        </w:rPr>
        <w:t xml:space="preserve">12.1 Termination; Survival. </w:t>
      </w:r>
      <w:r>
        <w:rPr>
          <w:rFonts w:ascii="Arial" w:cs="Arial" w:eastAsia="Arial" w:hAnsi="Arial"/>
          <w:sz w:val="18"/>
          <w:szCs w:val="18"/>
          <w:color w:val="auto"/>
        </w:rPr>
        <w:t>All covenants, representations and warranties made in this Agreement shall continue in full force until all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(other than inchoate indemnity obligations, and any other obligations which, by their terms, are to survive the termination of this Agreement) have been satisfied. Upon the earlier of the payment in full of the Loan or the conversion of the Conversion Amount pursuant to this Agreement, this Agreement shall</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17" w:name="page18"/>
    <w:bookmarkEnd w:id="17"/>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automatically terminate (other than inchoate indemnity obligations, and any other obligations which, by their terms, are to survive the termination of this Agreement). Those obligations that are expressly specified in this Agreement as surviving this Agreement’s termination shall continue to survive notwithstanding this Agreement’s termination.</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12.2 Successors and Assigns. </w:t>
      </w:r>
      <w:r>
        <w:rPr>
          <w:rFonts w:ascii="Arial" w:cs="Arial" w:eastAsia="Arial" w:hAnsi="Arial"/>
          <w:sz w:val="16"/>
          <w:szCs w:val="16"/>
          <w:color w:val="auto"/>
        </w:rPr>
        <w:t>This Agreement binds and is for the benefit of the successors and permitted assigns of each party. Borrower may</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not assign this Agreement or any rights or obligations under it without Lender’s prior written consent (which may be granted or withheld in Lenders’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discretion). Each Lender has the right, without the consent of or notice to Borrower, to sell, transfer, assign, negotiate, or grant participation in all or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 of, or any interest in, such Lender’s obligations, rights, and benefits under this Agreement and the other Loan Documents to any Person. Borrower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shall maintain at one of its offices a copy of each assignment and assumption delivered to it and a register for the recordation of the names and addresses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of the Lenders, principal amounts (and stated interest) of the Loans owing to, each Lender pursuant to the terms hereof from time to time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and the Lenders shall treat each Person whose name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 recorded in the Register pursuant to the terms hereof as a Lender hereunder for all purposes of this Agreement. The Register shall be available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inspection by the Lender, at any reasonable time and from time to time upon reasonable prior notice. If any Lender sells at any time participations to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person (each, a “</w:t>
      </w:r>
      <w:r>
        <w:rPr>
          <w:rFonts w:ascii="Arial" w:cs="Arial" w:eastAsia="Arial" w:hAnsi="Arial"/>
          <w:sz w:val="17"/>
          <w:szCs w:val="17"/>
          <w:b w:val="1"/>
          <w:bCs w:val="1"/>
          <w:color w:val="auto"/>
        </w:rPr>
        <w:t>Participant</w:t>
      </w:r>
      <w:r>
        <w:rPr>
          <w:rFonts w:ascii="Arial" w:cs="Arial" w:eastAsia="Arial" w:hAnsi="Arial"/>
          <w:sz w:val="17"/>
          <w:szCs w:val="17"/>
          <w:color w:val="auto"/>
        </w:rPr>
        <w:t>”) in all or a portion of such Lender’s right or obligations under this Agreement, (i) such Lender’s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shall remain unchanged, (ii) such Lender shall remain solely responsible to the other parties hereto for the performance of such obligations,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(iii) the Borrower shall continue to deal solely and directly with such Lender in connection with such Lender’s rights and obligations under this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Each Lender that sells a participation shall, acting solely for this purpose as a non-fiduciary agent of the Borrower, maintain a register 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which it enters the name and address of each Participant and the principal amounts (and stated interest) of each Participant’s interest in the Loans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identity of any Participant or any information relating to a Participant’s interest in obligations under any Loan Document) to any Person except to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extent that such disclosure is necessary to establish that obligation is in registered form under Section 5f.103-1(c) of the United States Treasury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Regulations. The entries in the Participant Register shall be conclusive absent manifest error, and such Lender shall treat each Person whose name 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recorded in the Participant Register as the owner of such participation for all purposes of this Agreement notwithstanding any notice to the contrary.</w:t>
      </w:r>
    </w:p>
    <w:p>
      <w:pPr>
        <w:spacing w:after="0" w:line="230"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 xml:space="preserve">12.3 Indemnification. </w:t>
      </w:r>
      <w:r>
        <w:rPr>
          <w:rFonts w:ascii="Arial" w:cs="Arial" w:eastAsia="Arial" w:hAnsi="Arial"/>
          <w:sz w:val="16"/>
          <w:szCs w:val="16"/>
          <w:color w:val="auto"/>
        </w:rPr>
        <w:t>Borrower agrees to indemnify, defend and hold Lenders and their directors, officers, employees, agents, attorneys,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affiliated with or representing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w:t>
      </w:r>
    </w:p>
    <w:p>
      <w:pPr>
        <w:spacing w:after="0" w:line="2" w:lineRule="exact"/>
        <w:rPr>
          <w:sz w:val="20"/>
          <w:szCs w:val="20"/>
          <w:color w:val="auto"/>
        </w:rPr>
      </w:pPr>
    </w:p>
    <w:p>
      <w:pPr>
        <w:ind w:left="4" w:right="80" w:hanging="4"/>
        <w:spacing w:after="0" w:line="255" w:lineRule="auto"/>
        <w:tabs>
          <w:tab w:leader="none" w:pos="26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losses or expenses (including Lender Expenses) in any way suffered, incurred, or paid by such Indemnified Person as a result of, following from, consequential to, or arising from transactions between Lenders and Borrower (including reasonable attorneys’ fees and expenses), except for Claims and/or losses directly caused by such Indemnified Person’s gross negligence or willful misconduct.</w:t>
      </w:r>
    </w:p>
    <w:p>
      <w:pPr>
        <w:spacing w:after="0" w:line="190"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225"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Required Lenders may correct patent errors and fill in any blanks in the Loan Documents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of the parties so long as Lenders provide Borrower with written notice of such correction and allows Borrower at least ten (10) days to object to such correction. In the event of such objection, such correction shall not be made except by an amendment signed by the Required Lenders and Borrower.</w:t>
      </w:r>
    </w:p>
    <w:p>
      <w:pPr>
        <w:spacing w:after="0" w:line="180" w:lineRule="exact"/>
        <w:rPr>
          <w:sz w:val="20"/>
          <w:szCs w:val="20"/>
          <w:color w:val="auto"/>
        </w:rPr>
      </w:pPr>
    </w:p>
    <w:p>
      <w:pPr>
        <w:jc w:val="both"/>
        <w:ind w:left="4" w:right="60" w:firstLine="440"/>
        <w:spacing w:after="0" w:line="314"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Without the consent of Required Lenders,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and provided, further, that no such</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18" w:name="page19"/>
    <w:bookmarkEnd w:id="18"/>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and no such amendment, supplement or modification shall, without the consent of each Lender directly and adversely affected thereby:</w:t>
      </w:r>
    </w:p>
    <w:p>
      <w:pPr>
        <w:spacing w:after="0" w:line="35" w:lineRule="exact"/>
        <w:rPr>
          <w:sz w:val="20"/>
          <w:szCs w:val="20"/>
          <w:color w:val="auto"/>
        </w:rPr>
      </w:pPr>
    </w:p>
    <w:p>
      <w:pPr>
        <w:ind w:left="4" w:right="120" w:hanging="4"/>
        <w:spacing w:after="0" w:line="288" w:lineRule="auto"/>
        <w:tabs>
          <w:tab w:leader="none" w:pos="219"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forgive or reduce any portion of any Loan owing to such Lender or extend the final scheduled maturity date of any such Loan or reduce the stated rate, or forgive any portion thereof, or extend the date for the payment, of any principal, interest or fee payable hereunder, or make any Loan, interest, Fee or other amount payable in any currency, or (ii) release all or substantially all of the Guarantors under the Guaranty, if any (except as expressly permitted by the Guaranty), or (iii) reduce the percentages specified in the definitions of the terms Required Lenders, or amend, restate, supplement, modify or waive any provision of this Section 12.7 that has the effect of decreasing the number of Lenders that must approve any amendment, restatement, supplementation, modification or waiver, (iv) amend, modify or supplement Article 13 hereof, or (v) consent to the assignment or transfer by Borrower of its rights and obligations under this Agreement party (except as explicitly permitted hereunder).</w:t>
      </w:r>
    </w:p>
    <w:p>
      <w:pPr>
        <w:spacing w:after="0" w:line="164"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Lenders shall exercise the same degree of care that they exercise for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Lenders will not disclose, divulge, or use for any purpose (other than to monitor its Loan to Borrower) any confidential information obtained from Borrower (including any confidential information obtained pursuant to the terms of this Agreement), but disclosure of information may be made: (a) to Lenders Subsidiaries or Affiliates in the ordinary course of business (such Subsidiaries and Affiliates, together with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 provided that Lenders inform such Subsidiary or Affiliate that such information is confidential and direct such Subsidiary and Affiliate to maintain the confidentiality of such information; (b) to investors or prospective investors of the Lenders or the funds or accounts for whom the Lenders’ investment managers act as managers or investment managers, provided, however Lenders, their investment managers or their Affiliates shall enter into (or have already entered into) confidentiality agreements with such recipients on terms substantively similar to the provisions contained in this paragraph); (c) to prospective transferees or purchasers of any interest in the Loan (provided, however, Lenders shall enter into confidentiality agreement with prospective transferees or purchasers on terms substantially similar to the provisions contained in this paragraph);</w:t>
      </w:r>
    </w:p>
    <w:p>
      <w:pPr>
        <w:spacing w:after="0" w:line="1" w:lineRule="exact"/>
        <w:rPr>
          <w:sz w:val="20"/>
          <w:szCs w:val="20"/>
          <w:color w:val="auto"/>
        </w:rPr>
      </w:pPr>
    </w:p>
    <w:p>
      <w:pPr>
        <w:ind w:left="4" w:hanging="4"/>
        <w:spacing w:after="0" w:line="268" w:lineRule="auto"/>
        <w:tabs>
          <w:tab w:leader="none" w:pos="259" w:val="left"/>
        </w:tabs>
        <w:numPr>
          <w:ilvl w:val="0"/>
          <w:numId w:val="45"/>
        </w:numPr>
        <w:rPr>
          <w:rFonts w:ascii="Arial" w:cs="Arial" w:eastAsia="Arial" w:hAnsi="Arial"/>
          <w:sz w:val="17"/>
          <w:szCs w:val="17"/>
          <w:color w:val="auto"/>
        </w:rPr>
      </w:pPr>
      <w:r>
        <w:rPr>
          <w:rFonts w:ascii="Arial" w:cs="Arial" w:eastAsia="Arial" w:hAnsi="Arial"/>
          <w:sz w:val="17"/>
          <w:szCs w:val="17"/>
          <w:color w:val="auto"/>
        </w:rPr>
        <w:t>as required by law, regulation, subpoena, or other order, provided that Lenders promptly notify Borrower of such disclosure and takes reasonable steps to minimize the extent of any such required disclosure; (e) to the extent required by securities Laws or Governmental Authority or rules or regulations of securities exchanges or similar entities in connection with any required securities filings; (f) as Lenders consider appropriate in exercising remedies under the Loan Documents; and (g) to their attorneys, accountants, consultants, and other professionals to the extent necessary to obtain their services in connection with monitoring the Loan to Borrower and so long as such service providers have executed a confidentiality agreement with Lenders with terms no less restrictive than those contained herein. Confidential information does not include information that is either: (i) in the public domain or in Lenders’ possession when disclosed to Lenders, or becomes part of the public domain (other than as a result of its disclosure by Lenders in violation of this Agreement) after disclosure to Lenders; or (ii) disclosed to Lenders by a third party, if Lenders do not know that the third party is prohibited from disclosing the information.</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provisions of the immediately preceding sentence shall survive the termination of this Agreement.</w:t>
      </w:r>
    </w:p>
    <w:p>
      <w:pPr>
        <w:spacing w:after="0" w:line="221"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Lenders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ind w:left="4" w:right="40" w:firstLine="440"/>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 w:right="20" w:firstLine="440"/>
        <w:spacing w:after="0" w:line="314" w:lineRule="auto"/>
        <w:rPr>
          <w:sz w:val="20"/>
          <w:szCs w:val="20"/>
          <w:color w:val="auto"/>
        </w:rPr>
      </w:pPr>
      <w:r>
        <w:rPr>
          <w:rFonts w:ascii="Arial" w:cs="Arial" w:eastAsia="Arial" w:hAnsi="Arial"/>
          <w:sz w:val="16"/>
          <w:szCs w:val="16"/>
          <w:b w:val="1"/>
          <w:bCs w:val="1"/>
          <w:color w:val="auto"/>
        </w:rPr>
        <w:t xml:space="preserve">12.12 Calculations in Respect of the Loans. </w:t>
      </w:r>
      <w:r>
        <w:rPr>
          <w:rFonts w:ascii="Arial" w:cs="Arial" w:eastAsia="Arial" w:hAnsi="Arial"/>
          <w:sz w:val="16"/>
          <w:szCs w:val="16"/>
          <w:color w:val="auto"/>
        </w:rPr>
        <w:t>Other than as specified herein, Borrower and its agents shall be responsible for making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calculations called for under the Loans. These calculations include, but are not limited to, any adjustments to the Conversion Rate, the determination of any Last Reported Sale Price and the consideration deliverable in respect of any conversion. Borrower will make all these calculations in good faith and</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4" w:right="499" w:bottom="1440" w:gutter="0" w:footer="0" w:header="0"/>
        </w:sectPr>
      </w:pPr>
    </w:p>
    <w:bookmarkStart w:id="19" w:name="page20"/>
    <w:bookmarkEnd w:id="19"/>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provide written notice of any such calculation to Lenders, which written notice shall set forth in reasonable detail the basis for the calculation thereof, and, absent manifest error, Borrower’s calculations as specified in such written notice shall become final and binding on Lenders on the earlier of (i) 30 days after the receipt thereof and (ii) agreement on the part of Lenders.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12.13 Captions. </w:t>
      </w:r>
      <w:r>
        <w:rPr>
          <w:rFonts w:ascii="Arial" w:cs="Arial" w:eastAsia="Arial" w:hAnsi="Arial"/>
          <w:sz w:val="17"/>
          <w:szCs w:val="17"/>
          <w:color w:val="auto"/>
        </w:rPr>
        <w:t>The headings used in this Agreement are for convenience only and shall not affect the interpretation of this Agreement.</w:t>
      </w:r>
    </w:p>
    <w:p>
      <w:pPr>
        <w:spacing w:after="0" w:line="237"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12.14 Construction of Agreement. </w:t>
      </w:r>
      <w:r>
        <w:rPr>
          <w:rFonts w:ascii="Arial" w:cs="Arial" w:eastAsia="Arial" w:hAnsi="Arial"/>
          <w:sz w:val="18"/>
          <w:szCs w:val="18"/>
          <w:color w:val="auto"/>
        </w:rPr>
        <w:t>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.17</w:t>
      </w:r>
      <w:r>
        <w:rPr>
          <w:rFonts w:ascii="Arial" w:cs="Arial" w:eastAsia="Arial" w:hAnsi="Arial"/>
          <w:sz w:val="18"/>
          <w:szCs w:val="18"/>
          <w:b w:val="1"/>
          <w:bCs w:val="1"/>
          <w:color w:val="auto"/>
        </w:rPr>
        <w:t xml:space="preserve"> Restricted Securities; Legends</w:t>
      </w:r>
      <w:r>
        <w:rPr>
          <w:rFonts w:ascii="Arial" w:cs="Arial" w:eastAsia="Arial" w:hAnsi="Arial"/>
          <w:sz w:val="18"/>
          <w:szCs w:val="18"/>
          <w:color w:val="auto"/>
        </w:rPr>
        <w:t>.</w:t>
      </w:r>
    </w:p>
    <w:p>
      <w:pPr>
        <w:spacing w:after="0" w:line="229" w:lineRule="exact"/>
        <w:rPr>
          <w:sz w:val="20"/>
          <w:szCs w:val="20"/>
          <w:color w:val="auto"/>
        </w:rPr>
      </w:pPr>
    </w:p>
    <w:p>
      <w:pPr>
        <w:ind w:firstLine="436"/>
        <w:spacing w:after="0" w:line="259"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Lenders understand that the Common Shares or Preferred Shares, as applicable, issued in accordance with this Agreement will be characterized as “restricted securities” under Rule 144(a)(3) of the Securities Act unless registered under the Securities Act or resold pursuant to an exemption from the registration requirements of the Securities Act in a transaction that results in such Common Shares or Preferred Shares, as the case may be, no longer being a “restricted security.”</w:t>
      </w:r>
    </w:p>
    <w:p>
      <w:pPr>
        <w:spacing w:after="0" w:line="186" w:lineRule="exact"/>
        <w:rPr>
          <w:rFonts w:ascii="Arial" w:cs="Arial" w:eastAsia="Arial" w:hAnsi="Arial"/>
          <w:sz w:val="18"/>
          <w:szCs w:val="18"/>
          <w:color w:val="auto"/>
        </w:rPr>
      </w:pPr>
    </w:p>
    <w:p>
      <w:pPr>
        <w:ind w:right="80" w:firstLine="436"/>
        <w:spacing w:after="0" w:line="342" w:lineRule="auto"/>
        <w:tabs>
          <w:tab w:leader="none" w:pos="69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 is understood that the Common Shares or Preferred Shares, as applicable, issued in accordance with this Agreement shall bear the following or a similar legend for so long as such securities constitute “restricted securities” within the meaning of Rule 144(a)(3) of the Securities Act:</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40" w:right="480" w:firstLine="419"/>
        <w:spacing w:after="0" w:line="263" w:lineRule="auto"/>
        <w:tabs>
          <w:tab w:leader="none" w:pos="1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OR AN “ACCREDITED INVESTOR” WITHIN THE MEANING OF RULE 501(A) OF THE SECURITIES ACT, AND</w:t>
      </w:r>
    </w:p>
    <w:p>
      <w:pPr>
        <w:spacing w:after="0" w:line="75" w:lineRule="exact"/>
        <w:rPr>
          <w:rFonts w:ascii="Arial" w:cs="Arial" w:eastAsia="Arial" w:hAnsi="Arial"/>
          <w:sz w:val="18"/>
          <w:szCs w:val="18"/>
          <w:color w:val="auto"/>
        </w:rPr>
      </w:pPr>
    </w:p>
    <w:p>
      <w:pPr>
        <w:ind w:left="440" w:right="280" w:firstLine="419"/>
        <w:spacing w:after="0" w:line="257" w:lineRule="auto"/>
        <w:tabs>
          <w:tab w:leader="none" w:pos="11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AGREES FOR THE BENEFIT OF FLUIDIGM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0" w:lineRule="exact"/>
        <w:rPr>
          <w:sz w:val="20"/>
          <w:szCs w:val="20"/>
          <w:color w:val="auto"/>
        </w:rPr>
      </w:pPr>
    </w:p>
    <w:p>
      <w:pPr>
        <w:ind w:left="5420" w:right="5260" w:hanging="4561"/>
        <w:spacing w:after="0" w:line="490" w:lineRule="auto"/>
        <w:tabs>
          <w:tab w:leader="none" w:pos="11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THE COMPANY OR ANY SUBSIDIARY THEREOF, OR 17</w:t>
      </w:r>
    </w:p>
    <w:p>
      <w:pPr>
        <w:sectPr>
          <w:pgSz w:w="11900" w:h="16838" w:orient="portrait"/>
          <w:cols w:equalWidth="0" w:num="1">
            <w:col w:w="11000"/>
          </w:cols>
          <w:pgMar w:left="440" w:top="274" w:right="459" w:bottom="1440" w:gutter="0" w:footer="0" w:header="0"/>
        </w:sectPr>
      </w:pPr>
    </w:p>
    <w:bookmarkStart w:id="20" w:name="page21"/>
    <w:bookmarkEnd w:id="20"/>
    <w:p>
      <w:pPr>
        <w:ind w:left="440" w:right="180" w:firstLine="419"/>
        <w:spacing w:after="0" w:line="277" w:lineRule="auto"/>
        <w:tabs>
          <w:tab w:leader="none" w:pos="114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 REGISTRATION STATEMENT THAT HAS BECOME EFFECTIVE UNDER THE SECURITIES ACT AND IS EFFECTIVE AT THE TIME OF SUCH TRANSFER, OR</w:t>
      </w:r>
    </w:p>
    <w:p>
      <w:pPr>
        <w:spacing w:after="0" w:line="62" w:lineRule="exact"/>
        <w:rPr>
          <w:rFonts w:ascii="Arial" w:cs="Arial" w:eastAsia="Arial" w:hAnsi="Arial"/>
          <w:sz w:val="18"/>
          <w:szCs w:val="18"/>
          <w:color w:val="auto"/>
        </w:rPr>
      </w:pPr>
    </w:p>
    <w:p>
      <w:pPr>
        <w:ind w:left="440" w:right="520" w:firstLine="419"/>
        <w:spacing w:after="0" w:line="277" w:lineRule="auto"/>
        <w:tabs>
          <w:tab w:leader="none" w:pos="11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PRIOR TO THE REGISTRATION OF ANY TRANSFER IN ACCORDANCE WITH CLAUSE (2)(D)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89" w:lineRule="exact"/>
        <w:rPr>
          <w:sz w:val="20"/>
          <w:szCs w:val="20"/>
          <w:color w:val="auto"/>
        </w:rPr>
      </w:pPr>
    </w:p>
    <w:p>
      <w:pPr>
        <w:ind w:left="960" w:hanging="532"/>
        <w:spacing w:after="0"/>
        <w:tabs>
          <w:tab w:leader="none" w:pos="9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p>
    <w:p>
      <w:pPr>
        <w:spacing w:after="0" w:line="225"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 xml:space="preserve">13.1 Preferred Share Automatic Conversion. </w:t>
      </w:r>
      <w:r>
        <w:rPr>
          <w:rFonts w:ascii="Arial" w:cs="Arial" w:eastAsia="Arial" w:hAnsi="Arial"/>
          <w:sz w:val="18"/>
          <w:szCs w:val="18"/>
          <w:color w:val="auto"/>
        </w:rPr>
        <w:t>Upon issuance of the Preferred Shares by the Borrower (if approved at the Company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without any further action taken or notice given by the Lenders, the Conversion Amount shall convert automatically into a number of Preferred Shares equal to:</w:t>
      </w:r>
    </w:p>
    <w:p>
      <w:pPr>
        <w:spacing w:after="0" w:line="288" w:lineRule="exact"/>
        <w:rPr>
          <w:sz w:val="20"/>
          <w:szCs w:val="20"/>
          <w:color w:val="auto"/>
        </w:rPr>
      </w:pPr>
    </w:p>
    <w:p>
      <w:pPr>
        <w:ind w:left="700" w:hanging="264"/>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Amount divided by $1,000 multiplied by</w:t>
      </w:r>
    </w:p>
    <w:p>
      <w:pPr>
        <w:spacing w:after="0" w:line="113" w:lineRule="exact"/>
        <w:rPr>
          <w:rFonts w:ascii="Arial" w:cs="Arial" w:eastAsia="Arial" w:hAnsi="Arial"/>
          <w:sz w:val="18"/>
          <w:szCs w:val="18"/>
          <w:color w:val="auto"/>
        </w:rPr>
      </w:pPr>
    </w:p>
    <w:p>
      <w:pPr>
        <w:ind w:left="440" w:right="120" w:hanging="4"/>
        <w:spacing w:after="0" w:line="282"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Conversion Price (as defined under the applicable definitive documentation governing the Preferred Shares) divided by $2.84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 Price</w:t>
      </w:r>
      <w:r>
        <w:rPr>
          <w:rFonts w:ascii="Arial" w:cs="Arial" w:eastAsia="Arial" w:hAnsi="Arial"/>
          <w:sz w:val="18"/>
          <w:szCs w:val="18"/>
          <w:color w:val="auto"/>
        </w:rPr>
        <w: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avoidance of doubt, no Preferred Shares will be issued prior to obtaining the approval of the stockholders of the Company authorizing the issuance of such Preferred Shares at a duly called meeting of such stockholders (the “</w:t>
      </w:r>
      <w:r>
        <w:rPr>
          <w:rFonts w:ascii="Arial" w:cs="Arial" w:eastAsia="Arial" w:hAnsi="Arial"/>
          <w:sz w:val="18"/>
          <w:szCs w:val="18"/>
          <w:b w:val="1"/>
          <w:bCs w:val="1"/>
          <w:color w:val="auto"/>
        </w:rPr>
        <w:t>Company Stockholder Meeting</w:t>
      </w:r>
      <w:r>
        <w:rPr>
          <w:rFonts w:ascii="Arial" w:cs="Arial" w:eastAsia="Arial" w:hAnsi="Arial"/>
          <w:sz w:val="18"/>
          <w:szCs w:val="18"/>
          <w:color w:val="auto"/>
        </w:rPr>
        <w:t xml:space="preserve">”) and shall be issued in connection with the Closing (as defined in the Purchase Agreement). In lieu of fractional shares otherwise issuable, each Lender shall be entitled to receive, at the Company’s sole discretion, either (i) cash in lieu of delivering any fractional Preferred Shares issuable on conversion in an amount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applicable “Conversion Rate” (not as defined herein, but in the applicable certificate of designations for the Preferred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fraction of a Preferred Share not issued </w:t>
      </w:r>
      <w:r>
        <w:rPr>
          <w:rFonts w:ascii="Arial" w:cs="Arial" w:eastAsia="Arial" w:hAnsi="Arial"/>
          <w:sz w:val="18"/>
          <w:szCs w:val="18"/>
          <w:i w:val="1"/>
          <w:iCs w:val="1"/>
          <w:color w:val="auto"/>
        </w:rPr>
        <w:t>by</w:t>
      </w:r>
      <w:r>
        <w:rPr>
          <w:rFonts w:ascii="Arial" w:cs="Arial" w:eastAsia="Arial" w:hAnsi="Arial"/>
          <w:sz w:val="18"/>
          <w:szCs w:val="18"/>
          <w:color w:val="auto"/>
        </w:rPr>
        <w:t xml:space="preserve"> (C) the VWAP of the Common Shares for the relevant Conversion Date (or, if such Conversion Date is not a Trading Day, the next following Trading Day) or (ii) one additional whole share of fully paid and nonassessable Preferred Share.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13.2 Common Share Conversion Privilege.</w:t>
      </w:r>
    </w:p>
    <w:p>
      <w:pPr>
        <w:spacing w:after="0" w:line="229" w:lineRule="exact"/>
        <w:rPr>
          <w:sz w:val="20"/>
          <w:szCs w:val="20"/>
          <w:color w:val="auto"/>
        </w:rPr>
      </w:pPr>
    </w:p>
    <w:p>
      <w:pPr>
        <w:ind w:right="140" w:firstLine="1979"/>
        <w:spacing w:after="0" w:line="289" w:lineRule="auto"/>
        <w:tabs>
          <w:tab w:leader="none" w:pos="2227"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the earlier to occur of (i) a negative vote at the Company Stockholder Meeting with respect to the authorization of the Preferred Shares, and therefore the automatic conversion pursuant to Section 13.1 does not occur, or (ii) the termination of the Purchase Agreement and therefore the automatic conversion pursuant to Section 13.1 does not occur (the earlier to occur of immediately preceding clauses (i) and (ii), the “</w:t>
      </w:r>
      <w:r>
        <w:rPr>
          <w:rFonts w:ascii="Arial" w:cs="Arial" w:eastAsia="Arial" w:hAnsi="Arial"/>
          <w:sz w:val="16"/>
          <w:szCs w:val="16"/>
          <w:b w:val="1"/>
          <w:bCs w:val="1"/>
          <w:color w:val="auto"/>
        </w:rPr>
        <w:t>Conversion Privilege Trigger</w:t>
      </w:r>
      <w:r>
        <w:rPr>
          <w:rFonts w:ascii="Arial" w:cs="Arial" w:eastAsia="Arial" w:hAnsi="Arial"/>
          <w:sz w:val="16"/>
          <w:szCs w:val="16"/>
          <w:color w:val="auto"/>
        </w:rPr>
        <w:t xml:space="preserve">”), Lenders shall have the right, at Lenders’ option, at any time following the conclusion of the Company Stockholder Meeting or termination of the Purchase Agreement, but prior to the close of business on the Business Day immediately preceding the Loan Maturity Date, subject to the conversion procedures set forth in Section 13.3, to convert all or a portion of such Lender’s Conversion Amount at any time into a number of Common Shares equal to (1) the Conversion Amount so converted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(2) the Conversion Rate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 $1,000; </w:t>
      </w:r>
      <w:r>
        <w:rPr>
          <w:rFonts w:ascii="Arial" w:cs="Arial" w:eastAsia="Arial" w:hAnsi="Arial"/>
          <w:sz w:val="16"/>
          <w:szCs w:val="16"/>
          <w:u w:val="single" w:color="auto"/>
          <w:color w:val="auto"/>
        </w:rPr>
        <w:t>provided</w:t>
      </w:r>
      <w:r>
        <w:rPr>
          <w:rFonts w:ascii="Arial" w:cs="Arial" w:eastAsia="Arial" w:hAnsi="Arial"/>
          <w:sz w:val="16"/>
          <w:szCs w:val="16"/>
          <w:color w:val="auto"/>
        </w:rPr>
        <w:t>, that Lenders shall receive cash in lieu of any fractional shares as set out in Section 13.3(f). For the avoidance of doubt, Lenders may not convert any portion of such Lender’s Conversion Amount pursuant to this Section 13.2(a) prior to the occurrence of the Conversion Privilege Trigger.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1" w:name="page22"/>
    <w:bookmarkEnd w:id="21"/>
    <w:p>
      <w:pPr>
        <w:ind w:left="-20" w:firstLine="1979"/>
        <w:spacing w:after="0" w:line="255" w:lineRule="auto"/>
        <w:tabs>
          <w:tab w:leader="none" w:pos="2218"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at all times reserve and keep available out of its authorized and unissued Common Shares, solely for issuance on the conversion of the Conversion Amount, such number of Common Shares as shall from time to time be issuable on the conversion of all the Conversion Amount then outstanding. The Borrower shall use its reasonable best efforts to maintain the listing on the NASDAQ of such number of Common Shares as shall from time to time be issuable on the conversion of the Conversion Amount then outstanding. Any Common Shares issued on conversion of the Conversion Amount shall be duly authorized, validly issued, fully paid and nonassessable and shall not be subject to preemptive rights or subscription rights of any other stockholder of the Borrower.</w:t>
      </w:r>
    </w:p>
    <w:p>
      <w:pPr>
        <w:spacing w:after="0" w:line="192" w:lineRule="exact"/>
        <w:rPr>
          <w:rFonts w:ascii="Arial" w:cs="Arial" w:eastAsia="Arial" w:hAnsi="Arial"/>
          <w:sz w:val="18"/>
          <w:szCs w:val="18"/>
          <w:color w:val="auto"/>
        </w:rPr>
      </w:pPr>
    </w:p>
    <w:p>
      <w:pPr>
        <w:jc w:val="both"/>
        <w:ind w:left="-20" w:right="220" w:firstLine="1979"/>
        <w:spacing w:after="0" w:line="279" w:lineRule="auto"/>
        <w:tabs>
          <w:tab w:leader="none" w:pos="2207"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nothing in this Agreement shall require Borrower to issue any Common Shares to Lenders to the extent such issuance would result in the number of Aggregate Shares issued by Borrower to the Lenders under this Agreement, to exceed the Conversion Cap. For purposes of this Section 13.2(c), “</w:t>
      </w:r>
      <w:r>
        <w:rPr>
          <w:rFonts w:ascii="Arial" w:cs="Arial" w:eastAsia="Arial" w:hAnsi="Arial"/>
          <w:sz w:val="17"/>
          <w:szCs w:val="17"/>
          <w:b w:val="1"/>
          <w:bCs w:val="1"/>
          <w:color w:val="auto"/>
        </w:rPr>
        <w:t>Aggregate Shares</w:t>
      </w:r>
      <w:r>
        <w:rPr>
          <w:rFonts w:ascii="Arial" w:cs="Arial" w:eastAsia="Arial" w:hAnsi="Arial"/>
          <w:sz w:val="17"/>
          <w:szCs w:val="17"/>
          <w:color w:val="auto"/>
        </w:rPr>
        <w:t>” shall be equal to the number of shares of Common Stock of the Company issued at any time in the aggregate to the Lenders under this Agreement.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13.3 Conversion Procedure.</w:t>
      </w:r>
    </w:p>
    <w:p>
      <w:pPr>
        <w:spacing w:after="0" w:line="229" w:lineRule="exact"/>
        <w:rPr>
          <w:sz w:val="20"/>
          <w:szCs w:val="20"/>
          <w:color w:val="auto"/>
        </w:rPr>
      </w:pPr>
    </w:p>
    <w:p>
      <w:pPr>
        <w:ind w:left="-20" w:right="360" w:firstLine="1979"/>
        <w:spacing w:after="0" w:line="263" w:lineRule="auto"/>
        <w:tabs>
          <w:tab w:leader="none" w:pos="220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Lender must do each of the following in order to convert all or a portion of the Conversion Amount held by such Lender pursuant to Section 13.2(a) (the first date on which a Lender has complied with all such procedures (including the satisfaction of any conditions to conversion set forth in the Conversion Notice), the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84" w:lineRule="exact"/>
        <w:rPr>
          <w:sz w:val="20"/>
          <w:szCs w:val="20"/>
          <w:color w:val="auto"/>
        </w:rPr>
      </w:pPr>
    </w:p>
    <w:p>
      <w:pPr>
        <w:ind w:left="-20" w:right="540" w:firstLine="1979"/>
        <w:spacing w:after="0" w:line="286" w:lineRule="auto"/>
        <w:tabs>
          <w:tab w:leader="none" w:pos="2178"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complete and manually sign the conversion notice provided by the Borrower, a form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and deliver such notice to the Borrower; provided, that a Conversion Notice may be conditional on the completion of a Change in Control or other condition, transaction or event as Lenders may specify;</w:t>
      </w:r>
    </w:p>
    <w:p>
      <w:pPr>
        <w:spacing w:after="0" w:line="165" w:lineRule="exact"/>
        <w:rPr>
          <w:rFonts w:ascii="Arial" w:cs="Arial" w:eastAsia="Arial" w:hAnsi="Arial"/>
          <w:sz w:val="17"/>
          <w:szCs w:val="17"/>
          <w:color w:val="auto"/>
        </w:rPr>
      </w:pPr>
    </w:p>
    <w:p>
      <w:pPr>
        <w:ind w:left="2220" w:hanging="261"/>
        <w:spacing w:after="0"/>
        <w:tabs>
          <w:tab w:leader="none" w:pos="2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 to the Borrower the Promissory Note (if any) representing the Conversion Amount to be converted;</w:t>
      </w:r>
    </w:p>
    <w:p>
      <w:pPr>
        <w:spacing w:after="0" w:line="225" w:lineRule="exact"/>
        <w:rPr>
          <w:rFonts w:ascii="Arial" w:cs="Arial" w:eastAsia="Arial" w:hAnsi="Arial"/>
          <w:sz w:val="18"/>
          <w:szCs w:val="18"/>
          <w:color w:val="auto"/>
        </w:rPr>
      </w:pPr>
    </w:p>
    <w:p>
      <w:pPr>
        <w:ind w:left="2280" w:hanging="321"/>
        <w:spacing w:after="0"/>
        <w:tabs>
          <w:tab w:leader="none" w:pos="2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225" w:lineRule="exact"/>
        <w:rPr>
          <w:rFonts w:ascii="Arial" w:cs="Arial" w:eastAsia="Arial" w:hAnsi="Arial"/>
          <w:sz w:val="18"/>
          <w:szCs w:val="18"/>
          <w:color w:val="auto"/>
        </w:rPr>
      </w:pPr>
    </w:p>
    <w:p>
      <w:pPr>
        <w:ind w:left="-20" w:right="40" w:firstLine="1979"/>
        <w:spacing w:after="0" w:line="277" w:lineRule="auto"/>
        <w:tabs>
          <w:tab w:leader="none" w:pos="22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required, pay the amount of any tax that may be payable in respect of any transfer involved in the issuance or delivery of Common Shares to a Person other than Lenders.</w:t>
      </w:r>
    </w:p>
    <w:p>
      <w:pPr>
        <w:spacing w:after="0" w:line="170" w:lineRule="exact"/>
        <w:rPr>
          <w:sz w:val="20"/>
          <w:szCs w:val="20"/>
          <w:color w:val="auto"/>
        </w:rPr>
      </w:pPr>
    </w:p>
    <w:p>
      <w:pPr>
        <w:ind w:left="-20" w:right="120" w:firstLine="1979"/>
        <w:spacing w:after="0" w:line="263" w:lineRule="auto"/>
        <w:tabs>
          <w:tab w:leader="none" w:pos="221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Conversion Amount converted, such Conversion Amount shall cease to be outstanding, interest with respect to such Conversion Amount shall cease to accrue and the corresponding Common Shares pursuant to the conversion shall be issued and outstanding.</w:t>
      </w:r>
    </w:p>
    <w:p>
      <w:pPr>
        <w:spacing w:after="0" w:line="183" w:lineRule="exact"/>
        <w:rPr>
          <w:rFonts w:ascii="Arial" w:cs="Arial" w:eastAsia="Arial" w:hAnsi="Arial"/>
          <w:sz w:val="18"/>
          <w:szCs w:val="18"/>
          <w:color w:val="auto"/>
        </w:rPr>
      </w:pPr>
    </w:p>
    <w:p>
      <w:pPr>
        <w:ind w:left="-20" w:right="80" w:firstLine="1979"/>
        <w:spacing w:after="0" w:line="287" w:lineRule="auto"/>
        <w:tabs>
          <w:tab w:leader="none" w:pos="2207"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The Lender or Lenders entitled to receive the Common Stock and, to the extent applicable, cash, securities or other property issuable on conversion of the Conversion Amount on a Conversion Date shall be treated for all purposes as the record holder(s) of such shares of Common Shares and/or cash, securities or other property as of the close of business on such Conversion Date. As promptly as practicable on or after the Conversion Date and, if applicable, compliance by the applicable Lender with the relevant procedures contained in Section 13.3(a) (and in any event no later than three Trading Days thereafter; provided, that if a written notice from such Lender in accordance with Section 13.3(a)(i) specifies a date of delivery for any shares of Common Shares, such shares shall be delivered on the date so specified, which shall be no earlier than the second Business Day and no later than the seventh Business Day following the date of such notice), Borrower shall issue the number of whole shares of Common Shares issuable on conversion (and deliver payment of cash in lieu of fractional shares or as otherwise set out in Section 13.3(f)) and, to the extent applicable, any cash, securities or other property issuable thereon. Such delivery of shares of Common Shares, securities or other property, shall be made by book-entry or, at the request of the applicable Lender, by delivering a notice to the Borrower, through the facilities of The Depository Trust Company, or in certificated form. Any such certificate or certificates shall be delivered by the Borrower to the appropriate Lender on a book-entry basis, through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60" w:top="274" w:right="479" w:bottom="1440" w:gutter="0" w:footer="0" w:header="0"/>
        </w:sectPr>
      </w:pPr>
    </w:p>
    <w:bookmarkStart w:id="22" w:name="page23"/>
    <w:bookmarkEnd w:id="2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facilities of The Depository Trust Company, or by mailing certificates evidencing the shares to the applicable Lender, in each case at their respective addresses set forth in the Conversion Notice. In the event that a Lender shall not by written notice designate the name in which shares of Common Shares (and payments of cash in lieu of fractional shares) and, to the extent applicable, cash, securities or other property to be delivered on conversion of the Conversion Amount should be registered or paid, or the manner in which such shares, cash, securities or other property should be delivered, the Borrower shall be entitled to register and deliver such shares, securities or other property, and make such payment, in the name of the Lender and in the manner shown on the records of the Borrower. The Lender shall promptly deliver or cause to be delivered to Borrower’s transfer agent or any other Person all such customary additional documentation as may be reasonably necessary to effectuate the delivery of any Common Shares, securities, or other property in accordance with this Section 13.3(c). Any securities issued to the Lender pursuant to this Agreement shall bear the legends set forth in Section 12.17 to the extent such securities constitute “restricted securities” within the meaning of Rule 144(a)(3).</w:t>
      </w:r>
    </w:p>
    <w:p>
      <w:pPr>
        <w:spacing w:after="0" w:line="166" w:lineRule="exact"/>
        <w:rPr>
          <w:sz w:val="20"/>
          <w:szCs w:val="20"/>
          <w:color w:val="auto"/>
        </w:rPr>
      </w:pPr>
    </w:p>
    <w:p>
      <w:pPr>
        <w:ind w:right="340" w:firstLine="1979"/>
        <w:spacing w:after="0" w:line="342" w:lineRule="auto"/>
        <w:tabs>
          <w:tab w:leader="none" w:pos="2237"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Status of Reacquired Conversion Amount</w:t>
      </w:r>
      <w:r>
        <w:rPr>
          <w:rFonts w:ascii="Arial" w:cs="Arial" w:eastAsia="Arial" w:hAnsi="Arial"/>
          <w:sz w:val="16"/>
          <w:szCs w:val="16"/>
          <w:color w:val="auto"/>
        </w:rPr>
        <w:t>. The Conversion Amount converted in accordance with this Agreement, or otherwise acquired by the Borrower or any of its Subsidiaries in any manner whatsoever, shall cease to be outstanding after the acquisition thereof.</w:t>
      </w:r>
    </w:p>
    <w:p>
      <w:pPr>
        <w:spacing w:after="0" w:line="123" w:lineRule="exact"/>
        <w:rPr>
          <w:rFonts w:ascii="Arial" w:cs="Arial" w:eastAsia="Arial" w:hAnsi="Arial"/>
          <w:sz w:val="16"/>
          <w:szCs w:val="16"/>
          <w:color w:val="auto"/>
        </w:rPr>
      </w:pPr>
    </w:p>
    <w:p>
      <w:pPr>
        <w:ind w:right="120" w:firstLine="1979"/>
        <w:spacing w:after="0" w:line="263" w:lineRule="auto"/>
        <w:tabs>
          <w:tab w:leader="none" w:pos="222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Promissory Note for the Conversion Amount shall be surrendered for partial conversion, the Borrower shall, at its expense, execute and deliver to or on the written order of Lender of the Promissory Note so surrendered a new Promissory Note for the Conversion Amount not converted.</w:t>
      </w:r>
    </w:p>
    <w:p>
      <w:pPr>
        <w:spacing w:after="0" w:line="183" w:lineRule="exact"/>
        <w:rPr>
          <w:rFonts w:ascii="Arial" w:cs="Arial" w:eastAsia="Arial" w:hAnsi="Arial"/>
          <w:sz w:val="18"/>
          <w:szCs w:val="18"/>
          <w:color w:val="auto"/>
        </w:rPr>
      </w:pPr>
    </w:p>
    <w:p>
      <w:pPr>
        <w:ind w:right="220" w:firstLine="1979"/>
        <w:spacing w:after="0" w:line="259" w:lineRule="auto"/>
        <w:tabs>
          <w:tab w:leader="none" w:pos="220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Notwithstanding the foregoing, the Borrower shall not deliver any fractional Common Shares on conversion of the Conversion Amount but the Borrower shall instead pay cash in lieu of delivering any fractional Common Shares issuable on conversion based on the VWAP of the Common Shares for the relevant Conversion Date (or, if such Conversion Date is not a Trading Day, the next following Trading Day).</w:t>
      </w:r>
    </w:p>
    <w:p>
      <w:pPr>
        <w:spacing w:after="0" w:line="183"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13.4 Adjustments of Conversion Rate. </w:t>
      </w:r>
      <w:r>
        <w:rPr>
          <w:rFonts w:ascii="Arial" w:cs="Arial" w:eastAsia="Arial" w:hAnsi="Arial"/>
          <w:sz w:val="16"/>
          <w:szCs w:val="16"/>
          <w:color w:val="auto"/>
        </w:rPr>
        <w:t>The Conversion Rate shall be adjusted from time to time by the Borrower if any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occurs, except that the Borrower shall not make any adjustments to the Conversion Rate if Lenders participate (other than in the case of a share split or share combination or a tender or exchange offer), at the same time and upon the same terms as holders of the Common Shares and solely as a result of their capacities as Lenders hereunder, in any of the transactions described in this Section 13.4, without having to convert the Conversion Amount, as if it held a number of Common Shares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Conversion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58" w:lineRule="exact"/>
        <w:rPr>
          <w:sz w:val="20"/>
          <w:szCs w:val="20"/>
          <w:color w:val="auto"/>
        </w:rPr>
      </w:pPr>
    </w:p>
    <w:p>
      <w:pPr>
        <w:ind w:right="200" w:firstLine="1979"/>
        <w:spacing w:after="0" w:line="308" w:lineRule="auto"/>
        <w:tabs>
          <w:tab w:leader="none" w:pos="222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Borrower exclusively issues Common Shares as a dividend or distribution on shares of the Common Shares, or if the Borrower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196215</wp:posOffset>
            </wp:positionV>
            <wp:extent cx="1165860" cy="420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6586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060" w:type="dxa"/>
            <w:vAlign w:val="bottom"/>
          </w:tcPr>
          <w:p>
            <w:pPr>
              <w:spacing w:after="0"/>
              <w:rPr>
                <w:sz w:val="20"/>
                <w:szCs w:val="20"/>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6"/>
              </w:rPr>
              <w:t>the Conversion Rate in effect immediately prior to the open of business on the Ex-Dividend Date of such dividend or distribution, or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451"/>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 or Effective Date;</w:t>
            </w:r>
          </w:p>
        </w:tc>
      </w:tr>
      <w:tr>
        <w:trPr>
          <w:trHeight w:val="399"/>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1"/>
              </w:rPr>
              <w:t>the number of Common Shares outstanding immediately prior to the open of business on such Ex-Dividend Date or Effective Date (before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giving effect to any such dividend, distribution, split or combination); and</w:t>
            </w:r>
          </w:p>
        </w:tc>
      </w:tr>
      <w:tr>
        <w:trPr>
          <w:trHeight w:val="451"/>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1"/>
              </w:rPr>
              <w:t>the number of Common Shares outstanding immediately after giving effect to such dividend, distribution, share split or share combination.</w:t>
            </w:r>
          </w:p>
        </w:tc>
      </w:tr>
      <w:tr>
        <w:trPr>
          <w:trHeight w:val="346"/>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482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000"/>
          </w:cols>
          <w:pgMar w:left="440" w:top="274" w:right="459" w:bottom="1440" w:gutter="0" w:footer="0" w:header="0"/>
        </w:sectPr>
      </w:pPr>
    </w:p>
    <w:bookmarkStart w:id="23" w:name="page24"/>
    <w:bookmarkEnd w:id="23"/>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adjustment made under 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4" w:right="40" w:firstLine="1979"/>
        <w:spacing w:after="0" w:line="275" w:lineRule="auto"/>
        <w:tabs>
          <w:tab w:leader="none" w:pos="224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Borrower issues to all or substantially all holders of the Common Shares any rights, options or warrants (other than in connection with a stockholder rights plan) entitling them, for a period of not more than 45 calendar days after the announcement date of such issuance, to subscribe for or purchase shares of the Common Shares at a price per share that is less than the average of the Last Reported Sale Prices of the Common Shares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215265</wp:posOffset>
            </wp:positionV>
            <wp:extent cx="133731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3731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838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w w:val="90"/>
              </w:rPr>
              <w:t>the Conversion Rate in effect immediately prior to the open of business on the Ex-Dividend Date for such issuance;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380" w:type="dxa"/>
            <w:vAlign w:val="bottom"/>
          </w:tcPr>
          <w:p>
            <w:pPr>
              <w:ind w:left="60"/>
              <w:spacing w:after="0"/>
              <w:rPr>
                <w:sz w:val="20"/>
                <w:szCs w:val="20"/>
                <w:color w:val="auto"/>
              </w:rPr>
            </w:pPr>
            <w:r>
              <w:rPr>
                <w:rFonts w:ascii="Arial" w:cs="Arial" w:eastAsia="Arial" w:hAnsi="Arial"/>
                <w:sz w:val="18"/>
                <w:szCs w:val="18"/>
                <w:color w:val="auto"/>
                <w:w w:val="92"/>
              </w:rPr>
              <w:t>the number of Common Shares outstanding immediately prior to the open of business on such Ex-Dividend Date;</w:t>
            </w:r>
          </w:p>
        </w:tc>
      </w:tr>
    </w:tbl>
    <w:p>
      <w:pPr>
        <w:spacing w:after="0" w:line="183" w:lineRule="exact"/>
        <w:rPr>
          <w:sz w:val="20"/>
          <w:szCs w:val="20"/>
          <w:color w:val="auto"/>
        </w:rPr>
      </w:pPr>
    </w:p>
    <w:p>
      <w:pPr>
        <w:ind w:left="444" w:hanging="444"/>
        <w:spacing w:after="0"/>
        <w:tabs>
          <w:tab w:leader="none" w:pos="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the total number of Common Shares issuable pursuant to such rights, options or warrants; and</w:t>
      </w:r>
    </w:p>
    <w:p>
      <w:pPr>
        <w:spacing w:after="0" w:line="225" w:lineRule="exact"/>
        <w:rPr>
          <w:sz w:val="20"/>
          <w:szCs w:val="20"/>
          <w:color w:val="auto"/>
        </w:rPr>
      </w:pPr>
    </w:p>
    <w:p>
      <w:pPr>
        <w:ind w:left="664" w:right="140" w:hanging="664"/>
        <w:spacing w:after="0" w:line="263" w:lineRule="auto"/>
        <w:tabs>
          <w:tab w:leader="none" w:pos="4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the number of Common Shares equal to the aggregate price payable to exercise such rights, options or warrants, divided by the average of the Last Reported Sale Prices of the Common Shares over the ten consecutive Trading Day period ending on, and including, the Trading Day immediately preceding the date of announcement of the issuance of such rights, options or warrants.</w:t>
      </w:r>
    </w:p>
    <w:p>
      <w:pPr>
        <w:spacing w:after="0" w:line="184"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13.4(b)</w:t>
      </w:r>
      <w:r>
        <w:rPr>
          <w:rFonts w:ascii="Arial" w:cs="Arial" w:eastAsia="Arial" w:hAnsi="Arial"/>
          <w:sz w:val="18"/>
          <w:szCs w:val="18"/>
          <w:color w:val="auto"/>
        </w:rPr>
        <w:t>, in determining whether any rights, options or warrants entitle the holders to subscribe for or purchase shares of the Common Shares at less than such average of the Last Reported Sale Prices of the Common Shares for the ten consecutive Trading Day period ending on, and including, the Trading Day immediately preceding the date of announcement for such issuance, and in determining the aggregate offering price of such Common Shares, there shall be taken into account any consideration received by the Borrower for such rights, options or warrants and any amount payable on exercise or conversion thereof, the value of such consideration, if other than cash, to be determined by the Borrower in good faith and in a commercially reasonable manner.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4" w:name="page25"/>
    <w:bookmarkEnd w:id="24"/>
    <w:p>
      <w:pPr>
        <w:ind w:right="40" w:firstLine="1979"/>
        <w:spacing w:after="0" w:line="253" w:lineRule="auto"/>
        <w:tabs>
          <w:tab w:leader="none" w:pos="2362"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Borrower distributes shares of its Capital Stock, evidences of its indebtedness, other assets or property of the Borrower or rights, options or warrants to acquire its Capital Stock or other securities, to all or substantially all holders of the Common Shares, excluding (i) dividends, distributions or issuances (including share splits) as to which an adjustment was effected (or would be required to be effected, notwithstanding the 1% Exception in </w:t>
      </w:r>
      <w:r>
        <w:rPr>
          <w:rFonts w:ascii="Arial" w:cs="Arial" w:eastAsia="Arial" w:hAnsi="Arial"/>
          <w:sz w:val="18"/>
          <w:szCs w:val="18"/>
          <w:u w:val="single" w:color="auto"/>
          <w:color w:val="auto"/>
        </w:rPr>
        <w:t>Section 13.4(k)</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(ii) dividends or distributions paid exclusively in cash, as to which the provisions set forth in </w:t>
      </w:r>
      <w:r>
        <w:rPr>
          <w:rFonts w:ascii="Arial" w:cs="Arial" w:eastAsia="Arial" w:hAnsi="Arial"/>
          <w:sz w:val="18"/>
          <w:szCs w:val="18"/>
          <w:u w:val="single" w:color="auto"/>
          <w:color w:val="auto"/>
        </w:rPr>
        <w:t>Section 13.4(d)</w:t>
      </w:r>
      <w:r>
        <w:rPr>
          <w:rFonts w:ascii="Arial" w:cs="Arial" w:eastAsia="Arial" w:hAnsi="Arial"/>
          <w:sz w:val="18"/>
          <w:szCs w:val="18"/>
          <w:color w:val="auto"/>
        </w:rPr>
        <w:t xml:space="preserve"> shall apply, (iii) except as otherwise described below, rights issued pursuant to a stockholder rights plan of the Borrower, (iv) distributions of Exchange Property in a Reorganization Event and (v) Spin-Offs, as to which the provisions set forth below in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151130</wp:posOffset>
            </wp:positionV>
            <wp:extent cx="1474470" cy="436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4744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000"/>
          </w:cols>
          <w:pgMar w:left="440" w:top="274"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320" w:space="240"/>
            <w:col w:w="104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320" w:space="240"/>
            <w:col w:w="10440"/>
          </w:cols>
          <w:pgMar w:left="440" w:top="274" w:right="459" w:bottom="1440" w:gutter="0" w:footer="0" w:header="0"/>
          <w:type w:val="continuous"/>
        </w:sectPr>
      </w:pPr>
    </w:p>
    <w:p>
      <w:pPr>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20" w:hanging="2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280" w:space="500"/>
            <w:col w:w="10220"/>
          </w:cols>
          <w:pgMar w:left="440" w:top="274" w:right="459" w:bottom="1440" w:gutter="0" w:footer="0" w:header="0"/>
          <w:type w:val="continuous"/>
        </w:sectPr>
      </w:pPr>
    </w:p>
    <w:p>
      <w:pPr>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340" w:hanging="2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Borrower in good faith and in a commercially reasonable manner) of the Distributed Property with respect to each outstanding share of the Common Shares on the Ex-Dividend Date for such distribution.</w:t>
      </w:r>
    </w:p>
    <w:p>
      <w:pPr>
        <w:spacing w:after="0" w:line="146" w:lineRule="exact"/>
        <w:rPr>
          <w:sz w:val="20"/>
          <w:szCs w:val="20"/>
          <w:color w:val="auto"/>
        </w:rPr>
      </w:pPr>
    </w:p>
    <w:p>
      <w:pPr>
        <w:sectPr>
          <w:pgSz w:w="11900" w:h="16838" w:orient="portrait"/>
          <w:cols w:equalWidth="0" w:num="2">
            <w:col w:w="380" w:space="400"/>
            <w:col w:w="10220"/>
          </w:cols>
          <w:pgMar w:left="440" w:top="274" w:right="459" w:bottom="1440" w:gutter="0" w:footer="0" w:header="0"/>
          <w:type w:val="continuous"/>
        </w:sectPr>
      </w:pPr>
    </w:p>
    <w:p>
      <w:pPr>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Borrower issues rights, options or warrants that are only exercisable on the occurrence of certain triggering events, then the Borrower shall not adjust the Conversion Rate pursuant to the clauses above until the earliest of these triggering events occurs, and the Borrower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Shares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Lenders shall receive, in respect of each $1,000 of the Conversion Amount then held, at the same time and on the same terms as holders of the Common Shares, the amount and kind of Distributed Property Lenders would have received if Lenders owned a number of Common Shares equal to the Conversion Rate in effect on the Ex-Dividend Date for the distribution. If the Borrower determines the “FMV” (as defined above) of any distribution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Shares over the ten consecutive Trading Day period ending on, and including, the Trading Day immediately preceding the Ex-Dividend Date for such distribution.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type w:val="continuous"/>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 adjustment pursuant to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where there has been a payment of a dividend or other distribution on the Common Shares of shares of Capital Stock of any class or series, or similar equity interest, of or relating to a Subsidiary or other business unit of the Borrower,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144780</wp:posOffset>
            </wp:positionV>
            <wp:extent cx="1594485" cy="386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5944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78"/>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rPr>
              <w:t>= the Conversion Rate in effect immediately prior to the end of the Valuation Period;</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rPr>
              <w:t>= the Conversion Rate in effect immediately after the end of the Valuation Period;</w:t>
            </w:r>
          </w:p>
        </w:tc>
      </w:tr>
      <w:tr>
        <w:trPr>
          <w:trHeight w:val="291"/>
        </w:trPr>
        <w:tc>
          <w:tcPr>
            <w:tcW w:w="58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w w:val="92"/>
              </w:rPr>
              <w:t>= the average of the Last Reported Sale Prices of the Capital Stock or similar equity interest distributed to holders of the Common Shares</w:t>
            </w: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5"/>
              </w:rPr>
              <w:t>applicable to one share of the Common Shares (determined by reference to the definition of Last Reported Sale Price as set forth in</w:t>
            </w:r>
          </w:p>
        </w:tc>
      </w:tr>
      <w:tr>
        <w:trPr>
          <w:trHeight w:val="190"/>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980" w:type="dxa"/>
            <w:vAlign w:val="bottom"/>
            <w:gridSpan w:val="4"/>
          </w:tcPr>
          <w:p>
            <w:pPr>
              <w:spacing w:after="0" w:line="190" w:lineRule="exact"/>
              <w:rPr>
                <w:sz w:val="20"/>
                <w:szCs w:val="20"/>
                <w:color w:val="auto"/>
              </w:rPr>
            </w:pPr>
            <w:r>
              <w:rPr>
                <w:rFonts w:ascii="Arial" w:cs="Arial" w:eastAsia="Arial" w:hAnsi="Arial"/>
                <w:sz w:val="18"/>
                <w:szCs w:val="18"/>
                <w:color w:val="auto"/>
                <w:w w:val="90"/>
              </w:rPr>
              <w:t>Section 14.1 as if references therein to Common Shares were to such Capital Stock or similar equity interest) over the first ten consecutive</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80" w:type="dxa"/>
            <w:vAlign w:val="bottom"/>
            <w:gridSpan w:val="4"/>
          </w:tcPr>
          <w:p>
            <w:pPr>
              <w:spacing w:after="0" w:line="196" w:lineRule="exact"/>
              <w:rPr>
                <w:sz w:val="20"/>
                <w:szCs w:val="20"/>
                <w:color w:val="auto"/>
              </w:rPr>
            </w:pPr>
            <w:r>
              <w:rPr>
                <w:rFonts w:ascii="Arial" w:cs="Arial" w:eastAsia="Arial" w:hAnsi="Arial"/>
                <w:sz w:val="18"/>
                <w:szCs w:val="18"/>
                <w:color w:val="auto"/>
                <w:w w:val="92"/>
              </w:rPr>
              <w:t>Trading Day period after, and including, the Ex-Dividend Date of the Spin-Off (the “</w:t>
            </w:r>
            <w:r>
              <w:rPr>
                <w:rFonts w:ascii="Arial" w:cs="Arial" w:eastAsia="Arial" w:hAnsi="Arial"/>
                <w:sz w:val="18"/>
                <w:szCs w:val="18"/>
                <w:b w:val="1"/>
                <w:bCs w:val="1"/>
                <w:color w:val="auto"/>
                <w:w w:val="92"/>
              </w:rPr>
              <w:t>Valuation Period</w:t>
            </w:r>
            <w:r>
              <w:rPr>
                <w:rFonts w:ascii="Arial" w:cs="Arial" w:eastAsia="Arial" w:hAnsi="Arial"/>
                <w:sz w:val="18"/>
                <w:szCs w:val="18"/>
                <w:color w:val="auto"/>
                <w:w w:val="92"/>
              </w:rPr>
              <w:t>”); provided, that if there is no Last</w:t>
            </w: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2"/>
              </w:rPr>
              <w:t>Reported Sale Price of the Capital Stock or similar equity interest distributed to the holders of the Common Shares on such Ex-Dividend</w:t>
            </w:r>
          </w:p>
        </w:tc>
      </w:tr>
      <w:tr>
        <w:trPr>
          <w:trHeight w:val="216"/>
        </w:trPr>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w w:val="94"/>
              </w:rPr>
              <w:t>Date, the “Valuation Period” shall be the first ten consecutive Trading Day period after, and including, the first Trading Day such Last</w:t>
            </w:r>
          </w:p>
        </w:tc>
      </w:tr>
      <w:tr>
        <w:trPr>
          <w:trHeight w:val="230"/>
        </w:trPr>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Reported Sale Price is available; and</w:t>
            </w:r>
          </w:p>
        </w:tc>
      </w:tr>
      <w:tr>
        <w:trPr>
          <w:trHeight w:val="343"/>
        </w:trPr>
        <w:tc>
          <w:tcPr>
            <w:tcW w:w="58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280" w:type="dxa"/>
            <w:vAlign w:val="bottom"/>
            <w:gridSpan w:val="5"/>
          </w:tcPr>
          <w:p>
            <w:pPr>
              <w:ind w:left="100"/>
              <w:spacing w:after="0"/>
              <w:rPr>
                <w:sz w:val="20"/>
                <w:szCs w:val="20"/>
                <w:color w:val="auto"/>
              </w:rPr>
            </w:pPr>
            <w:r>
              <w:rPr>
                <w:rFonts w:ascii="Arial" w:cs="Arial" w:eastAsia="Arial" w:hAnsi="Arial"/>
                <w:sz w:val="18"/>
                <w:szCs w:val="18"/>
                <w:color w:val="auto"/>
              </w:rPr>
              <w:t>= the average of the Last Reported Sale Prices of the Common Shares over the Valuation Period.</w:t>
            </w:r>
          </w:p>
        </w:tc>
      </w:tr>
    </w:tbl>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subject in all respect to Section 14.11), rights, options or warrants distributed by the Borrower to all holders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Common Shares entitling them to subscribe for or purchase shares of the Borrower’s Capital Stock, including Common Shares (either initially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certain circumstances), which rights, options or warrants, until the occurrence of a specified event or events (a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transferred with such shares of the Common Shares, (ii) are not exercisable and (iii) are also issued in respect of future issuances of the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Shares, shall be deemed not to have been distributed for purposes of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(and no adjustment to the Conversion Rate under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be required) until the occurrence of the earliest Trigger Event, whereupon such rights, options or warrants shall be deemed to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been distributed and an appropriate adjustment (if any is required) to the Conversion Rate shall be made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If any such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or warrant, including any such existing rights, options or warrants distributed prior to the Effective Date, are subject to events, on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which such rights, options or warrants become exercisable to purchase different securities, evidences of indebtedness or other assets, then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occurrence of any and each such event shall be deemed to be the date of distribution and Ex-Dividend Date with respect to new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with such rights (in which case the existing rights, options or warrants shall be deemed to terminate and expire on such date without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of the holders thereof). In addition, in the event of any distribution (or deemed distribution) of rights, options or warrants, or any Trigger Event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other event (of the type described in the immediately preceding sentence) with respect thereto that was counted for purposes of calculating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distribution amount for which an adjustment to the Conversion Rate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was made, (A) in the case of any such rights, options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that shall all have been purchased without exercise by any holders thereof, on such final redemption or purchase (1) the Conversion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readjusted as if such rights, options or warrants had not been issued and (2) the Conversion Rate shall then again be readjusted to give effect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distribution, deemed distribution or Trigger Event, as the case may be, as though it were a cash distribution, equal to the 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 or purchase price received by a holder or holders of Common Shares with respect to such rights, options or warrants (assuming such holder had retained such rights, options or warrants), made to all holders of Common Shares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8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is applicable also includes one or both of:</w:t>
      </w:r>
    </w:p>
    <w:p>
      <w:pPr>
        <w:spacing w:after="0" w:line="58" w:lineRule="exact"/>
        <w:rPr>
          <w:sz w:val="20"/>
          <w:szCs w:val="20"/>
          <w:color w:val="auto"/>
        </w:rPr>
      </w:pPr>
    </w:p>
    <w:p>
      <w:pPr>
        <w:ind w:left="2244" w:hanging="429"/>
        <w:spacing w:after="0"/>
        <w:tabs>
          <w:tab w:leader="none" w:pos="2244"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 dividend or distribution of Common Shares to which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A Distribution</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1424" w:right="1000" w:firstLine="391"/>
        <w:spacing w:after="0" w:line="282" w:lineRule="auto"/>
        <w:tabs>
          <w:tab w:leader="none" w:pos="22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 dividend or distribution of rights, options or warrants to which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is applicable (a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w:t>
      </w: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166"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with respect thereto shall then be made, except that, if determined by the Borrower (I) the “Ex-Dividend Date” of the Clause A Distribution and/or Clause B Distribution shall be deemed to be the Ex-Dividend Date of the Clause C Distribution and (II) any Common Shares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181" w:lineRule="exact"/>
        <w:rPr>
          <w:sz w:val="20"/>
          <w:szCs w:val="20"/>
          <w:color w:val="auto"/>
        </w:rPr>
      </w:pPr>
    </w:p>
    <w:p>
      <w:pPr>
        <w:ind w:left="4" w:right="220" w:firstLine="1979"/>
        <w:spacing w:after="0" w:line="277" w:lineRule="auto"/>
        <w:tabs>
          <w:tab w:leader="none" w:pos="23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134620</wp:posOffset>
            </wp:positionV>
            <wp:extent cx="130302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030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060" w:type="dxa"/>
            <w:vAlign w:val="bottom"/>
          </w:tcPr>
          <w:p>
            <w:pPr>
              <w:spacing w:after="0"/>
              <w:rPr>
                <w:sz w:val="20"/>
                <w:szCs w:val="20"/>
                <w:color w:val="auto"/>
              </w:rPr>
            </w:pPr>
          </w:p>
        </w:tc>
      </w:tr>
      <w:tr>
        <w:trPr>
          <w:trHeight w:val="478"/>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7"/>
              </w:rPr>
              <w:t>the Conversion Rate in effect immediately prior to the open of business on the Ex-Dividend Date for such dividend or distribution;</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9"/>
              </w:rPr>
              <w:t>the Conversion Rate in effect immediately after the open of business on the Ex-Dividend Date for such dividend or distribution;</w:t>
            </w: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60" w:type="dxa"/>
            <w:vAlign w:val="bottom"/>
          </w:tcPr>
          <w:p>
            <w:pPr>
              <w:ind w:left="60"/>
              <w:spacing w:after="0"/>
              <w:rPr>
                <w:sz w:val="20"/>
                <w:szCs w:val="20"/>
                <w:color w:val="auto"/>
              </w:rPr>
            </w:pPr>
            <w:r>
              <w:rPr>
                <w:rFonts w:ascii="Arial" w:cs="Arial" w:eastAsia="Arial" w:hAnsi="Arial"/>
                <w:sz w:val="18"/>
                <w:szCs w:val="18"/>
                <w:color w:val="auto"/>
                <w:w w:val="90"/>
              </w:rPr>
              <w:t>the Last Reported Sale Price of the Common Shares on the Trading Day immediately preceding the Ex-Dividend Date for such dividend or</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60" w:type="dxa"/>
            <w:vAlign w:val="bottom"/>
          </w:tcPr>
          <w:p>
            <w:pPr>
              <w:ind w:left="60"/>
              <w:spacing w:after="0"/>
              <w:rPr>
                <w:sz w:val="20"/>
                <w:szCs w:val="20"/>
                <w:color w:val="auto"/>
              </w:rPr>
            </w:pPr>
            <w:r>
              <w:rPr>
                <w:rFonts w:ascii="Arial" w:cs="Arial" w:eastAsia="Arial" w:hAnsi="Arial"/>
                <w:sz w:val="18"/>
                <w:szCs w:val="18"/>
                <w:color w:val="auto"/>
              </w:rPr>
              <w:t>distribution; and</w:t>
            </w:r>
          </w:p>
        </w:tc>
      </w:tr>
    </w:tbl>
    <w:p>
      <w:pPr>
        <w:spacing w:after="0" w:line="94" w:lineRule="exact"/>
        <w:rPr>
          <w:sz w:val="20"/>
          <w:szCs w:val="20"/>
          <w:color w:val="auto"/>
        </w:rPr>
      </w:pPr>
    </w:p>
    <w:p>
      <w:pPr>
        <w:ind w:left="444" w:hanging="444"/>
        <w:spacing w:after="0"/>
        <w:tabs>
          <w:tab w:leader="none" w:pos="4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 the amount in cash per share the Borrower distributes to all or substantially all holders of the Common Shares.</w:t>
      </w:r>
    </w:p>
    <w:p>
      <w:pPr>
        <w:spacing w:after="0" w:line="225"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13.4(d)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Lenders shall receive, for each $1,000 of the Conversion Amount, at the same time and on the same terms as holders of shares of the Common Shares, the amount of cash that Lenders would have received if Lender owned a number of Common Shares equal to the Conversion Rate in effect on the Ex-Dividend Date for such cash dividend or distribution.</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74" w:right="499" w:bottom="1440" w:gutter="0" w:footer="0" w:header="0"/>
        </w:sectPr>
      </w:pPr>
    </w:p>
    <w:bookmarkStart w:id="27" w:name="page28"/>
    <w:bookmarkEnd w:id="27"/>
    <w:p>
      <w:pPr>
        <w:ind w:right="100" w:firstLine="1979"/>
        <w:spacing w:after="0" w:line="296" w:lineRule="auto"/>
        <w:tabs>
          <w:tab w:leader="none" w:pos="2362"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or any of its Subsidiaries make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share of the Common Shares exceeds the average of the Last Reported Sale Prices of the Common Shares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128905</wp:posOffset>
            </wp:positionV>
            <wp:extent cx="1825625" cy="436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8256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where,</w:t>
            </w:r>
          </w:p>
        </w:tc>
        <w:tc>
          <w:tcPr>
            <w:tcW w:w="10380" w:type="dxa"/>
            <w:vAlign w:val="bottom"/>
          </w:tcPr>
          <w:p>
            <w:pPr>
              <w:spacing w:after="0"/>
              <w:rPr>
                <w:sz w:val="20"/>
                <w:szCs w:val="20"/>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3"/>
              </w:rPr>
              <w:t>the Conversion Rate in effect immediately prior to the close of business on the tenth Trading Day immediately following, and including,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5"/>
              </w:rPr>
              <w:t>the Conversion Rate in effect immediately after the close of business on the tenth Trading Day immediately following, and including,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3"/>
              </w:rPr>
              <w:t>the aggregate value of all cash and any other consideration (as determined by the Borrower in good faith and in a commercially reasonable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manner) paid or payable for Common Shares purchased in such tender or exchange offer;</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3"/>
              </w:rPr>
              <w:t>the number of Common Shares outstanding immediately prior to the date such tender or exchange offer expires (prior to giving effect to the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purchase of all Common Shares accepted for purchase or exchange in such tender or exchange offer);</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89"/>
              </w:rPr>
              <w:t>the number of Common Shares outstanding immediately after the date such tender or exchange offer expires (after giving effect to the purchase</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of all Common Shares accepted for purchase or exchange in such tender or exchange offer); and</w:t>
            </w: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380" w:type="dxa"/>
            <w:vAlign w:val="bottom"/>
          </w:tcPr>
          <w:p>
            <w:pPr>
              <w:ind w:left="60"/>
              <w:spacing w:after="0"/>
              <w:rPr>
                <w:sz w:val="20"/>
                <w:szCs w:val="20"/>
                <w:color w:val="auto"/>
              </w:rPr>
            </w:pPr>
            <w:r>
              <w:rPr>
                <w:rFonts w:ascii="Arial" w:cs="Arial" w:eastAsia="Arial" w:hAnsi="Arial"/>
                <w:sz w:val="18"/>
                <w:szCs w:val="18"/>
                <w:color w:val="auto"/>
                <w:w w:val="95"/>
              </w:rPr>
              <w:t>the average of the Last Reported Sale Prices of the Common Shares over the ten consecutive Trading Day period commencing on, and</w:t>
            </w:r>
          </w:p>
        </w:tc>
      </w:tr>
      <w:tr>
        <w:trPr>
          <w:trHeight w:val="230"/>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ind w:left="6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adjustment to the Conversion Rate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be made if such adjustment would result in a decrease in the Conversion Rate (other than, for the avoidance of doubt, any readjustment described in the immediately succeeding paragraph).</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If the Borrower or one of its Subsidiaries is obligated to purchase the Common Shares pursuant to any such tender or exchange offer described in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but the Borrower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8" w:name="page29"/>
    <w:bookmarkEnd w:id="28"/>
    <w:p>
      <w:pPr>
        <w:ind w:left="-60" w:firstLine="1979"/>
        <w:spacing w:after="0" w:line="272" w:lineRule="auto"/>
        <w:tabs>
          <w:tab w:leader="none" w:pos="2282"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(i) a Conversion Rate adjustment becomes effective on any Ex-Dividend Date, (ii) Lenders have converted their Conversion Amount and the Conversion Date for such conversion occurs on or after such Ex-Dividend Date and on or prior to the related Record Date, (iii) the consideration due on such conversion includes any whole Common Shares based on a Conversion Rate that is adjusted for such Ex-Dividend Date and (iv) such Common Shares would be entitled to participate in such dividend, distribution, or other event giving rise to such adjustment, then the Conversion Rate adjustment relating to such Ex-Dividend Date shall not be made for such conversion, and, instead, the Common Shares issuable on conversion on an unadjusted basis shall be entitled to participate in the related dividend, distribution or other event giving rise to such adjustment.</w:t>
      </w:r>
    </w:p>
    <w:p>
      <w:pPr>
        <w:spacing w:after="0" w:line="177" w:lineRule="exact"/>
        <w:rPr>
          <w:rFonts w:ascii="Arial" w:cs="Arial" w:eastAsia="Arial" w:hAnsi="Arial"/>
          <w:sz w:val="17"/>
          <w:szCs w:val="17"/>
          <w:color w:val="auto"/>
        </w:rPr>
      </w:pPr>
    </w:p>
    <w:p>
      <w:pPr>
        <w:ind w:left="-60" w:right="180" w:firstLine="1979"/>
        <w:spacing w:after="0" w:line="263" w:lineRule="auto"/>
        <w:tabs>
          <w:tab w:leader="none" w:pos="2313"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Except as stated herein, the Borrower shall not adjust the Conversion Rate for the issuance of shares of the Common Shares or any securities convertible into or exchangeable for shares of the Common Shares or the right to purchase shares of the Common Shares or such convertible or exchangeable securities.</w:t>
      </w:r>
    </w:p>
    <w:p>
      <w:pPr>
        <w:spacing w:after="0" w:line="183" w:lineRule="exact"/>
        <w:rPr>
          <w:rFonts w:ascii="Arial" w:cs="Arial" w:eastAsia="Arial" w:hAnsi="Arial"/>
          <w:sz w:val="18"/>
          <w:szCs w:val="18"/>
          <w:color w:val="auto"/>
        </w:rPr>
      </w:pPr>
    </w:p>
    <w:p>
      <w:pPr>
        <w:ind w:left="-60" w:right="60" w:firstLine="1979"/>
        <w:spacing w:after="0" w:line="270" w:lineRule="auto"/>
        <w:tabs>
          <w:tab w:leader="none" w:pos="2313"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Sections 13.4(a)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and to the extent permitted by applicable law and subject to the applicable rules of any exchange on which any of the Borrower’s securities are then listed, the Borrower from time to time may increase the Conversion Rate by any amount for a period of at least 20 Business Days if the Board determines that such increase would be in the Borrower’s best interest. In addition, to the extent permitted by applicable law and subject to the applicable rules of any exchange on which any of the Borrower’s securities are then listed, the Borrower may (but is not required to) increase the Conversion Rate to avoid or diminish income tax to holders of Common Shares or rights to purchase Common Shares in connection with a dividend or distribution of Common Shares (or rights to acquire Common Shares) or similar event. Whenever the Conversion Rate is increased pursuant to either of the preceding two sentences, the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180" w:lineRule="exact"/>
        <w:rPr>
          <w:rFonts w:ascii="Arial" w:cs="Arial" w:eastAsia="Arial" w:hAnsi="Arial"/>
          <w:sz w:val="17"/>
          <w:szCs w:val="17"/>
          <w:color w:val="auto"/>
        </w:rPr>
      </w:pPr>
    </w:p>
    <w:p>
      <w:pPr>
        <w:ind w:left="-60" w:right="20" w:firstLine="1979"/>
        <w:spacing w:after="0" w:line="291" w:lineRule="auto"/>
        <w:tabs>
          <w:tab w:leader="none" w:pos="227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If the Borrower has a stockholder rights plan in effect on conversion of any portion of the Conversion Amount, each share of Common Shares, if any, issued on such conversion shall be entitled to receive the appropriate number of rights, if any, and the certificates representing the Common Shares issued on such conversion shall bear such legends, if any, in each case as may be provided by the terms of any such stockholder rights plan, as the same may be amended from time to time. However, if, prior to any conversion of any portion of the Conversion Amount, the rights have separated from the Common Shares in accordance with the provisions of the applicable stockholder rights plan, the Conversion Rate shall be adjusted at the time of separation as if the Borrower distributed to all or substantially all holders of the Common Shares Distributed Property as provided in </w:t>
      </w:r>
      <w:r>
        <w:rPr>
          <w:rFonts w:ascii="Arial" w:cs="Arial" w:eastAsia="Arial" w:hAnsi="Arial"/>
          <w:sz w:val="16"/>
          <w:szCs w:val="16"/>
          <w:u w:val="single" w:color="auto"/>
          <w:color w:val="auto"/>
        </w:rPr>
        <w:t>Section 13.4(i)</w:t>
      </w:r>
      <w:r>
        <w:rPr>
          <w:rFonts w:ascii="Arial" w:cs="Arial" w:eastAsia="Arial" w:hAnsi="Arial"/>
          <w:sz w:val="16"/>
          <w:szCs w:val="16"/>
          <w:color w:val="auto"/>
        </w:rPr>
        <w:t>, subject to readjustment in the event of the expiration, termination or redemption of such rights.</w:t>
      </w:r>
    </w:p>
    <w:p>
      <w:pPr>
        <w:spacing w:after="0" w:line="166" w:lineRule="exact"/>
        <w:rPr>
          <w:rFonts w:ascii="Arial" w:cs="Arial" w:eastAsia="Arial" w:hAnsi="Arial"/>
          <w:sz w:val="16"/>
          <w:szCs w:val="16"/>
          <w:color w:val="auto"/>
        </w:rPr>
      </w:pPr>
    </w:p>
    <w:p>
      <w:pPr>
        <w:ind w:left="2260" w:hanging="341"/>
        <w:spacing w:after="0"/>
        <w:tabs>
          <w:tab w:leader="none" w:pos="2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13.4(j)</w:t>
      </w:r>
      <w:r>
        <w:rPr>
          <w:rFonts w:ascii="Arial" w:cs="Arial" w:eastAsia="Arial" w:hAnsi="Arial"/>
          <w:sz w:val="18"/>
          <w:szCs w:val="18"/>
          <w:color w:val="auto"/>
        </w:rPr>
        <w:t>, the Conversion Rate shall not be adjusted:</w:t>
      </w:r>
    </w:p>
    <w:p>
      <w:pPr>
        <w:spacing w:after="0" w:line="225" w:lineRule="exact"/>
        <w:rPr>
          <w:rFonts w:ascii="Arial" w:cs="Arial" w:eastAsia="Arial" w:hAnsi="Arial"/>
          <w:sz w:val="18"/>
          <w:szCs w:val="18"/>
          <w:color w:val="auto"/>
        </w:rPr>
      </w:pPr>
    </w:p>
    <w:p>
      <w:pPr>
        <w:ind w:left="-60" w:right="40" w:firstLine="2419"/>
        <w:spacing w:after="0" w:line="277" w:lineRule="auto"/>
        <w:tabs>
          <w:tab w:leader="none" w:pos="271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on the issuance of Common Shares at a price below the Initial Company Share Price or otherwise, other than any such issuance described in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0" w:right="100" w:firstLine="2419"/>
        <w:spacing w:after="0" w:line="342" w:lineRule="auto"/>
        <w:tabs>
          <w:tab w:leader="none" w:pos="2763" w:val="left"/>
        </w:tabs>
        <w:numPr>
          <w:ilvl w:val="1"/>
          <w:numId w:val="67"/>
        </w:numPr>
        <w:rPr>
          <w:rFonts w:ascii="Arial" w:cs="Arial" w:eastAsia="Arial" w:hAnsi="Arial"/>
          <w:sz w:val="16"/>
          <w:szCs w:val="16"/>
          <w:color w:val="auto"/>
        </w:rPr>
      </w:pPr>
      <w:r>
        <w:rPr>
          <w:rFonts w:ascii="Arial" w:cs="Arial" w:eastAsia="Arial" w:hAnsi="Arial"/>
          <w:sz w:val="16"/>
          <w:szCs w:val="16"/>
          <w:color w:val="auto"/>
        </w:rPr>
        <w:t>on the issuance of any Common Shares pursuant to any present or future plan providing for the reinvestment of dividends or interest payable on the Borrower’s securities and the investment of additional optional amounts in Common Shares under any plan;</w:t>
      </w:r>
    </w:p>
    <w:p>
      <w:pPr>
        <w:spacing w:after="0" w:line="123" w:lineRule="exact"/>
        <w:rPr>
          <w:rFonts w:ascii="Arial" w:cs="Arial" w:eastAsia="Arial" w:hAnsi="Arial"/>
          <w:sz w:val="16"/>
          <w:szCs w:val="16"/>
          <w:color w:val="auto"/>
        </w:rPr>
      </w:pPr>
    </w:p>
    <w:p>
      <w:pPr>
        <w:jc w:val="both"/>
        <w:ind w:left="-60" w:right="100" w:firstLine="2419"/>
        <w:spacing w:after="0" w:line="311" w:lineRule="auto"/>
        <w:tabs>
          <w:tab w:leader="none" w:pos="2813" w:val="left"/>
        </w:tabs>
        <w:numPr>
          <w:ilvl w:val="1"/>
          <w:numId w:val="67"/>
        </w:numPr>
        <w:rPr>
          <w:rFonts w:ascii="Arial" w:cs="Arial" w:eastAsia="Arial" w:hAnsi="Arial"/>
          <w:sz w:val="16"/>
          <w:szCs w:val="16"/>
          <w:color w:val="auto"/>
        </w:rPr>
      </w:pPr>
      <w:r>
        <w:rPr>
          <w:rFonts w:ascii="Arial" w:cs="Arial" w:eastAsia="Arial" w:hAnsi="Arial"/>
          <w:sz w:val="16"/>
          <w:szCs w:val="16"/>
          <w:color w:val="auto"/>
        </w:rPr>
        <w:t>on the issuance of any Common Shares or options or rights to purchase those shares pursuant to any present or future employee, director or consultant benefit or incentive plan (including pursuant to any evergreen plan) or program of or assumed by the Borrower or any of the Borrower’s Subsidiaries or in connection with any such shares withheld by the Borrower for tax withholding purposes;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500" w:top="274" w:right="519" w:bottom="1440" w:gutter="0" w:footer="0" w:header="0"/>
        </w:sectPr>
      </w:pPr>
    </w:p>
    <w:bookmarkStart w:id="29" w:name="page30"/>
    <w:bookmarkEnd w:id="29"/>
    <w:p>
      <w:pPr>
        <w:ind w:right="280" w:firstLine="2419"/>
        <w:spacing w:after="0" w:line="277" w:lineRule="auto"/>
        <w:tabs>
          <w:tab w:leader="none" w:pos="2863"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issuance of any Common Shares pursuant to any option, warrant, right or exercisable, exchangeable or convertible security not described in clause (ii) of this subsection and outstanding as of the Effective Date;</w:t>
      </w:r>
    </w:p>
    <w:p>
      <w:pPr>
        <w:spacing w:after="0" w:line="170" w:lineRule="exact"/>
        <w:rPr>
          <w:rFonts w:ascii="Arial" w:cs="Arial" w:eastAsia="Arial" w:hAnsi="Arial"/>
          <w:sz w:val="18"/>
          <w:szCs w:val="18"/>
          <w:color w:val="auto"/>
        </w:rPr>
      </w:pPr>
    </w:p>
    <w:p>
      <w:pPr>
        <w:ind w:right="620" w:firstLine="2419"/>
        <w:spacing w:after="0" w:line="277" w:lineRule="auto"/>
        <w:tabs>
          <w:tab w:leader="none" w:pos="28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Borrower or one or more of the Borrower’s Subsidiaries as described in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80" w:firstLine="2419"/>
        <w:spacing w:after="0" w:line="259" w:lineRule="auto"/>
        <w:tabs>
          <w:tab w:leader="none" w:pos="2863"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on the repurchase of any shares of the Common Shares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900" w:hanging="481"/>
        <w:spacing w:after="0"/>
        <w:tabs>
          <w:tab w:leader="none" w:pos="2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Shares; or</w:t>
      </w:r>
    </w:p>
    <w:p>
      <w:pPr>
        <w:spacing w:after="0" w:line="225" w:lineRule="exact"/>
        <w:rPr>
          <w:rFonts w:ascii="Arial" w:cs="Arial" w:eastAsia="Arial" w:hAnsi="Arial"/>
          <w:sz w:val="18"/>
          <w:szCs w:val="18"/>
          <w:color w:val="auto"/>
        </w:rPr>
      </w:pPr>
    </w:p>
    <w:p>
      <w:pPr>
        <w:ind w:left="2960" w:hanging="541"/>
        <w:spacing w:after="0"/>
        <w:tabs>
          <w:tab w:leader="none" w:pos="2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right="40" w:firstLine="1979"/>
        <w:spacing w:after="0" w:line="271" w:lineRule="auto"/>
        <w:tabs>
          <w:tab w:leader="none" w:pos="236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The Borrower shall not adjust the Conversion Rate pursuant to the clauses above unless the adjustment would result in a change of at least 1% in the then effective Conversion Rate;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carry forward any adjustment to the Conversion Rate that the Borrower would otherwise have to make and take that adjustment into account in any subsequent adjustment. Notwithstanding the foregoing, all such carried-forward adjustments shall be made with respect to the Conversion Amount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7"/>
          <w:szCs w:val="17"/>
          <w:u w:val="single" w:color="auto"/>
          <w:color w:val="auto"/>
        </w:rPr>
        <w:t>Section 13.4(k)</w:t>
      </w:r>
      <w:r>
        <w:rPr>
          <w:rFonts w:ascii="Arial" w:cs="Arial" w:eastAsia="Arial" w:hAnsi="Arial"/>
          <w:sz w:val="17"/>
          <w:szCs w:val="17"/>
          <w:color w:val="auto"/>
        </w:rPr>
        <w:t xml:space="preserve"> are referred to as the “</w:t>
      </w:r>
      <w:r>
        <w:rPr>
          <w:rFonts w:ascii="Arial" w:cs="Arial" w:eastAsia="Arial" w:hAnsi="Arial"/>
          <w:sz w:val="17"/>
          <w:szCs w:val="17"/>
          <w:b w:val="1"/>
          <w:bCs w:val="1"/>
          <w:color w:val="auto"/>
        </w:rPr>
        <w:t>1% Exception</w:t>
      </w:r>
      <w:r>
        <w:rPr>
          <w:rFonts w:ascii="Arial" w:cs="Arial" w:eastAsia="Arial" w:hAnsi="Arial"/>
          <w:sz w:val="17"/>
          <w:szCs w:val="17"/>
          <w:color w:val="auto"/>
        </w:rPr>
        <w:t xml:space="preserve">”. All calculations and other determinations under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shall be made by the Borrower and shall be made to the nearest 1/10,000th of a share.</w:t>
      </w:r>
    </w:p>
    <w:p>
      <w:pPr>
        <w:spacing w:after="0" w:line="178" w:lineRule="exact"/>
        <w:rPr>
          <w:rFonts w:ascii="Arial" w:cs="Arial" w:eastAsia="Arial" w:hAnsi="Arial"/>
          <w:sz w:val="17"/>
          <w:szCs w:val="17"/>
          <w:color w:val="auto"/>
        </w:rPr>
      </w:pPr>
    </w:p>
    <w:p>
      <w:pPr>
        <w:ind w:right="280" w:firstLine="1979"/>
        <w:spacing w:after="0" w:line="263" w:lineRule="auto"/>
        <w:tabs>
          <w:tab w:leader="none" w:pos="23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Borrower shall promptly deliver to Lenders an Officers’ Certificate setting forth the Conversion Rate after such adjustment and setting forth a brief statement of the facts requiring such adjustment. Failure to deliver such notice shall not affect the legality or validity of any such adjustment.</w:t>
      </w:r>
    </w:p>
    <w:p>
      <w:pPr>
        <w:spacing w:after="0" w:line="183" w:lineRule="exact"/>
        <w:rPr>
          <w:rFonts w:ascii="Arial" w:cs="Arial" w:eastAsia="Arial" w:hAnsi="Arial"/>
          <w:sz w:val="18"/>
          <w:szCs w:val="18"/>
          <w:color w:val="auto"/>
        </w:rPr>
      </w:pPr>
    </w:p>
    <w:p>
      <w:pPr>
        <w:ind w:right="140" w:firstLine="1979"/>
        <w:spacing w:after="0" w:line="311" w:lineRule="auto"/>
        <w:tabs>
          <w:tab w:leader="none" w:pos="2423"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the number of Common Shares at any time outstanding shall not include Common Shares held in the treasury of the Borrower so long as the Borrower does not pay any dividend or make any distribution on Common Shares held in the treasury of the Borrower, but shall include Common Shares issuable in respect of scrip certificates issued in lieu of fractions of Common Shares.</w:t>
      </w:r>
    </w:p>
    <w:p>
      <w:pPr>
        <w:spacing w:after="0" w:line="14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Reorganization Events.</w:t>
      </w:r>
    </w:p>
    <w:p>
      <w:pPr>
        <w:spacing w:after="0" w:line="229" w:lineRule="exact"/>
        <w:rPr>
          <w:sz w:val="20"/>
          <w:szCs w:val="20"/>
          <w:color w:val="auto"/>
        </w:rPr>
      </w:pPr>
    </w:p>
    <w:p>
      <w:pPr>
        <w:ind w:left="2360" w:hanging="381"/>
        <w:spacing w:after="0"/>
        <w:tabs>
          <w:tab w:leader="none" w:pos="23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225" w:lineRule="exact"/>
        <w:rPr>
          <w:rFonts w:ascii="Arial" w:cs="Arial" w:eastAsia="Arial" w:hAnsi="Arial"/>
          <w:sz w:val="18"/>
          <w:szCs w:val="18"/>
          <w:color w:val="auto"/>
        </w:rPr>
      </w:pPr>
    </w:p>
    <w:p>
      <w:pPr>
        <w:ind w:right="560" w:firstLine="2419"/>
        <w:spacing w:after="0" w:line="263" w:lineRule="auto"/>
        <w:tabs>
          <w:tab w:leader="none" w:pos="277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Borrower with or into another Person, in each case, pursuant to which at least a majority of the Common Shares is changed or converted into, or exchanged for, cash, securities or other property of the Borrower or another Person;</w:t>
      </w:r>
    </w:p>
    <w:p>
      <w:pPr>
        <w:spacing w:after="0" w:line="183" w:lineRule="exact"/>
        <w:rPr>
          <w:rFonts w:ascii="Arial" w:cs="Arial" w:eastAsia="Arial" w:hAnsi="Arial"/>
          <w:sz w:val="18"/>
          <w:szCs w:val="18"/>
          <w:color w:val="auto"/>
        </w:rPr>
      </w:pPr>
    </w:p>
    <w:p>
      <w:pPr>
        <w:jc w:val="both"/>
        <w:ind w:firstLine="2419"/>
        <w:spacing w:after="0" w:line="263" w:lineRule="auto"/>
        <w:tabs>
          <w:tab w:leader="none" w:pos="282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consolidated assets of the Borrower and its Subsidiaries, taken as a whole, in each case pursuant to which the Common Shares are converted into cash, securities or other property; or</w:t>
      </w:r>
    </w:p>
    <w:p>
      <w:pPr>
        <w:spacing w:after="0" w:line="183" w:lineRule="exact"/>
        <w:rPr>
          <w:rFonts w:ascii="Arial" w:cs="Arial" w:eastAsia="Arial" w:hAnsi="Arial"/>
          <w:sz w:val="18"/>
          <w:szCs w:val="18"/>
          <w:color w:val="auto"/>
        </w:rPr>
      </w:pPr>
    </w:p>
    <w:p>
      <w:pPr>
        <w:ind w:right="560" w:firstLine="2419"/>
        <w:spacing w:after="0" w:line="308" w:lineRule="auto"/>
        <w:tabs>
          <w:tab w:leader="none" w:pos="2873"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statutory exchange of securities of the Borrower with another Person (other than in connection with a merger or acquisition) or reclassification, recapitalization or reorganization of the Common Shares into other securities;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 the Conversion Amount outstanding immediately prior to such Reorganization Event (to the extent Lenders have not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elected a Lender Repurchase Right in accordance with Section 13.5(c)(ii)) shall, without the consent of Lenders and subject to Section 13.5(d),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automatically become convertible into, in accordance with Section 13.2, the number, kind and amount of securities, cash and other property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(without any interest on such Exchange Property) that Lenders would have received in such Reorganization Event had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their Conversion Amount into the applicable number of Common Shares immediately prior to the effective date of the Reorganization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Conversion Rate applicable immediately prior to the effective date of the Reorganization Event; provided, that the foregoing shall not apply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is a Person with which the Borrower consolidated or into which the Borrower merged or which merged into the Borrower or to which such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transfer was made, as the case may be (any such Person, a “</w:t>
      </w:r>
      <w:r>
        <w:rPr>
          <w:rFonts w:ascii="Arial" w:cs="Arial" w:eastAsia="Arial" w:hAnsi="Arial"/>
          <w:sz w:val="17"/>
          <w:szCs w:val="17"/>
          <w:b w:val="1"/>
          <w:bCs w:val="1"/>
          <w:color w:val="auto"/>
        </w:rPr>
        <w:t>Constituent Person</w:t>
      </w:r>
      <w:r>
        <w:rPr>
          <w:rFonts w:ascii="Arial" w:cs="Arial" w:eastAsia="Arial" w:hAnsi="Arial"/>
          <w:sz w:val="17"/>
          <w:szCs w:val="17"/>
          <w:color w:val="auto"/>
        </w:rPr>
        <w:t>”), or an Affiliate of a Constituent Person, to the extent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Reorganization Event provides for different treatment of Common Shares held by such Constituent Persons or such Affiliate thereof. If the kind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amount of securities, cash and other property receivable on such Reorganization Event is not the same for each share of Common Shares held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such Reorganization Event by a Person (other than a Constituent Person or an Affiliate thereof), then for the purpose of this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13.5(a), the kind and amount of securities, cash and other property receivable on conversion following such Reorganization Event shall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deemed to be the weighted average of the types and amounts of consideration received by the holders of Common Shares.</w:t>
      </w:r>
    </w:p>
    <w:p>
      <w:pPr>
        <w:spacing w:after="0" w:line="211" w:lineRule="exact"/>
        <w:rPr>
          <w:sz w:val="20"/>
          <w:szCs w:val="20"/>
          <w:color w:val="auto"/>
        </w:rPr>
      </w:pPr>
    </w:p>
    <w:p>
      <w:pPr>
        <w:jc w:val="both"/>
        <w:ind w:right="520" w:firstLine="1979"/>
        <w:spacing w:after="0" w:line="263" w:lineRule="auto"/>
        <w:tabs>
          <w:tab w:leader="none" w:pos="237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The above provisions of this Section 13.5 shall similarly apply to successive Reorganization Events and the provisions of Section 13.4 shall apply to any shares of Capital Stock (as though such Capital Stock were Common Shares) received by the holders of the Common Shares in any such Reorganization Event.</w:t>
      </w:r>
    </w:p>
    <w:p>
      <w:pPr>
        <w:spacing w:after="0" w:line="183" w:lineRule="exact"/>
        <w:rPr>
          <w:rFonts w:ascii="Arial" w:cs="Arial" w:eastAsia="Arial" w:hAnsi="Arial"/>
          <w:sz w:val="18"/>
          <w:szCs w:val="18"/>
          <w:color w:val="auto"/>
        </w:rPr>
      </w:pPr>
    </w:p>
    <w:p>
      <w:pPr>
        <w:ind w:left="2360" w:hanging="381"/>
        <w:spacing w:after="0"/>
        <w:tabs>
          <w:tab w:leader="none" w:pos="23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 Lender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419"/>
        <w:spacing w:after="0" w:line="257" w:lineRule="auto"/>
        <w:tabs>
          <w:tab w:leader="none" w:pos="2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Borrower (or any successor) shall, no less than 20 days prior to the anticipated effective date of any Reorganization Event, provide written notice to Lenders of such anticipated occurrence of such event and of the kind and amount of the cash, securities or other property that constitutes the Exchange Property (the “</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nothing in this Section 13.5(c) shall require the Borrower to deliver such notice to Lenders prior to the public announcement of such anticipated Reorganization Event. Failure to deliver such notice shall not affect the operation of this Section 13.5.</w:t>
      </w:r>
    </w:p>
    <w:p>
      <w:pPr>
        <w:spacing w:after="0" w:line="187" w:lineRule="exact"/>
        <w:rPr>
          <w:rFonts w:ascii="Arial" w:cs="Arial" w:eastAsia="Arial" w:hAnsi="Arial"/>
          <w:sz w:val="18"/>
          <w:szCs w:val="18"/>
          <w:color w:val="auto"/>
        </w:rPr>
      </w:pPr>
    </w:p>
    <w:p>
      <w:pPr>
        <w:ind w:right="60" w:firstLine="2419"/>
        <w:spacing w:after="0" w:line="293" w:lineRule="auto"/>
        <w:tabs>
          <w:tab w:leader="none" w:pos="2823" w:val="left"/>
        </w:tabs>
        <w:numPr>
          <w:ilvl w:val="1"/>
          <w:numId w:val="71"/>
        </w:numPr>
        <w:rPr>
          <w:rFonts w:ascii="Arial" w:cs="Arial" w:eastAsia="Arial" w:hAnsi="Arial"/>
          <w:sz w:val="16"/>
          <w:szCs w:val="16"/>
          <w:color w:val="auto"/>
        </w:rPr>
      </w:pPr>
      <w:r>
        <w:rPr>
          <w:rFonts w:ascii="Arial" w:cs="Arial" w:eastAsia="Arial" w:hAnsi="Arial"/>
          <w:sz w:val="16"/>
          <w:szCs w:val="16"/>
          <w:color w:val="auto"/>
        </w:rPr>
        <w:t>Upon receipt of the Reorganization Event Notice, Lenders will have the right to require the Borrower to repurchase the Loan (the “</w:t>
      </w:r>
      <w:r>
        <w:rPr>
          <w:rFonts w:ascii="Arial" w:cs="Arial" w:eastAsia="Arial" w:hAnsi="Arial"/>
          <w:sz w:val="16"/>
          <w:szCs w:val="16"/>
          <w:b w:val="1"/>
          <w:bCs w:val="1"/>
          <w:color w:val="auto"/>
        </w:rPr>
        <w:t>Lender Repurchase Right</w:t>
      </w:r>
      <w:r>
        <w:rPr>
          <w:rFonts w:ascii="Arial" w:cs="Arial" w:eastAsia="Arial" w:hAnsi="Arial"/>
          <w:sz w:val="16"/>
          <w:szCs w:val="16"/>
          <w:color w:val="auto"/>
        </w:rPr>
        <w:t xml:space="preserve">”) at a repurchase price equal to (i) 100% of the Outstanding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accrued and unpaid interest to, but excluding, the effective date of the Reorganization Event (the “</w:t>
      </w:r>
      <w:r>
        <w:rPr>
          <w:rFonts w:ascii="Arial" w:cs="Arial" w:eastAsia="Arial" w:hAnsi="Arial"/>
          <w:sz w:val="16"/>
          <w:szCs w:val="16"/>
          <w:b w:val="1"/>
          <w:bCs w:val="1"/>
          <w:color w:val="auto"/>
        </w:rPr>
        <w:t>Repurchase Price</w:t>
      </w:r>
      <w:r>
        <w:rPr>
          <w:rFonts w:ascii="Arial" w:cs="Arial" w:eastAsia="Arial" w:hAnsi="Arial"/>
          <w:sz w:val="16"/>
          <w:szCs w:val="16"/>
          <w:color w:val="auto"/>
        </w:rPr>
        <w:t>”). To elect the Lender Repurchase Right, the Lenders shall notify Borrower of such election in writing at least three Business Days prior to the later of (i) the anticipated effective date of the Reorganization Event specified in the Reorganization Event Notice, or (ii) the actual effective date of such Reorganization Event. To the extent Lenders exercises their Lender Repurchase Right, payment of the Repurchase Price shall be made to Lenders on the effective date of the Reorganization Event.</w:t>
      </w:r>
    </w:p>
    <w:p>
      <w:pPr>
        <w:spacing w:after="0" w:line="164" w:lineRule="exact"/>
        <w:rPr>
          <w:rFonts w:ascii="Arial" w:cs="Arial" w:eastAsia="Arial" w:hAnsi="Arial"/>
          <w:sz w:val="16"/>
          <w:szCs w:val="16"/>
          <w:color w:val="auto"/>
        </w:rPr>
      </w:pPr>
    </w:p>
    <w:p>
      <w:pPr>
        <w:ind w:right="60" w:firstLine="1979"/>
        <w:spacing w:after="0" w:line="273" w:lineRule="auto"/>
        <w:tabs>
          <w:tab w:leader="none" w:pos="237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The Borrower shall not enter into any agreement for a transaction constituting a Reorganization Event unless (i) such agreement provides for or does not interfere with or prevent (as applicable) conversion of the Conversion Amount into the Exchange Property in a manner that is consistent with and gives effect to this Section 13.5 and (ii) to the extent that the Borrower is not the surviving corporation in such Reorganization Event or shall be dissolved in connection with such Reorganization Event, proper provision shall be made in the agreements governing such Reorganization Event for the conversion of the Conversion Amount into stock of the Person surviving such Reorganization Event or such other continuing entity in such Reorganization Event.</w:t>
      </w:r>
    </w:p>
    <w:p>
      <w:pPr>
        <w:spacing w:after="0" w:line="174"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6"/>
          <w:szCs w:val="16"/>
          <w:b w:val="1"/>
          <w:bCs w:val="1"/>
          <w:color w:val="auto"/>
        </w:rPr>
        <w:t>Certain Covenants.</w:t>
      </w:r>
    </w:p>
    <w:p>
      <w:pPr>
        <w:spacing w:after="0" w:line="229" w:lineRule="exact"/>
        <w:rPr>
          <w:sz w:val="20"/>
          <w:szCs w:val="20"/>
          <w:color w:val="auto"/>
        </w:rPr>
      </w:pPr>
    </w:p>
    <w:p>
      <w:pPr>
        <w:ind w:right="80" w:firstLine="1979"/>
        <w:spacing w:after="0" w:line="277" w:lineRule="auto"/>
        <w:tabs>
          <w:tab w:leader="none" w:pos="23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Borrower covenants that all Common Shares issued upon conversion of the Conversion Amount will be fully paid and non-assessable by the Borrower and free from all taxes, liens and charges with respect to the issue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0" w:right="479" w:bottom="1440" w:gutter="0" w:footer="0" w:header="0"/>
        </w:sectPr>
      </w:pPr>
    </w:p>
    <w:bookmarkStart w:id="31" w:name="page32"/>
    <w:bookmarkEnd w:id="31"/>
    <w:p>
      <w:pPr>
        <w:ind w:left="-20" w:right="20" w:firstLine="1979"/>
        <w:spacing w:after="0" w:line="259" w:lineRule="auto"/>
        <w:tabs>
          <w:tab w:leader="none" w:pos="2349"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covenants that, if any Common Shares to be provided for the purpose of conversion of the Conversion Amount hereunder require registration with or approval of any governmental authority under any federal or state law before such Common Shares may be validly issued upon conversion, the Borrower will, to the extent then permitted by the rules and interpretations of the SEC, secure such registration or approval, as the case may be.</w:t>
      </w:r>
    </w:p>
    <w:p>
      <w:pPr>
        <w:spacing w:after="0" w:line="186" w:lineRule="exact"/>
        <w:rPr>
          <w:rFonts w:ascii="Arial" w:cs="Arial" w:eastAsia="Arial" w:hAnsi="Arial"/>
          <w:sz w:val="18"/>
          <w:szCs w:val="18"/>
          <w:color w:val="auto"/>
        </w:rPr>
      </w:pPr>
    </w:p>
    <w:p>
      <w:pPr>
        <w:ind w:left="-20" w:right="280" w:firstLine="1979"/>
        <w:spacing w:after="0" w:line="263" w:lineRule="auto"/>
        <w:tabs>
          <w:tab w:leader="none" w:pos="23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Borrower further covenants that if at any time the Common Shares shall be listed on any national securities exchange or automated quotation system the Borrower will list and keep listed, so long as the Common Shares shall be so listed on such exchange or automated quotation system, any Common Shares issuable upon conversion of the Conversion Amount.</w:t>
      </w:r>
    </w:p>
    <w:p>
      <w:pPr>
        <w:spacing w:after="0" w:line="18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6"/>
          <w:szCs w:val="16"/>
          <w:b w:val="1"/>
          <w:bCs w:val="1"/>
          <w:color w:val="auto"/>
        </w:rPr>
        <w:t xml:space="preserve">Investor Representations. </w:t>
      </w:r>
      <w:r>
        <w:rPr>
          <w:rFonts w:ascii="Arial" w:cs="Arial" w:eastAsia="Arial" w:hAnsi="Arial"/>
          <w:sz w:val="16"/>
          <w:szCs w:val="16"/>
          <w:color w:val="auto"/>
        </w:rPr>
        <w:t>Each Lender represents and warrants as follows:</w:t>
      </w:r>
    </w:p>
    <w:p>
      <w:pPr>
        <w:spacing w:after="0" w:line="229" w:lineRule="exact"/>
        <w:rPr>
          <w:sz w:val="20"/>
          <w:szCs w:val="20"/>
          <w:color w:val="auto"/>
        </w:rPr>
      </w:pPr>
    </w:p>
    <w:p>
      <w:pPr>
        <w:ind w:left="-20" w:firstLine="1979"/>
        <w:spacing w:after="0" w:line="311" w:lineRule="auto"/>
        <w:tabs>
          <w:tab w:leader="none" w:pos="234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Lender is an “accredited investor” within the meaning of Regulation D of the Securities Act and is able to bear the risk of its investment in the Preferred Shares and Common Shares. Such Lender has such knowledge and experience in financial and business matters that it is capable of evaluating the merits and risks of the conversion of the Conversion Amount into Preferred Shares and Common Shares.</w:t>
      </w:r>
    </w:p>
    <w:p>
      <w:pPr>
        <w:spacing w:after="0" w:line="148" w:lineRule="exact"/>
        <w:rPr>
          <w:rFonts w:ascii="Arial" w:cs="Arial" w:eastAsia="Arial" w:hAnsi="Arial"/>
          <w:sz w:val="16"/>
          <w:szCs w:val="16"/>
          <w:color w:val="auto"/>
        </w:rPr>
      </w:pPr>
    </w:p>
    <w:p>
      <w:pPr>
        <w:ind w:left="-20" w:right="120" w:firstLine="1979"/>
        <w:spacing w:after="0" w:line="270" w:lineRule="auto"/>
        <w:tabs>
          <w:tab w:leader="none" w:pos="2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Lender and its Representatives has been furnished with (i) materials relating to the business, finances and operations of Borrower, (ii) materials relating to the Preferred Shares and Common Shares and (iii) materials relating to the Loan Agreement, in each case, that have been requested by such Lender. Such Lender and its Representatives have been afforded the opportunity to ask questions of Borrower. Neither such inquiries nor any other due diligence investigations conducted at any time by such Lender and its Representatives shall modify, amend or affect such Lender’s right (i) to rely on Borrower’s representations and warranties contained in Section 5 above or (ii) to indemnification or any other remedy based on, or with respect to the accuracy or inaccuracy of, or compliance with, the representations, warranties, covenants and agreements in this Agreement. Each Lender understands that its conversion of the Conversion Amount into Preferred Shares and Common Shares involves a high degree of risk. Such Lender has sought such accounting, legal and tax advice as it has considered necessary to make an informed investment decision with respect to making the Loan.</w:t>
      </w:r>
    </w:p>
    <w:p>
      <w:pPr>
        <w:spacing w:after="0" w:line="180" w:lineRule="exact"/>
        <w:rPr>
          <w:rFonts w:ascii="Arial" w:cs="Arial" w:eastAsia="Arial" w:hAnsi="Arial"/>
          <w:sz w:val="17"/>
          <w:szCs w:val="17"/>
          <w:color w:val="auto"/>
        </w:rPr>
      </w:pPr>
    </w:p>
    <w:p>
      <w:pPr>
        <w:ind w:left="-20" w:right="160" w:firstLine="1979"/>
        <w:spacing w:after="0" w:line="277" w:lineRule="auto"/>
        <w:tabs>
          <w:tab w:leader="none" w:pos="23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Lender understands that any certificate or book-entry position evidencing Preferred Shares and Common Shares will bear the restrictive legend set forth in the Section 12.17 or the certificate of designations for the Preferred Shares.</w:t>
      </w:r>
    </w:p>
    <w:p>
      <w:pPr>
        <w:spacing w:after="0" w:line="170" w:lineRule="exact"/>
        <w:rPr>
          <w:rFonts w:ascii="Arial" w:cs="Arial" w:eastAsia="Arial" w:hAnsi="Arial"/>
          <w:sz w:val="18"/>
          <w:szCs w:val="18"/>
          <w:color w:val="auto"/>
        </w:rPr>
      </w:pPr>
    </w:p>
    <w:p>
      <w:pPr>
        <w:ind w:left="-20" w:right="40" w:firstLine="1979"/>
        <w:spacing w:after="0" w:line="272" w:lineRule="auto"/>
        <w:tabs>
          <w:tab w:leader="none" w:pos="2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Lender is acquiring the Loan for its own account, the account of its Affiliates, or the accounts of clients for whom such Lender exercises discretionary investment authority (all of whom such Lender hereby represents and warrants are “accredited investors” within the meaning of Regulation D of the Securities Act), not as a nominee or agent, and not with a view to distribution in violation of any securities Laws. Such Lender has been advised and understands that the conversion of the Conversion Amount into Preferred Shares or Common Shares, as applicable, will not be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w:t>
      </w:r>
    </w:p>
    <w:p>
      <w:pPr>
        <w:spacing w:after="0" w:line="177" w:lineRule="exact"/>
        <w:rPr>
          <w:rFonts w:ascii="Arial" w:cs="Arial" w:eastAsia="Arial" w:hAnsi="Arial"/>
          <w:sz w:val="17"/>
          <w:szCs w:val="17"/>
          <w:color w:val="auto"/>
        </w:rPr>
      </w:pPr>
    </w:p>
    <w:p>
      <w:pPr>
        <w:jc w:val="both"/>
        <w:ind w:left="-20" w:right="40" w:firstLine="1979"/>
        <w:spacing w:after="0" w:line="259" w:lineRule="auto"/>
        <w:tabs>
          <w:tab w:leader="none" w:pos="23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Lender understands that there is no public trading market for the Preferred Shares, that none is expected to develop and that the Preferred Shares shall be held indefinitely unless and until the Preferred Shares are registered under the Securities Act or an exemption from registration is available. Such Lender has been advised of and is knowledgeable with respect to the provisions of Rule 144 promulgated under the Securities Act.</w:t>
      </w:r>
    </w:p>
    <w:p>
      <w:pPr>
        <w:spacing w:after="0" w:line="186" w:lineRule="exact"/>
        <w:rPr>
          <w:rFonts w:ascii="Arial" w:cs="Arial" w:eastAsia="Arial" w:hAnsi="Arial"/>
          <w:sz w:val="18"/>
          <w:szCs w:val="18"/>
          <w:color w:val="auto"/>
        </w:rPr>
      </w:pPr>
    </w:p>
    <w:p>
      <w:pPr>
        <w:ind w:left="-20" w:right="220" w:firstLine="1979"/>
        <w:spacing w:after="0" w:line="255" w:lineRule="auto"/>
        <w:tabs>
          <w:tab w:leader="none" w:pos="23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obligations of Lender under this Agreement are several and not joint with the obligations of (i) the other Lender under this Agreement and (ii) any lender under that certain Loan Agreement between </w:t>
      </w:r>
      <w:r>
        <w:rPr>
          <w:rFonts w:ascii="Arial" w:cs="Arial" w:eastAsia="Arial" w:hAnsi="Arial"/>
          <w:sz w:val="18"/>
          <w:szCs w:val="18"/>
          <w:b w:val="1"/>
          <w:bCs w:val="1"/>
          <w:color w:val="auto"/>
        </w:rPr>
        <w:t>VIKING GLOBAL OPPORTUNITIES ILLIQUID</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INVESTMENTS SUB-MASTER LP</w:t>
      </w:r>
      <w:r>
        <w:rPr>
          <w:rFonts w:ascii="Arial" w:cs="Arial" w:eastAsia="Arial" w:hAnsi="Arial"/>
          <w:sz w:val="18"/>
          <w:szCs w:val="18"/>
          <w:color w:val="auto"/>
        </w:rPr>
        <w:t>, a Cayman Islands exempted limited partnership,</w:t>
      </w:r>
      <w:r>
        <w:rPr>
          <w:rFonts w:ascii="Arial" w:cs="Arial" w:eastAsia="Arial" w:hAnsi="Arial"/>
          <w:sz w:val="18"/>
          <w:szCs w:val="18"/>
          <w:b w:val="1"/>
          <w:bCs w:val="1"/>
          <w:color w:val="auto"/>
        </w:rPr>
        <w:t xml:space="preserve"> VIKING GLOBAL OPPORTUNITIES DRAWDOWN (AGGREGATOR) LP</w:t>
      </w:r>
      <w:r>
        <w:rPr>
          <w:rFonts w:ascii="Arial" w:cs="Arial" w:eastAsia="Arial" w:hAnsi="Arial"/>
          <w:sz w:val="18"/>
          <w:szCs w:val="18"/>
          <w:color w:val="auto"/>
        </w:rPr>
        <w:t>, a Cayman Islands exempted limited partnership and Borrower dated and effective as of January 23, 2022 (the “</w:t>
      </w:r>
      <w:r>
        <w:rPr>
          <w:rFonts w:ascii="Arial" w:cs="Arial" w:eastAsia="Arial" w:hAnsi="Arial"/>
          <w:sz w:val="18"/>
          <w:szCs w:val="18"/>
          <w:b w:val="1"/>
          <w:bCs w:val="1"/>
          <w:color w:val="auto"/>
        </w:rPr>
        <w:t>Viking Loan Agreement</w:t>
      </w:r>
      <w:r>
        <w:rPr>
          <w:rFonts w:ascii="Arial" w:cs="Arial" w:eastAsia="Arial" w:hAnsi="Arial"/>
          <w:sz w:val="18"/>
          <w:szCs w:val="18"/>
          <w:color w:val="auto"/>
        </w:rPr>
        <w:t>”), and Lender shall not be responsible in any way for the performance of the obligations of any lender under the Viking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herein, and no action taken by any Lender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60" w:top="274" w:right="459" w:bottom="1440" w:gutter="0" w:footer="0" w:header="0"/>
        </w:sectPr>
      </w:pPr>
    </w:p>
    <w:bookmarkStart w:id="32" w:name="page33"/>
    <w:bookmarkEnd w:id="3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hereto or any lender pursuant to the Viking Loan Agreement, shall be deemed to constitute a partnership, an association, a joint venture or any other kind of entity among Lender and any lender under the Viking Loan Agreement, or create a presumption that Lender and any lender under the Viking Loan Agreement are in any way acting in concert or as a group with respect to such obligations or the transactions contemplated by this Agreement or the Viking Loan Agreement. Lender shall be entitled to independently protect and enforce its rights, including the rights arising out of this Agreement, and it shall not be necessary for any lender under the Viking Loan Agreement to be joined as an additional party in any proceeding for such purpose.</w:t>
      </w:r>
    </w:p>
    <w:p>
      <w:pPr>
        <w:spacing w:after="0" w:line="192" w:lineRule="exact"/>
        <w:rPr>
          <w:sz w:val="20"/>
          <w:szCs w:val="20"/>
          <w:color w:val="auto"/>
        </w:rPr>
      </w:pPr>
    </w:p>
    <w:p>
      <w:pPr>
        <w:ind w:right="200" w:firstLine="436"/>
        <w:spacing w:after="0" w:line="263"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 than with its Affiliates, Lenders are not a member of a “group” (as such term is used in Section 13(d) of the Exchange Act) of Persons with respect to any securities of the Company (it being understood that in no event will the lenders under the Viking Loan Agreement or any of their Affiliates be deemed to be Affiliates of Lenders for purposes of this Agreement).</w:t>
      </w:r>
    </w:p>
    <w:p>
      <w:pPr>
        <w:spacing w:after="0" w:line="207"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Notes</w:t>
      </w:r>
      <w:r>
        <w:rPr>
          <w:rFonts w:ascii="Arial" w:cs="Arial" w:eastAsia="Arial" w:hAnsi="Arial"/>
          <w:sz w:val="18"/>
          <w:szCs w:val="18"/>
          <w:color w:val="auto"/>
        </w:rPr>
        <w:t>” are (i) the existing unsecured Indebtedness issued under that certain Indenture between Borrower as issuer and U.S. Bank National Association as Trustee dated as of February 4, 2014, and (ii) that certain First Supplemental Indenture between Borrower as issuer and U.S. Bank National Association as Trustee dated as of February 4, 2014.</w:t>
      </w:r>
    </w:p>
    <w:p>
      <w:pPr>
        <w:spacing w:after="0" w:line="17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Notes</w:t>
      </w:r>
      <w:r>
        <w:rPr>
          <w:rFonts w:ascii="Arial" w:cs="Arial" w:eastAsia="Arial" w:hAnsi="Arial"/>
          <w:sz w:val="18"/>
          <w:szCs w:val="18"/>
          <w:color w:val="auto"/>
        </w:rPr>
        <w:t>” are the existing unsecured Indebtedness issued under that certain Indenture between Borrower as issuer and U.S. Bank National Association as Trustee dated as of November 22, 2019.</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46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Applicable Interest Rate</w:t>
            </w:r>
          </w:p>
        </w:tc>
      </w:tr>
      <w:tr>
        <w:trPr>
          <w:trHeight w:val="175"/>
        </w:trPr>
        <w:tc>
          <w:tcPr>
            <w:tcW w:w="5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From and including the Effective Date to but excluding</w:t>
            </w:r>
          </w:p>
        </w:tc>
        <w:tc>
          <w:tcPr>
            <w:tcW w:w="1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From and including March 1, 2022 to but excluding</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June 1, 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From and including June 1, 2022 to but excluding</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From and including September 1, 2022 and thereafter</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183" w:lineRule="exact"/>
        <w:rPr>
          <w:sz w:val="20"/>
          <w:szCs w:val="20"/>
          <w:color w:val="auto"/>
        </w:rPr>
      </w:pPr>
    </w:p>
    <w:p>
      <w:pPr>
        <w:jc w:val="center"/>
        <w:ind w:right="48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30</w:t>
      </w:r>
    </w:p>
    <w:p>
      <w:pPr>
        <w:sectPr>
          <w:pgSz w:w="11900" w:h="16838" w:orient="portrait"/>
          <w:cols w:equalWidth="0" w:num="1">
            <w:col w:w="11000"/>
          </w:cols>
          <w:pgMar w:left="440" w:top="274" w:right="459" w:bottom="1440" w:gutter="0" w:footer="0" w:header="0"/>
        </w:sectPr>
      </w:pPr>
    </w:p>
    <w:bookmarkStart w:id="33" w:name="page34"/>
    <w:bookmarkEnd w:id="3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business operations or financial condition, and all computer programs or storage or any equipment containing such information.</w:t>
      </w:r>
    </w:p>
    <w:p>
      <w:pPr>
        <w:spacing w:after="0" w:line="116" w:lineRule="exact"/>
        <w:rPr>
          <w:sz w:val="20"/>
          <w:szCs w:val="20"/>
          <w:color w:val="auto"/>
        </w:rPr>
      </w:pPr>
    </w:p>
    <w:p>
      <w:pPr>
        <w:jc w:val="both"/>
        <w:ind w:left="4"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Lender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4" w:right="200" w:hanging="4"/>
        <w:spacing w:after="0" w:line="281"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w:t>
      </w:r>
    </w:p>
    <w:p>
      <w:pPr>
        <w:spacing w:after="0" w:line="2" w:lineRule="exact"/>
        <w:rPr>
          <w:rFonts w:ascii="Arial" w:cs="Arial" w:eastAsia="Arial" w:hAnsi="Arial"/>
          <w:sz w:val="16"/>
          <w:szCs w:val="16"/>
          <w:color w:val="auto"/>
        </w:rPr>
      </w:pPr>
    </w:p>
    <w:p>
      <w:pPr>
        <w:ind w:left="4" w:right="240" w:hanging="4"/>
        <w:spacing w:after="0" w:line="260"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Lender may conclusively rely on such certificate unless and until such Person shall have delivered to Lender a further certificate canceling or amending such prior certificate.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commercial banks are required to close in New York, New York.</w:t>
      </w:r>
    </w:p>
    <w:p>
      <w:pPr>
        <w:spacing w:after="0" w:line="248"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money market funds at least ninety-five percent (95%) of the assets of which constitute Cash Equivalents of the kinds described in clauses (a) through (b) of this definition.</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5" w:lineRule="exact"/>
        <w:rPr>
          <w:sz w:val="20"/>
          <w:szCs w:val="20"/>
          <w:color w:val="auto"/>
        </w:rPr>
      </w:pPr>
    </w:p>
    <w:p>
      <w:pPr>
        <w:ind w:left="4" w:right="140" w:hanging="4"/>
        <w:spacing w:after="0" w:line="273" w:lineRule="auto"/>
        <w:tabs>
          <w:tab w:leader="none" w:pos="269" w:val="left"/>
        </w:tabs>
        <w:numPr>
          <w:ilvl w:val="0"/>
          <w:numId w:val="79"/>
        </w:numPr>
        <w:rPr>
          <w:rFonts w:ascii="Arial" w:cs="Arial" w:eastAsia="Arial" w:hAnsi="Arial"/>
          <w:sz w:val="17"/>
          <w:szCs w:val="17"/>
          <w:color w:val="auto"/>
        </w:rPr>
      </w:pPr>
      <w:r>
        <w:rPr>
          <w:rFonts w:ascii="Arial" w:cs="Arial" w:eastAsia="Arial" w:hAnsi="Arial"/>
          <w:sz w:val="17"/>
          <w:szCs w:val="17"/>
          <w:color w:val="auto"/>
        </w:rPr>
        <w:t>above constituting at the time of such election or nomination at least a majority of that board or equivalent governing body; (c) at any time, Borrower shall cease to own and control, of record and beneficially, directly or indirectly, one hundred percent (100%) of each class of outstanding capital stock of each Subsidiary of Borrower (other than director’s qualifying shares) free and clear of all Liens (other than Permitted Liens); or (d) the occurrence of any “Fundamental Change” under the applicable Indenture governing Permitted Convertible Indebtedness.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0" w:right="47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Clause A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 shares of common stock, $0.001 per value per share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Person</w:t>
      </w:r>
      <w:r>
        <w:rPr>
          <w:rFonts w:ascii="Arial" w:cs="Arial" w:eastAsia="Arial" w:hAnsi="Arial"/>
          <w:sz w:val="18"/>
          <w:szCs w:val="18"/>
          <w:color w:val="auto"/>
        </w:rPr>
        <w:t>” is defined in Section 13.5.</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Outstanding Principal Amount plus all accrued and unpaid interest as of the Conversion Date.</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Cap</w:t>
      </w:r>
      <w:r>
        <w:rPr>
          <w:rFonts w:ascii="Arial" w:cs="Arial" w:eastAsia="Arial" w:hAnsi="Arial"/>
          <w:sz w:val="18"/>
          <w:szCs w:val="18"/>
          <w:color w:val="auto"/>
        </w:rPr>
        <w:t>” means at all times prior to 60 days prior to the Maturity Date, a number of shares of Common Shares not to exceed 9.5% of the number of Common Shares outstanding as of the date hereof (as determined pursuant to Rule 13d-3 under the Securities Exchange Act of 1934, as amended), and at all times, at the Lender’s election, a number of Common Shares not to exceed (collectively for such Lender, together with Lenders that are Affiliates) 19.99% of the number of Common Shares outstanding (calculated in accordance with the listing standards of the Nasdaq Stock Market Rule 5635(b).</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is defined in Section 13.3.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 is defined in Section 13.3.</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in respect of conversion into Common Shares, an initial conversion rate of 352.1126 Common Shares (subject to adjustment as provided herein) per $1,000 Conversion Amount.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is defined in Section 13.4(c).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dividing Person either continuing or terminating its existence as part of such division, including, without limitation, as contemplated under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18-217 of the Delaware Limited Liability Company Act for limited liability companies formed under Delaware law, or any analogous action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taken pursuant to any other applicable law with respect to any corporation, limited liability company, partnership or other entity.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35" w:name="page36"/>
    <w:bookmarkEnd w:id="35"/>
    <w:p>
      <w:pPr>
        <w:ind w:right="2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is defined in Section 13.5.</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Section 2.7, amounts with respect to such Taxes were payable either to such Lender’s assignor immediately before such Lender became a party hereto or to such Lender immediately before it changed its lending office, (c) Taxes attributable to a Lender’s failure to provide tax forms pursuant to Section 2.7, and (d) any withholding Taxes imposed under FATCA.</w:t>
      </w:r>
    </w:p>
    <w:p>
      <w:pPr>
        <w:spacing w:after="0" w:line="16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Common Shares trade on the applicable exchange or in the applicable market, regular way, without the right to receive the issuance, dividend or distribution in question, from the Borrower or, if applicable, from the seller of Common Shares on such exchange or market (in the form of due bills or otherwise) as determined by such exchange or market. For the avoidance of doubt, any alternative trading convention on the applicable exchange or market in respect of Common Shares under a separate ticker symbol or CUSIP number shall not be considered “regular way” for the purposes of this definition.</w:t>
      </w:r>
    </w:p>
    <w:p>
      <w:pPr>
        <w:spacing w:after="0" w:line="183" w:lineRule="exact"/>
        <w:rPr>
          <w:sz w:val="20"/>
          <w:szCs w:val="20"/>
          <w:color w:val="auto"/>
        </w:rPr>
      </w:pPr>
    </w:p>
    <w:p>
      <w:pPr>
        <w:ind w:right="6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of 1986, as amended, as of the date of this Agreement (or any amended or successor version), any current or future regulations or official interpretations thereof, any agreements entered into pursuant to</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Section 1471(b)(1) of the Code and any fiscal or regulatory legislation, rules or practices adopted pursuant to any intergovernmental agreement, treaty or convention among Governmental Authorities and implementing such Sections of the Internal Revenue Code of 1986, as amended.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the date on which the Loan has been made pursuant to Section 3.4(b) of this Agreement.</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0"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each of (i) that certain Indenture between Borrower as issuer and U.S. Bank National Association as Indenture Trustee dated as of November 22, 2019 and (ii) the Indenture between Borrower as issuer and U.S. Bank National Association as Indenture Trustee dated as of February 4, 2014, as supplemented by that certain First Supplemental Indenture between Borrower as issuer and U.S. Bank National Association as Indenture Trustee dated as of February 4, 2014.</w:t>
      </w:r>
    </w:p>
    <w:p>
      <w:pPr>
        <w:spacing w:after="0" w:line="180" w:lineRule="exact"/>
        <w:rPr>
          <w:sz w:val="20"/>
          <w:szCs w:val="20"/>
          <w:color w:val="auto"/>
        </w:rPr>
      </w:pPr>
    </w:p>
    <w:p>
      <w:pPr>
        <w:ind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2220" w:hanging="241"/>
        <w:spacing w:after="0"/>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right="600" w:firstLine="1979"/>
        <w:spacing w:after="0" w:line="277" w:lineRule="auto"/>
        <w:tabs>
          <w:tab w:leader="none" w:pos="2238"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170" w:lineRule="exact"/>
        <w:rPr>
          <w:rFonts w:ascii="Arial" w:cs="Arial" w:eastAsia="Arial" w:hAnsi="Arial"/>
          <w:sz w:val="18"/>
          <w:szCs w:val="18"/>
          <w:color w:val="auto"/>
        </w:rPr>
      </w:pPr>
    </w:p>
    <w:p>
      <w:pPr>
        <w:ind w:left="2220" w:hanging="241"/>
        <w:spacing w:after="0"/>
        <w:tabs>
          <w:tab w:leader="none" w:pos="22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firstLine="1979"/>
        <w:spacing w:after="0" w:line="342" w:lineRule="auto"/>
        <w:tabs>
          <w:tab w:leader="none" w:pos="222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sectPr>
      </w:pPr>
    </w:p>
    <w:bookmarkStart w:id="37" w:name="page38"/>
    <w:bookmarkEnd w:id="37"/>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all amendments, renewals and extensions of any of the Copyrights, Trademarks or Patents.</w:t>
      </w:r>
    </w:p>
    <w:p>
      <w:pPr>
        <w:spacing w:after="0" w:line="22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(or such other security) is traded. If the Common Shares (or such other security) is not listed for trading on a U.S. national or regional securities exchange on the relevant date, the “Last Reported Sale Price” shall be the last quoted bid price for the Common Shares (or such other security) in the over-the-counter market on the relevant date as reported by OTC Markets Group Inc. or a similar organization. If the Common Shares (or such other security) is not so quoted, the “Last Reported Sale Price” shall be the average of the mid-point of the last bid and ask prices per share of the Common Shares (or such other security) on the relevant date from each of at least three nationally recognized independent investment banking firms selected by the Borrower for this purpose. The “Last Reported Sale Price” shall be determined without regard to after-hours trading or any other trading outside of the regular trading session hours.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subordination agreement, any note, or notes or guaranties executed by Borrower or any Guarantor, and any other present or future agreement by Borrower and/or any Guarantor with or for the benefit of Lender pursuant to this Agreement, all as amended, restated, or otherwise modified.</w:t>
      </w:r>
    </w:p>
    <w:p>
      <w:pPr>
        <w:spacing w:after="0" w:line="180"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Maturity Date</w:t>
      </w:r>
      <w:r>
        <w:rPr>
          <w:rFonts w:ascii="Arial" w:cs="Arial" w:eastAsia="Arial" w:hAnsi="Arial"/>
          <w:sz w:val="17"/>
          <w:szCs w:val="17"/>
          <w:color w:val="auto"/>
        </w:rPr>
        <w:t>” is the 91st calendar day after the latest maturity date of the loans (the “</w:t>
      </w:r>
      <w:r>
        <w:rPr>
          <w:rFonts w:ascii="Arial" w:cs="Arial" w:eastAsia="Arial" w:hAnsi="Arial"/>
          <w:sz w:val="17"/>
          <w:szCs w:val="17"/>
          <w:b w:val="1"/>
          <w:bCs w:val="1"/>
          <w:color w:val="auto"/>
        </w:rPr>
        <w:t>Reference Loan Maturity Date</w:t>
      </w:r>
      <w:r>
        <w:rPr>
          <w:rFonts w:ascii="Arial" w:cs="Arial" w:eastAsia="Arial" w:hAnsi="Arial"/>
          <w:sz w:val="17"/>
          <w:szCs w:val="17"/>
          <w:color w:val="auto"/>
        </w:rPr>
        <w:t>”) borrowed pursuant to the SVB Loan and Security Agreement as in effect as of the Effective Date (without giving effect to any amendments, supplements or other modifications to the SVB Loan and Security Agreement after the Effective Date that would extend the Reference Loan Maturity Date to a later date). For the avoidance of doubt, to the extent that the Reference Loan Maturity Date is pulled forward to an earlier maturity date pursuant to the terms of the SVB Loan and Security Agreement as in effect as of the Effective Date, the Loan Maturity Date shall be automatically adjusted to be the 91st day after the then-current maturity date of the Reference Loan Maturity Date.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events:</w:t>
      </w:r>
    </w:p>
    <w:p>
      <w:pPr>
        <w:spacing w:after="0" w:line="27" w:lineRule="exact"/>
        <w:rPr>
          <w:sz w:val="20"/>
          <w:szCs w:val="20"/>
          <w:color w:val="auto"/>
        </w:rPr>
      </w:pPr>
    </w:p>
    <w:p>
      <w:pPr>
        <w:ind w:right="40" w:firstLine="1979"/>
        <w:spacing w:after="0" w:line="292" w:lineRule="auto"/>
        <w:tabs>
          <w:tab w:leader="none" w:pos="2227"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suspension of, or limitation imposed on, trading of the Common Shares or options contracts relating to the Common Shares by any U.S. exchange or quotation system on which the Last Reported Sale Price is determined pursuant to the definition of “Last Reported Sale Price” (the “</w:t>
      </w:r>
      <w:r>
        <w:rPr>
          <w:rFonts w:ascii="Arial" w:cs="Arial" w:eastAsia="Arial" w:hAnsi="Arial"/>
          <w:sz w:val="16"/>
          <w:szCs w:val="16"/>
          <w:b w:val="1"/>
          <w:bCs w:val="1"/>
          <w:i w:val="1"/>
          <w:iCs w:val="1"/>
          <w:color w:val="auto"/>
        </w:rPr>
        <w:t>Relevant Exchange</w:t>
      </w:r>
      <w:r>
        <w:rPr>
          <w:rFonts w:ascii="Arial" w:cs="Arial" w:eastAsia="Arial" w:hAnsi="Arial"/>
          <w:sz w:val="16"/>
          <w:szCs w:val="16"/>
          <w:color w:val="auto"/>
        </w:rPr>
        <w:t>”)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whether by reason of movements in price exceeding limits permitted by the Relevant Exchange or otherwise; or</w:t>
      </w:r>
    </w:p>
    <w:p>
      <w:pPr>
        <w:spacing w:after="0" w:line="162" w:lineRule="exact"/>
        <w:rPr>
          <w:rFonts w:ascii="Arial" w:cs="Arial" w:eastAsia="Arial" w:hAnsi="Arial"/>
          <w:sz w:val="16"/>
          <w:szCs w:val="16"/>
          <w:color w:val="auto"/>
        </w:rPr>
      </w:pPr>
    </w:p>
    <w:p>
      <w:pPr>
        <w:ind w:right="20" w:firstLine="1979"/>
        <w:spacing w:after="0" w:line="257" w:lineRule="auto"/>
        <w:tabs>
          <w:tab w:leader="none" w:pos="223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Borrower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to effect transactions in, or obtain market values for, Common Shares on the Relevant Exchange or to effect transactions in, or obtain market values for, options contracts relating to Common Shares on the Relevant Exchange.</w:t>
      </w:r>
    </w:p>
    <w:p>
      <w:pPr>
        <w:spacing w:after="0" w:line="184"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[reserved]; (b) a material adverse change in the business, operations, or condition (financial or otherwise) of Borrower; or (c) a material impairment of the prospect of repayment of any portion of the Obligations.</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 Expenses and other amounts Borrower owes Lender now or later, whether under this Agreement, the other Loan Documents, or otherwise, including, without limitation, interest accruing after Insolvency Proceedings begin and debts, liabilities, or obligations of Borrower assigned to Lender, and to perform Borrower’s duties under the Loan Documents.</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Borrower,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that is delivered to Lender and that is signed by (a) two Officers of the Borrower or (b) one Officer of the Borrower and one of the Treasurer, any Assistant Treasurer, the Secretary, any Assistant Secretary or the Controller of the Borrower.</w:t>
      </w:r>
    </w:p>
    <w:p>
      <w:pPr>
        <w:spacing w:after="0" w:line="116"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Principal Amount</w:t>
      </w:r>
      <w:r>
        <w:rPr>
          <w:rFonts w:ascii="Arial" w:cs="Arial" w:eastAsia="Arial" w:hAnsi="Arial"/>
          <w:sz w:val="18"/>
          <w:szCs w:val="18"/>
          <w:color w:val="auto"/>
        </w:rPr>
        <w:t>” means the original principal amount of the Loan of $12,500,000 and all accrued interest thereon that has been capitalized pursuant to Section 2.4(a)(ii) hereof.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39" w:name="page40"/>
    <w:bookmarkEnd w:id="39"/>
    <w:p>
      <w:pPr>
        <w:ind w:left="4" w:right="5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166" w:lineRule="exact"/>
        <w:rPr>
          <w:sz w:val="20"/>
          <w:szCs w:val="20"/>
          <w:color w:val="auto"/>
        </w:rPr>
      </w:pPr>
    </w:p>
    <w:p>
      <w:pPr>
        <w:ind w:left="4" w:right="80" w:firstLine="1979"/>
        <w:spacing w:after="0" w:line="277" w:lineRule="auto"/>
        <w:tabs>
          <w:tab w:leader="none" w:pos="22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225" w:lineRule="exact"/>
        <w:rPr>
          <w:rFonts w:ascii="Arial" w:cs="Arial" w:eastAsia="Arial" w:hAnsi="Arial"/>
          <w:sz w:val="18"/>
          <w:szCs w:val="18"/>
          <w:color w:val="auto"/>
        </w:rPr>
      </w:pPr>
    </w:p>
    <w:p>
      <w:pPr>
        <w:ind w:left="4" w:right="380" w:firstLine="1979"/>
        <w:spacing w:after="0" w:line="277" w:lineRule="auto"/>
        <w:tabs>
          <w:tab w:leader="none" w:pos="22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Person or Persons to be acquired shall be solely organized in the United States and shall conduct their principal operations in the United States;</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affect Borrower’s earnings;</w:t>
      </w:r>
    </w:p>
    <w:p>
      <w:pPr>
        <w:spacing w:after="0" w:line="225" w:lineRule="exact"/>
        <w:rPr>
          <w:rFonts w:ascii="Arial" w:cs="Arial" w:eastAsia="Arial" w:hAnsi="Arial"/>
          <w:sz w:val="18"/>
          <w:szCs w:val="18"/>
          <w:color w:val="auto"/>
        </w:rPr>
      </w:pPr>
    </w:p>
    <w:p>
      <w:pPr>
        <w:ind w:left="4" w:right="40" w:firstLine="1979"/>
        <w:spacing w:after="0" w:line="263" w:lineRule="auto"/>
        <w:tabs>
          <w:tab w:leader="none" w:pos="22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w:t>
      </w:r>
    </w:p>
    <w:p>
      <w:pPr>
        <w:spacing w:after="0" w:line="183" w:lineRule="exact"/>
        <w:rPr>
          <w:rFonts w:ascii="Arial" w:cs="Arial" w:eastAsia="Arial" w:hAnsi="Arial"/>
          <w:sz w:val="18"/>
          <w:szCs w:val="18"/>
          <w:color w:val="auto"/>
        </w:rPr>
      </w:pPr>
    </w:p>
    <w:p>
      <w:pPr>
        <w:ind w:left="2244" w:hanging="261"/>
        <w:spacing w:after="0"/>
        <w:tabs>
          <w:tab w:leader="none" w:pos="2244" w:val="left"/>
        </w:tabs>
        <w:numPr>
          <w:ilvl w:val="0"/>
          <w:numId w:val="82"/>
        </w:numPr>
        <w:rPr>
          <w:rFonts w:ascii="Arial" w:cs="Arial" w:eastAsia="Arial" w:hAnsi="Arial"/>
          <w:sz w:val="17"/>
          <w:szCs w:val="17"/>
          <w:color w:val="auto"/>
        </w:rPr>
      </w:pPr>
      <w:r>
        <w:rPr>
          <w:rFonts w:ascii="Arial" w:cs="Arial" w:eastAsia="Arial" w:hAnsi="Arial"/>
          <w:sz w:val="17"/>
          <w:szCs w:val="17"/>
          <w:color w:val="auto"/>
        </w:rPr>
        <w:t>Lender shall have received at least thirty (30) days prior written notice of the closing date for such acquisition;</w:t>
      </w:r>
    </w:p>
    <w:p>
      <w:pPr>
        <w:spacing w:after="0" w:line="236" w:lineRule="exact"/>
        <w:rPr>
          <w:rFonts w:ascii="Arial" w:cs="Arial" w:eastAsia="Arial" w:hAnsi="Arial"/>
          <w:sz w:val="17"/>
          <w:szCs w:val="17"/>
          <w:color w:val="auto"/>
        </w:rPr>
      </w:pPr>
    </w:p>
    <w:p>
      <w:pPr>
        <w:ind w:left="2244" w:hanging="261"/>
        <w:spacing w:after="0"/>
        <w:tabs>
          <w:tab w:leader="none" w:pos="22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225" w:lineRule="exact"/>
        <w:rPr>
          <w:rFonts w:ascii="Arial" w:cs="Arial" w:eastAsia="Arial" w:hAnsi="Arial"/>
          <w:sz w:val="18"/>
          <w:szCs w:val="18"/>
          <w:color w:val="auto"/>
        </w:rPr>
      </w:pPr>
    </w:p>
    <w:p>
      <w:pPr>
        <w:ind w:left="4" w:firstLine="1979"/>
        <w:spacing w:after="0" w:line="277" w:lineRule="auto"/>
        <w:tabs>
          <w:tab w:leader="none" w:pos="22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Indebtedness</w:t>
      </w:r>
      <w:r>
        <w:rPr>
          <w:rFonts w:ascii="Arial" w:cs="Arial" w:eastAsia="Arial" w:hAnsi="Arial"/>
          <w:sz w:val="18"/>
          <w:szCs w:val="18"/>
          <w:color w:val="auto"/>
        </w:rPr>
        <w:t>” means the 2014 Notes and the 2019 Notes.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224" w:hanging="241"/>
        <w:spacing w:after="0"/>
        <w:tabs>
          <w:tab w:leader="none" w:pos="2224" w:val="left"/>
        </w:tabs>
        <w:numPr>
          <w:ilvl w:val="1"/>
          <w:numId w:val="83"/>
        </w:numPr>
        <w:rPr>
          <w:rFonts w:ascii="Arial" w:cs="Arial" w:eastAsia="Arial" w:hAnsi="Arial"/>
          <w:sz w:val="16"/>
          <w:szCs w:val="16"/>
          <w:color w:val="auto"/>
        </w:rPr>
      </w:pPr>
      <w:r>
        <w:rPr>
          <w:rFonts w:ascii="Arial" w:cs="Arial" w:eastAsia="Arial" w:hAnsi="Arial"/>
          <w:sz w:val="16"/>
          <w:szCs w:val="16"/>
          <w:color w:val="auto"/>
        </w:rPr>
        <w:t>(i) Borrower’s or any Subsidiary’s Indebtedness to Lender under this Agreement and the other Loan Documents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Borrower’s or any Subsidiary’s Indebtedness under the Viking Loan Agreement and the related loan documents;</w:t>
      </w:r>
    </w:p>
    <w:p>
      <w:pPr>
        <w:spacing w:after="0" w:line="210" w:lineRule="exact"/>
        <w:rPr>
          <w:rFonts w:ascii="Arial" w:cs="Arial" w:eastAsia="Arial" w:hAnsi="Arial"/>
          <w:sz w:val="18"/>
          <w:szCs w:val="18"/>
          <w:color w:val="auto"/>
        </w:rPr>
      </w:pPr>
    </w:p>
    <w:p>
      <w:pPr>
        <w:ind w:left="2244" w:hanging="261"/>
        <w:spacing w:after="0"/>
        <w:tabs>
          <w:tab w:leader="none" w:pos="22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244" w:hanging="261"/>
        <w:spacing w:after="0"/>
        <w:tabs>
          <w:tab w:leader="none" w:pos="2244" w:val="left"/>
        </w:tabs>
        <w:numPr>
          <w:ilvl w:val="1"/>
          <w:numId w:val="84"/>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36" w:lineRule="exact"/>
        <w:rPr>
          <w:rFonts w:ascii="Arial" w:cs="Arial" w:eastAsia="Arial" w:hAnsi="Arial"/>
          <w:sz w:val="17"/>
          <w:szCs w:val="17"/>
          <w:color w:val="auto"/>
        </w:rPr>
      </w:pPr>
    </w:p>
    <w:p>
      <w:pPr>
        <w:ind w:left="2204" w:hanging="221"/>
        <w:spacing w:after="0"/>
        <w:tabs>
          <w:tab w:leader="none" w:pos="2204"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36" w:lineRule="exact"/>
        <w:rPr>
          <w:rFonts w:ascii="Arial" w:cs="Arial" w:eastAsia="Arial" w:hAnsi="Arial"/>
          <w:sz w:val="17"/>
          <w:szCs w:val="17"/>
          <w:color w:val="auto"/>
        </w:rPr>
      </w:pPr>
    </w:p>
    <w:p>
      <w:pPr>
        <w:ind w:left="4" w:right="220" w:firstLine="1979"/>
        <w:spacing w:after="0" w:line="277" w:lineRule="auto"/>
        <w:tabs>
          <w:tab w:leader="none" w:pos="2242"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10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4"/>
          </w:cols>
          <w:pgMar w:left="436" w:top="270" w:right="579" w:bottom="1440" w:gutter="0" w:footer="0" w:header="0"/>
        </w:sectPr>
      </w:pPr>
    </w:p>
    <w:bookmarkStart w:id="40" w:name="page41"/>
    <w:bookmarkEnd w:id="40"/>
    <w:p>
      <w:pPr>
        <w:ind w:left="2244" w:hanging="261"/>
        <w:spacing w:after="0"/>
        <w:tabs>
          <w:tab w:leader="none" w:pos="2244"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Convertible Indebtedness;</w:t>
      </w:r>
    </w:p>
    <w:p>
      <w:pPr>
        <w:spacing w:after="0" w:line="225" w:lineRule="exact"/>
        <w:rPr>
          <w:rFonts w:ascii="Arial" w:cs="Arial" w:eastAsia="Arial" w:hAnsi="Arial"/>
          <w:sz w:val="18"/>
          <w:szCs w:val="18"/>
          <w:color w:val="auto"/>
        </w:rPr>
      </w:pPr>
    </w:p>
    <w:p>
      <w:pPr>
        <w:ind w:left="2204" w:hanging="221"/>
        <w:spacing w:after="0"/>
        <w:tabs>
          <w:tab w:leader="none" w:pos="22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225" w:lineRule="exact"/>
        <w:rPr>
          <w:rFonts w:ascii="Arial" w:cs="Arial" w:eastAsia="Arial" w:hAnsi="Arial"/>
          <w:sz w:val="18"/>
          <w:szCs w:val="18"/>
          <w:color w:val="auto"/>
        </w:rPr>
      </w:pPr>
    </w:p>
    <w:p>
      <w:pPr>
        <w:ind w:left="2204" w:hanging="221"/>
        <w:spacing w:after="0"/>
        <w:tabs>
          <w:tab w:leader="none" w:pos="22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w:t>
      </w:r>
    </w:p>
    <w:p>
      <w:pPr>
        <w:spacing w:after="0" w:line="23" w:lineRule="exact"/>
        <w:rPr>
          <w:sz w:val="20"/>
          <w:szCs w:val="20"/>
          <w:color w:val="auto"/>
        </w:rPr>
      </w:pPr>
    </w:p>
    <w:p>
      <w:pPr>
        <w:ind w:left="4" w:right="180"/>
        <w:spacing w:after="0" w:line="260" w:lineRule="auto"/>
        <w:rPr>
          <w:sz w:val="20"/>
          <w:szCs w:val="20"/>
          <w:color w:val="auto"/>
        </w:rPr>
      </w:pPr>
      <w:r>
        <w:rPr>
          <w:rFonts w:ascii="Arial" w:cs="Arial" w:eastAsia="Arial" w:hAnsi="Arial"/>
          <w:sz w:val="18"/>
          <w:szCs w:val="18"/>
          <w:color w:val="auto"/>
        </w:rPr>
        <w:t>bankers</w:t>
      </w:r>
      <w:r>
        <w:rPr>
          <w:rFonts w:ascii="Arial" w:cs="Arial" w:eastAsia="Arial" w:hAnsi="Arial"/>
          <w:sz w:val="18"/>
          <w:szCs w:val="18"/>
          <w:b w:val="1"/>
          <w:bCs w:val="1"/>
          <w:color w:val="auto"/>
        </w:rPr>
        <w:t>’</w:t>
      </w:r>
      <w:r>
        <w:rPr>
          <w:rFonts w:ascii="Arial" w:cs="Arial" w:eastAsia="Arial" w:hAnsi="Arial"/>
          <w:sz w:val="18"/>
          <w:szCs w:val="18"/>
          <w:color w:val="auto"/>
        </w:rPr>
        <w:t xml:space="preserve"> acceptances issued for the benefit of customers, suppliers or distributors located in foreign jurisdictions in a face amount not to exceed Seven Hundred Thousand Dollars ($700,000);</w:t>
      </w:r>
    </w:p>
    <w:p>
      <w:pPr>
        <w:spacing w:after="0" w:line="185"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(k) other unsecured Indebtedness not exceeding Five Hundred Thousand Dollars ($500,000) in the aggregate outstanding 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time;</w:t>
      </w:r>
    </w:p>
    <w:p>
      <w:pPr>
        <w:spacing w:after="0" w:line="211" w:lineRule="exact"/>
        <w:rPr>
          <w:sz w:val="20"/>
          <w:szCs w:val="20"/>
          <w:color w:val="auto"/>
        </w:rPr>
      </w:pPr>
    </w:p>
    <w:p>
      <w:pPr>
        <w:ind w:left="2204" w:hanging="221"/>
        <w:spacing w:after="0"/>
        <w:tabs>
          <w:tab w:leader="none" w:pos="2204"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Indebtedness under the SVB Loan and Security Agreement or any guaranty provided in respect thereof and</w:t>
      </w:r>
    </w:p>
    <w:p>
      <w:pPr>
        <w:spacing w:after="0" w:line="23" w:lineRule="exact"/>
        <w:rPr>
          <w:rFonts w:ascii="Arial" w:cs="Arial" w:eastAsia="Arial" w:hAnsi="Arial"/>
          <w:sz w:val="18"/>
          <w:szCs w:val="18"/>
          <w:color w:val="auto"/>
        </w:rPr>
      </w:pPr>
    </w:p>
    <w:p>
      <w:pPr>
        <w:ind w:left="264" w:hanging="264"/>
        <w:spacing w:after="0"/>
        <w:tabs>
          <w:tab w:leader="none" w:pos="2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Indebtedness to Silicon Valley Bank in connection with bank services;</w:t>
      </w:r>
    </w:p>
    <w:p>
      <w:pPr>
        <w:spacing w:after="0" w:line="210" w:lineRule="exact"/>
        <w:rPr>
          <w:rFonts w:ascii="Arial" w:cs="Arial" w:eastAsia="Arial" w:hAnsi="Arial"/>
          <w:sz w:val="18"/>
          <w:szCs w:val="18"/>
          <w:color w:val="auto"/>
        </w:rPr>
      </w:pPr>
    </w:p>
    <w:p>
      <w:pPr>
        <w:ind w:left="4" w:firstLine="1979"/>
        <w:spacing w:after="0" w:line="259" w:lineRule="auto"/>
        <w:tabs>
          <w:tab w:leader="none" w:pos="22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Indebtedness of Borrower or a Guarantor owing to a Subsidiary (other than a Guarantor) if and only if such Indebtedness is Subordinated Debt; provided, further, that any subsequent issuance or transfer of any Capital Stock or any other event which results in any such Subsidiary ceasing to be a Subsidiary or any other subsequent transfer of any such Indebtedness (except to Borrower) shall be deemed, in each case, to be an incurrence of such Indebtedness not permitted by this clause; and</w:t>
      </w:r>
    </w:p>
    <w:p>
      <w:pPr>
        <w:spacing w:after="0" w:line="186" w:lineRule="exact"/>
        <w:rPr>
          <w:rFonts w:ascii="Arial" w:cs="Arial" w:eastAsia="Arial" w:hAnsi="Arial"/>
          <w:sz w:val="18"/>
          <w:szCs w:val="18"/>
          <w:color w:val="auto"/>
        </w:rPr>
      </w:pPr>
    </w:p>
    <w:p>
      <w:pPr>
        <w:ind w:left="2244" w:hanging="261"/>
        <w:spacing w:after="0"/>
        <w:tabs>
          <w:tab w:leader="none" w:pos="2244" w:val="left"/>
        </w:tabs>
        <w:numPr>
          <w:ilvl w:val="1"/>
          <w:numId w:val="87"/>
        </w:numPr>
        <w:rPr>
          <w:rFonts w:ascii="Arial" w:cs="Arial" w:eastAsia="Arial" w:hAnsi="Arial"/>
          <w:sz w:val="16"/>
          <w:szCs w:val="16"/>
          <w:color w:val="auto"/>
        </w:rPr>
      </w:pPr>
      <w:r>
        <w:rPr>
          <w:rFonts w:ascii="Arial" w:cs="Arial" w:eastAsia="Arial" w:hAnsi="Arial"/>
          <w:sz w:val="16"/>
          <w:szCs w:val="16"/>
          <w:color w:val="auto"/>
        </w:rPr>
        <w:t>extensions, refinancings, modifications, amendments and restatements of any items of Permitted Indebtedness (a) through</w:t>
      </w:r>
    </w:p>
    <w:p>
      <w:pPr>
        <w:spacing w:after="0" w:line="46" w:lineRule="exact"/>
        <w:rPr>
          <w:rFonts w:ascii="Arial" w:cs="Arial" w:eastAsia="Arial" w:hAnsi="Arial"/>
          <w:sz w:val="16"/>
          <w:szCs w:val="16"/>
          <w:color w:val="auto"/>
        </w:rPr>
      </w:pPr>
    </w:p>
    <w:p>
      <w:pPr>
        <w:ind w:left="4" w:right="340" w:hanging="4"/>
        <w:spacing w:after="0" w:line="260" w:lineRule="auto"/>
        <w:tabs>
          <w:tab w:leader="none" w:pos="309"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above, provided that the principal amount thereof is not increased or the terms thereof are not modified to impose more burdensome terms upon Borrower or its Subsidiary, as the case may be.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2224" w:hanging="241"/>
        <w:spacing w:after="0"/>
        <w:tabs>
          <w:tab w:leader="none" w:pos="22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w:t>
      </w:r>
    </w:p>
    <w:p>
      <w:pPr>
        <w:spacing w:after="0" w:line="225" w:lineRule="exact"/>
        <w:rPr>
          <w:rFonts w:ascii="Arial" w:cs="Arial" w:eastAsia="Arial" w:hAnsi="Arial"/>
          <w:sz w:val="18"/>
          <w:szCs w:val="18"/>
          <w:color w:val="auto"/>
        </w:rPr>
      </w:pPr>
    </w:p>
    <w:p>
      <w:pPr>
        <w:ind w:left="2244" w:hanging="261"/>
        <w:spacing w:after="0"/>
        <w:tabs>
          <w:tab w:leader="none" w:pos="22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left="4" w:right="240" w:firstLine="1979"/>
        <w:spacing w:after="0" w:line="277" w:lineRule="auto"/>
        <w:tabs>
          <w:tab w:leader="none" w:pos="22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2244" w:hanging="261"/>
        <w:spacing w:after="0"/>
        <w:tabs>
          <w:tab w:leader="none" w:pos="224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deposit accounts;</w:t>
      </w:r>
    </w:p>
    <w:p>
      <w:pPr>
        <w:spacing w:after="0" w:line="225" w:lineRule="exact"/>
        <w:rPr>
          <w:rFonts w:ascii="Arial" w:cs="Arial" w:eastAsia="Arial" w:hAnsi="Arial"/>
          <w:sz w:val="18"/>
          <w:szCs w:val="18"/>
          <w:color w:val="auto"/>
        </w:rPr>
      </w:pPr>
    </w:p>
    <w:p>
      <w:pPr>
        <w:ind w:left="2224" w:hanging="241"/>
        <w:spacing w:after="0"/>
        <w:tabs>
          <w:tab w:leader="none" w:pos="22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left="4" w:right="40" w:firstLine="1979"/>
        <w:spacing w:after="0" w:line="277" w:lineRule="auto"/>
        <w:tabs>
          <w:tab w:leader="none" w:pos="22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170" w:lineRule="exact"/>
        <w:rPr>
          <w:rFonts w:ascii="Arial" w:cs="Arial" w:eastAsia="Arial" w:hAnsi="Arial"/>
          <w:sz w:val="18"/>
          <w:szCs w:val="18"/>
          <w:color w:val="auto"/>
        </w:rPr>
      </w:pPr>
    </w:p>
    <w:p>
      <w:pPr>
        <w:ind w:left="4" w:right="20" w:firstLine="1979"/>
        <w:spacing w:after="0" w:line="277" w:lineRule="auto"/>
        <w:tabs>
          <w:tab w:leader="none" w:pos="22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170" w:lineRule="exact"/>
        <w:rPr>
          <w:rFonts w:ascii="Arial" w:cs="Arial" w:eastAsia="Arial" w:hAnsi="Arial"/>
          <w:sz w:val="18"/>
          <w:szCs w:val="18"/>
          <w:color w:val="auto"/>
        </w:rPr>
      </w:pPr>
    </w:p>
    <w:p>
      <w:pPr>
        <w:ind w:left="4" w:right="240" w:firstLine="1979"/>
        <w:spacing w:after="0" w:line="263" w:lineRule="auto"/>
        <w:tabs>
          <w:tab w:leader="none" w:pos="22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left="4" w:right="300" w:firstLine="1979"/>
        <w:spacing w:after="0" w:line="342" w:lineRule="auto"/>
        <w:tabs>
          <w:tab w:leader="none" w:pos="22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1" w:name="page42"/>
    <w:bookmarkEnd w:id="41"/>
    <w:p>
      <w:pPr>
        <w:jc w:val="both"/>
        <w:ind w:left="4" w:right="20" w:firstLine="1979"/>
        <w:spacing w:after="0" w:line="342" w:lineRule="auto"/>
        <w:tabs>
          <w:tab w:leader="none" w:pos="2202"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23" w:lineRule="exact"/>
        <w:rPr>
          <w:rFonts w:ascii="Arial" w:cs="Arial" w:eastAsia="Arial" w:hAnsi="Arial"/>
          <w:sz w:val="16"/>
          <w:szCs w:val="16"/>
          <w:color w:val="auto"/>
        </w:rPr>
      </w:pPr>
    </w:p>
    <w:p>
      <w:pPr>
        <w:ind w:left="2244" w:hanging="261"/>
        <w:spacing w:after="0"/>
        <w:tabs>
          <w:tab w:leader="none" w:pos="22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Indebtedness permitted under clause (m) of Permitted Indebtedness; and</w:t>
      </w:r>
    </w:p>
    <w:p>
      <w:pPr>
        <w:spacing w:after="0" w:line="225" w:lineRule="exact"/>
        <w:rPr>
          <w:rFonts w:ascii="Arial" w:cs="Arial" w:eastAsia="Arial" w:hAnsi="Arial"/>
          <w:sz w:val="18"/>
          <w:szCs w:val="18"/>
          <w:color w:val="auto"/>
        </w:rPr>
      </w:pPr>
    </w:p>
    <w:p>
      <w:pPr>
        <w:ind w:left="4" w:right="160" w:firstLine="1979"/>
        <w:spacing w:after="0" w:line="277" w:lineRule="auto"/>
        <w:tabs>
          <w:tab w:leader="none" w:pos="22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224" w:hanging="241"/>
        <w:spacing w:after="0"/>
        <w:tabs>
          <w:tab w:leader="none" w:pos="2224" w:val="left"/>
        </w:tabs>
        <w:numPr>
          <w:ilvl w:val="1"/>
          <w:numId w:val="91"/>
        </w:numPr>
        <w:rPr>
          <w:rFonts w:ascii="Arial" w:cs="Arial" w:eastAsia="Arial" w:hAnsi="Arial"/>
          <w:sz w:val="18"/>
          <w:szCs w:val="18"/>
          <w:color w:val="auto"/>
        </w:rPr>
      </w:pPr>
      <w:r>
        <w:rPr>
          <w:rFonts w:ascii="Arial" w:cs="Arial" w:eastAsia="Arial" w:hAnsi="Arial"/>
          <w:sz w:val="18"/>
          <w:szCs w:val="18"/>
          <w:color w:val="auto"/>
        </w:rPr>
        <w:t>Liens existing on the Effective Date;</w:t>
      </w:r>
    </w:p>
    <w:p>
      <w:pPr>
        <w:spacing w:after="0" w:line="225" w:lineRule="exact"/>
        <w:rPr>
          <w:rFonts w:ascii="Arial" w:cs="Arial" w:eastAsia="Arial" w:hAnsi="Arial"/>
          <w:sz w:val="18"/>
          <w:szCs w:val="18"/>
          <w:color w:val="auto"/>
        </w:rPr>
      </w:pPr>
    </w:p>
    <w:p>
      <w:pPr>
        <w:ind w:left="4" w:right="180" w:firstLine="1979"/>
        <w:spacing w:after="0" w:line="286" w:lineRule="auto"/>
        <w:tabs>
          <w:tab w:leader="none" w:pos="2242" w:val="left"/>
        </w:tabs>
        <w:numPr>
          <w:ilvl w:val="1"/>
          <w:numId w:val="91"/>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65" w:lineRule="exact"/>
        <w:rPr>
          <w:rFonts w:ascii="Arial" w:cs="Arial" w:eastAsia="Arial" w:hAnsi="Arial"/>
          <w:sz w:val="17"/>
          <w:szCs w:val="17"/>
          <w:color w:val="auto"/>
        </w:rPr>
      </w:pPr>
    </w:p>
    <w:p>
      <w:pPr>
        <w:ind w:left="4" w:right="100" w:firstLine="1979"/>
        <w:spacing w:after="0" w:line="291" w:lineRule="auto"/>
        <w:tabs>
          <w:tab w:leader="none" w:pos="2231" w:val="left"/>
        </w:tabs>
        <w:numPr>
          <w:ilvl w:val="1"/>
          <w:numId w:val="91"/>
        </w:numPr>
        <w:rPr>
          <w:rFonts w:ascii="Arial" w:cs="Arial" w:eastAsia="Arial" w:hAnsi="Arial"/>
          <w:sz w:val="16"/>
          <w:szCs w:val="16"/>
          <w:color w:val="auto"/>
        </w:rPr>
      </w:pPr>
      <w:r>
        <w:rPr>
          <w:rFonts w:ascii="Arial" w:cs="Arial" w:eastAsia="Arial" w:hAnsi="Arial"/>
          <w:sz w:val="16"/>
          <w:szCs w:val="16"/>
          <w:color w:val="auto"/>
        </w:rPr>
        <w:t>Liens securing capital leases and purchase money Liens (i) on Equipment acquired or held by Borrower incurred for financing the acquisition of the Equipment securing no more than Five Hundred Thousand Dollars ($500,000) in the aggregate amount outstanding, or</w:t>
      </w:r>
    </w:p>
    <w:p>
      <w:pPr>
        <w:ind w:left="264" w:hanging="264"/>
        <w:spacing w:after="0"/>
        <w:tabs>
          <w:tab w:leader="none" w:pos="2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existing on Equipment when acquired, if the Lien is confined to the property and improvements and the proceeds of the Equipment;</w:t>
      </w:r>
    </w:p>
    <w:p>
      <w:pPr>
        <w:spacing w:after="0" w:line="210" w:lineRule="exact"/>
        <w:rPr>
          <w:rFonts w:ascii="Arial" w:cs="Arial" w:eastAsia="Arial" w:hAnsi="Arial"/>
          <w:sz w:val="18"/>
          <w:szCs w:val="18"/>
          <w:color w:val="auto"/>
        </w:rPr>
      </w:pPr>
    </w:p>
    <w:p>
      <w:pPr>
        <w:ind w:left="4" w:right="100" w:firstLine="1979"/>
        <w:spacing w:after="0" w:line="279" w:lineRule="auto"/>
        <w:tabs>
          <w:tab w:leader="none" w:pos="2242" w:val="left"/>
        </w:tabs>
        <w:numPr>
          <w:ilvl w:val="1"/>
          <w:numId w:val="92"/>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1" w:lineRule="exact"/>
        <w:rPr>
          <w:rFonts w:ascii="Arial" w:cs="Arial" w:eastAsia="Arial" w:hAnsi="Arial"/>
          <w:sz w:val="17"/>
          <w:szCs w:val="17"/>
          <w:color w:val="auto"/>
        </w:rPr>
      </w:pPr>
    </w:p>
    <w:p>
      <w:pPr>
        <w:ind w:left="4" w:right="140" w:firstLine="1979"/>
        <w:spacing w:after="0" w:line="277" w:lineRule="auto"/>
        <w:tabs>
          <w:tab w:leader="none" w:pos="2231"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left="4" w:firstLine="1979"/>
        <w:spacing w:after="0" w:line="263" w:lineRule="auto"/>
        <w:tabs>
          <w:tab w:leader="none" w:pos="221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ind w:left="4" w:right="140" w:firstLine="1979"/>
        <w:spacing w:after="0" w:line="259" w:lineRule="auto"/>
        <w:tabs>
          <w:tab w:leader="none" w:pos="224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186" w:lineRule="exact"/>
        <w:rPr>
          <w:rFonts w:ascii="Arial" w:cs="Arial" w:eastAsia="Arial" w:hAnsi="Arial"/>
          <w:sz w:val="18"/>
          <w:szCs w:val="18"/>
          <w:color w:val="auto"/>
        </w:rPr>
      </w:pPr>
    </w:p>
    <w:p>
      <w:pPr>
        <w:ind w:left="4" w:firstLine="1979"/>
        <w:spacing w:after="0" w:line="263" w:lineRule="auto"/>
        <w:tabs>
          <w:tab w:leader="none" w:pos="2241"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183" w:lineRule="exact"/>
        <w:rPr>
          <w:rFonts w:ascii="Arial" w:cs="Arial" w:eastAsia="Arial" w:hAnsi="Arial"/>
          <w:sz w:val="18"/>
          <w:szCs w:val="18"/>
          <w:color w:val="auto"/>
        </w:rPr>
      </w:pPr>
    </w:p>
    <w:p>
      <w:pPr>
        <w:ind w:left="4" w:right="600" w:firstLine="1979"/>
        <w:spacing w:after="0" w:line="277" w:lineRule="auto"/>
        <w:tabs>
          <w:tab w:leader="none" w:pos="2202"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4" w:right="460" w:firstLine="1979"/>
        <w:spacing w:after="0" w:line="277" w:lineRule="auto"/>
        <w:tabs>
          <w:tab w:leader="none" w:pos="2202" w:val="left"/>
        </w:tabs>
        <w:numPr>
          <w:ilvl w:val="1"/>
          <w:numId w:val="9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4"/>
          </w:cols>
          <w:pgMar w:left="436" w:top="274" w:right="539" w:bottom="1440" w:gutter="0" w:footer="0" w:header="0"/>
        </w:sectPr>
      </w:pPr>
    </w:p>
    <w:bookmarkStart w:id="42" w:name="page43"/>
    <w:bookmarkEnd w:id="42"/>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 Liens consisting of cash collateral securing obligations described in clause (j) of the definition of “Permitted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Indebtedness” hereunder;</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(l) Liens arising from attachments or judgments, orders, or decrees in circumstances not constituting an Event of Default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Sections 8.4 and 8.7;</w:t>
      </w:r>
    </w:p>
    <w:p>
      <w:pPr>
        <w:spacing w:after="0" w:line="21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(m) Liens in favor of other financial institutions arising in connection with Borrower’s deposit and/or securities accounts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held at such institutions;</w:t>
      </w:r>
    </w:p>
    <w:p>
      <w:pPr>
        <w:spacing w:after="0" w:line="211" w:lineRule="exact"/>
        <w:rPr>
          <w:sz w:val="20"/>
          <w:szCs w:val="20"/>
          <w:color w:val="auto"/>
        </w:rPr>
      </w:pPr>
    </w:p>
    <w:p>
      <w:pPr>
        <w:ind w:right="140" w:firstLine="1979"/>
        <w:spacing w:after="0" w:line="342" w:lineRule="auto"/>
        <w:tabs>
          <w:tab w:leader="none" w:pos="2238" w:val="left"/>
        </w:tabs>
        <w:numPr>
          <w:ilvl w:val="0"/>
          <w:numId w:val="93"/>
        </w:numPr>
        <w:rPr>
          <w:rFonts w:ascii="Arial" w:cs="Arial" w:eastAsia="Arial" w:hAnsi="Arial"/>
          <w:sz w:val="16"/>
          <w:szCs w:val="16"/>
          <w:color w:val="auto"/>
        </w:rPr>
      </w:pPr>
      <w:r>
        <w:rPr>
          <w:rFonts w:ascii="Arial" w:cs="Arial" w:eastAsia="Arial" w:hAnsi="Arial"/>
          <w:sz w:val="16"/>
          <w:szCs w:val="16"/>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pacing w:after="0" w:line="123" w:lineRule="exact"/>
        <w:rPr>
          <w:rFonts w:ascii="Arial" w:cs="Arial" w:eastAsia="Arial" w:hAnsi="Arial"/>
          <w:sz w:val="16"/>
          <w:szCs w:val="16"/>
          <w:color w:val="auto"/>
        </w:rPr>
      </w:pPr>
    </w:p>
    <w:p>
      <w:pPr>
        <w:ind w:left="2240" w:hanging="261"/>
        <w:spacing w:after="0"/>
        <w:tabs>
          <w:tab w:leader="none" w:pos="2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on Intellectual Property; and</w:t>
      </w:r>
    </w:p>
    <w:p>
      <w:pPr>
        <w:spacing w:after="0" w:line="225" w:lineRule="exact"/>
        <w:rPr>
          <w:rFonts w:ascii="Arial" w:cs="Arial" w:eastAsia="Arial" w:hAnsi="Arial"/>
          <w:sz w:val="18"/>
          <w:szCs w:val="18"/>
          <w:color w:val="auto"/>
        </w:rPr>
      </w:pPr>
    </w:p>
    <w:p>
      <w:pPr>
        <w:ind w:right="360" w:firstLine="1979"/>
        <w:spacing w:after="0" w:line="277" w:lineRule="auto"/>
        <w:tabs>
          <w:tab w:leader="none" w:pos="2238"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Liens granted in connection with the SVB Loan and Security Agreement and any Loan Documents (as defined in the SVB Loan and Security Agreement) entered into in connection therewith.</w:t>
      </w:r>
    </w:p>
    <w:p>
      <w:pPr>
        <w:spacing w:after="0" w:line="166"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both"/>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 the Series B-1 Preferred Stock of the Borrower or its Affiliate to be issued to the Lenders or their Affiliates, which is the same series as may be issued in connection with that certain Purchase Agreement, by and between the Company and the Lenders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date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holders of Common Shares have the right to receive any cash, securities or other property or in which Common Shares is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is defined in Section 13.5.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is defined in Section 13.5(c)(i).</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any Person, such Person’s directors, officers, employees, investment bankers, attorneys, accountants and other advisors or representatives.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is defined in Section 13.5(c)(ii).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at any date, Lenders having or holding a majority of the outstanding principal amount of the Term Loans at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is defined in Section 13.4(c).</w:t>
      </w:r>
    </w:p>
    <w:p>
      <w:pPr>
        <w:spacing w:after="0" w:line="225"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Lender (pursuant to a subordination, intercreditor, or other similar agreement in form and substance satisfactory to Lender entered into between Lender and the other creditor), on terms acceptable to Lender.</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and Security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13.4(c).</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 of 1986, as amended.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is defined in Section 13.4(c).</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Trading Days, the per share volume-weighted average price of the Common Shares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reasonably determined, using a volume-weighted average method, by a nationally recognized independent investment banking firm retained for this purpose by the Borrower). The “VWAP” shall be determined without regard to after-hours trading or any other trading outside of the regular trading session trading hours.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0"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executed as of the Effective Date.</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FLUIDIGM CORPORATION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LENDERS: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CASDIN PARTNERS MASTER FUND, L.P.</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Casdin Partners GP, LLC, its General Partner</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Casdin Private Growth Equity Fund II GP, LLC, its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14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Agreement</w:t>
      </w:r>
      <w:r>
        <w:rPr>
          <w:rFonts w:ascii="Arial" w:cs="Arial" w:eastAsia="Arial" w:hAnsi="Arial"/>
          <w:sz w:val="18"/>
          <w:szCs w:val="18"/>
          <w:color w:val="auto"/>
        </w:rPr>
        <w:t>]</w:t>
      </w:r>
    </w:p>
    <w:p>
      <w:pPr>
        <w:sectPr>
          <w:pgSz w:w="11900" w:h="16838" w:orient="portrait"/>
          <w:cols w:equalWidth="0" w:num="1">
            <w:col w:w="10460"/>
          </w:cols>
          <w:pgMar w:left="880" w:top="270" w:right="55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Reference is made to the Loan Agreement, dated and effective as of January 23, 2022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CASDIN PARTNERS MASTER</w:t>
      </w:r>
      <w:r>
        <w:rPr>
          <w:rFonts w:ascii="Arial" w:cs="Arial" w:eastAsia="Arial" w:hAnsi="Arial"/>
          <w:sz w:val="16"/>
          <w:szCs w:val="16"/>
          <w:color w:val="auto"/>
        </w:rPr>
        <w:t xml:space="preserve"> </w:t>
      </w:r>
      <w:r>
        <w:rPr>
          <w:rFonts w:ascii="Arial" w:cs="Arial" w:eastAsia="Arial" w:hAnsi="Arial"/>
          <w:sz w:val="16"/>
          <w:szCs w:val="16"/>
          <w:b w:val="1"/>
          <w:bCs w:val="1"/>
          <w:color w:val="auto"/>
        </w:rPr>
        <w:t>FUND, L.P.</w:t>
      </w:r>
      <w:r>
        <w:rPr>
          <w:rFonts w:ascii="Arial" w:cs="Arial" w:eastAsia="Arial" w:hAnsi="Arial"/>
          <w:sz w:val="16"/>
          <w:szCs w:val="16"/>
          <w:color w:val="auto"/>
        </w:rPr>
        <w:t>, a Cayman Islands exempted limited partnership (“</w:t>
      </w:r>
      <w:r>
        <w:rPr>
          <w:rFonts w:ascii="Arial" w:cs="Arial" w:eastAsia="Arial" w:hAnsi="Arial"/>
          <w:sz w:val="16"/>
          <w:szCs w:val="16"/>
          <w:b w:val="1"/>
          <w:bCs w:val="1"/>
          <w:color w:val="auto"/>
        </w:rPr>
        <w:t>Master Fund</w:t>
      </w:r>
      <w:r>
        <w:rPr>
          <w:rFonts w:ascii="Arial" w:cs="Arial" w:eastAsia="Arial" w:hAnsi="Arial"/>
          <w:sz w:val="16"/>
          <w:szCs w:val="16"/>
          <w:color w:val="auto"/>
        </w:rPr>
        <w:t>”),</w:t>
      </w:r>
      <w:r>
        <w:rPr>
          <w:rFonts w:ascii="Arial" w:cs="Arial" w:eastAsia="Arial" w:hAnsi="Arial"/>
          <w:sz w:val="16"/>
          <w:szCs w:val="16"/>
          <w:b w:val="1"/>
          <w:bCs w:val="1"/>
          <w:color w:val="auto"/>
        </w:rPr>
        <w:t xml:space="preserve"> CASDIN PRIVATE GROWTH EQUITY FUND II, L.P.</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limited partnership (“</w:t>
      </w:r>
      <w:r>
        <w:rPr>
          <w:rFonts w:ascii="Arial" w:cs="Arial" w:eastAsia="Arial" w:hAnsi="Arial"/>
          <w:sz w:val="16"/>
          <w:szCs w:val="16"/>
          <w:b w:val="1"/>
          <w:bCs w:val="1"/>
          <w:color w:val="auto"/>
        </w:rPr>
        <w:t>PGE Fund</w:t>
      </w:r>
      <w:r>
        <w:rPr>
          <w:rFonts w:ascii="Arial" w:cs="Arial" w:eastAsia="Arial" w:hAnsi="Arial"/>
          <w:sz w:val="16"/>
          <w:szCs w:val="16"/>
          <w:color w:val="auto"/>
        </w:rPr>
        <w:t>”) and Fluidigm Corporation. In accordance with and pursuant to the Agreement, the undersigned hereby elects to convert the Conversion Amount with respect to the Loan under the Agreement, indicated below into shares of common stock, par value $0.001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of the Borrower, [as of the date specified below // on // immediately prior to[, and subject to the occurrence of,]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14605</wp:posOffset>
            </wp:positionV>
            <wp:extent cx="5100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5031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(if applicable)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44062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53149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60090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7491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Please issue the Common Shares into which the Conversion Amount is being converted in the following name and to the following address: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64979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14605</wp:posOffset>
            </wp:positionV>
            <wp:extent cx="64293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58718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61550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615505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66433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14605</wp:posOffset>
            </wp:positionV>
            <wp:extent cx="41916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14605</wp:posOffset>
            </wp:positionV>
            <wp:extent cx="37719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14605</wp:posOffset>
            </wp:positionV>
            <wp:extent cx="3497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decimal"/>
      <w:start w:val="104"/>
    </w:lvl>
  </w:abstractNum>
  <w:abstractNum w:abstractNumId="4">
    <w:nsid w:val="684A481A"/>
    <w:multiLevelType w:val="hybridMultilevel"/>
    <w:lvl w:ilvl="0">
      <w:lvlJc w:val="left"/>
      <w:lvlText w:val="1"/>
      <w:numFmt w:val="bullet"/>
      <w:start w:val="1"/>
    </w:lvl>
  </w:abstractNum>
  <w:abstractNum w:abstractNumId="5">
    <w:nsid w:val="579478FE"/>
    <w:multiLevelType w:val="hybridMultilevel"/>
    <w:lvl w:ilvl="0">
      <w:lvlJc w:val="left"/>
      <w:lvlText w:val="2"/>
      <w:numFmt w:val="bullet"/>
      <w:start w:val="1"/>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lowerLetter"/>
      <w:start w:val="3"/>
    </w:lvl>
  </w:abstractNum>
  <w:abstractNum w:abstractNumId="8">
    <w:nsid w:val="1BA026FA"/>
    <w:multiLevelType w:val="hybridMultilevel"/>
    <w:lvl w:ilvl="0">
      <w:lvlJc w:val="left"/>
      <w:lvlText w:val="(%1)"/>
      <w:numFmt w:val="lowerLetter"/>
      <w:start w:val="1"/>
    </w:lvl>
    <w:lvl w:ilvl="1">
      <w:lvlJc w:val="left"/>
      <w:lvlText w:val="(%2)"/>
      <w:numFmt w:val="lowerRoman"/>
      <w:start w:val="1"/>
    </w:lvl>
  </w:abstractNum>
  <w:abstractNum w:abstractNumId="9">
    <w:nsid w:val="79A1DEAA"/>
    <w:multiLevelType w:val="hybridMultilevel"/>
    <w:lvl w:ilvl="0">
      <w:lvlJc w:val="left"/>
      <w:lvlText w:val="(%1)"/>
      <w:numFmt w:val="lowerLetter"/>
      <w:start w:val="2"/>
    </w:lvl>
  </w:abstractNum>
  <w:abstractNum w:abstractNumId="10">
    <w:nsid w:val="75C6C33A"/>
    <w:multiLevelType w:val="hybridMultilevel"/>
    <w:lvl w:ilvl="0">
      <w:lvlJc w:val="left"/>
      <w:lvlText w:val="(%1)"/>
      <w:numFmt w:val="lowerLetter"/>
      <w:start w:val="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1"/>
      <w:numFmt w:val="upperLetter"/>
      <w:start w:val="1"/>
    </w:lvl>
    <w:lvl w:ilvl="1">
      <w:lvlJc w:val="left"/>
      <w:lvlText w:val="(%2)"/>
      <w:numFmt w:val="lowerRoman"/>
      <w:start w:val="1"/>
    </w:lvl>
  </w:abstractNum>
  <w:abstractNum w:abstractNumId="13">
    <w:nsid w:val="520EEDD1"/>
    <w:multiLevelType w:val="hybridMultilevel"/>
    <w:lvl w:ilvl="0">
      <w:lvlJc w:val="left"/>
      <w:lvlText w:val="(%1)"/>
      <w:numFmt w:val="upperLetter"/>
      <w:start w:val="1"/>
    </w:lvl>
    <w:lvl w:ilvl="1">
      <w:lvlJc w:val="left"/>
      <w:lvlText w:val="%2"/>
      <w:numFmt w:val="lowerRoman"/>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4"/>
    </w:lvl>
  </w:abstractNum>
  <w:abstractNum w:abstractNumId="16">
    <w:nsid w:val="23F9C13C"/>
    <w:multiLevelType w:val="hybridMultilevel"/>
    <w:lvl w:ilvl="0">
      <w:lvlJc w:val="left"/>
      <w:lvlText w:val="(%1)"/>
      <w:numFmt w:val="upperLetter"/>
      <w:start w:val="3"/>
    </w:lvl>
  </w:abstractNum>
  <w:abstractNum w:abstractNumId="17">
    <w:nsid w:val="649BB77C"/>
    <w:multiLevelType w:val="hybridMultilevel"/>
    <w:lvl w:ilvl="0">
      <w:lvlJc w:val="left"/>
      <w:lvlText w:val="3"/>
      <w:numFmt w:val="bullet"/>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lowerLetter"/>
      <w:start w:val="3"/>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4"/>
      <w:numFmt w:val="bullet"/>
      <w:start w:val="1"/>
    </w:lvl>
  </w:abstractNum>
  <w:abstractNum w:abstractNumId="22">
    <w:nsid w:val="235BA861"/>
    <w:multiLevelType w:val="hybridMultilevel"/>
    <w:lvl w:ilvl="0">
      <w:lvlJc w:val="left"/>
      <w:lvlText w:val="5"/>
      <w:numFmt w:val="bullet"/>
      <w:start w:val="1"/>
    </w:lvl>
  </w:abstractNum>
  <w:abstractNum w:abstractNumId="23">
    <w:nsid w:val="47398C89"/>
    <w:multiLevelType w:val="hybridMultilevel"/>
    <w:lvl w:ilvl="0">
      <w:lvlJc w:val="left"/>
      <w:lvlText w:val="(%1)"/>
      <w:numFmt w:val="lowerRoman"/>
      <w:start w:val="1"/>
    </w:lvl>
  </w:abstractNum>
  <w:abstractNum w:abstractNumId="24">
    <w:nsid w:val="354FE9F9"/>
    <w:multiLevelType w:val="hybridMultilevel"/>
    <w:lvl w:ilvl="0">
      <w:lvlJc w:val="left"/>
      <w:lvlText w:val="6"/>
      <w:numFmt w:val="bullet"/>
      <w:start w:val="1"/>
    </w:lvl>
  </w:abstractNum>
  <w:abstractNum w:abstractNumId="25">
    <w:nsid w:val="15B5AF5C"/>
    <w:multiLevelType w:val="hybridMultilevel"/>
    <w:lvl w:ilvl="0">
      <w:lvlJc w:val="left"/>
      <w:lvlText w:val="(%1)"/>
      <w:numFmt w:val="lowerLetter"/>
      <w:start w:val="1"/>
    </w:lvl>
  </w:abstractNum>
  <w:abstractNum w:abstractNumId="26">
    <w:nsid w:val="741226BB"/>
    <w:multiLevelType w:val="hybridMultilevel"/>
    <w:lvl w:ilvl="0">
      <w:lvlJc w:val="left"/>
      <w:lvlText w:val="(%1)"/>
      <w:numFmt w:val="lowerLetter"/>
      <w:start w:val="1"/>
    </w:lvl>
  </w:abstractNum>
  <w:abstractNum w:abstractNumId="27">
    <w:nsid w:val="D34B6A8"/>
    <w:multiLevelType w:val="hybridMultilevel"/>
    <w:lvl w:ilvl="0">
      <w:lvlJc w:val="left"/>
      <w:lvlText w:val="(%1)"/>
      <w:numFmt w:val="lowerLetter"/>
      <w:start w:val="7"/>
    </w:lvl>
  </w:abstractNum>
  <w:abstractNum w:abstractNumId="28">
    <w:nsid w:val="10233C99"/>
    <w:multiLevelType w:val="hybridMultilevel"/>
    <w:lvl w:ilvl="0">
      <w:lvlJc w:val="left"/>
      <w:lvlText w:val="(%1)"/>
      <w:numFmt w:val="lowerLetter"/>
      <w:start w:val="1"/>
    </w:lvl>
  </w:abstractNum>
  <w:abstractNum w:abstractNumId="29">
    <w:nsid w:val="3F6AB60F"/>
    <w:multiLevelType w:val="hybridMultilevel"/>
    <w:lvl w:ilvl="0">
      <w:lvlJc w:val="left"/>
      <w:lvlText w:val="(%1)"/>
      <w:numFmt w:val="lowerLetter"/>
      <w:start w:val="1"/>
    </w:lvl>
  </w:abstractNum>
  <w:abstractNum w:abstractNumId="30">
    <w:nsid w:val="61574095"/>
    <w:multiLevelType w:val="hybridMultilevel"/>
    <w:lvl w:ilvl="0">
      <w:lvlJc w:val="left"/>
      <w:lvlText w:val="7"/>
      <w:numFmt w:val="bullet"/>
      <w:start w:val="1"/>
    </w:lvl>
  </w:abstractNum>
  <w:abstractNum w:abstractNumId="31">
    <w:nsid w:val="7E0C57B1"/>
    <w:multiLevelType w:val="hybridMultilevel"/>
    <w:lvl w:ilvl="0">
      <w:lvlJc w:val="left"/>
      <w:lvlText w:val="(%1)"/>
      <w:numFmt w:val="lowerLetter"/>
      <w:start w:val="3"/>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8"/>
      <w:numFmt w:val="bullet"/>
      <w:start w:val="1"/>
    </w:lvl>
  </w:abstractNum>
  <w:abstractNum w:abstractNumId="34">
    <w:nsid w:val="310C50B3"/>
    <w:multiLevelType w:val="hybridMultilevel"/>
    <w:lvl w:ilvl="0">
      <w:lvlJc w:val="left"/>
      <w:lvlText w:val="(%1)"/>
      <w:numFmt w:val="lowerLetter"/>
      <w:start w:val="2"/>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9"/>
      <w:numFmt w:val="bullet"/>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decimal"/>
      <w:start w:val="10"/>
    </w:lvl>
  </w:abstractNum>
  <w:abstractNum w:abstractNumId="39">
    <w:nsid w:val="4AD084E9"/>
    <w:multiLevelType w:val="hybridMultilevel"/>
    <w:lvl w:ilvl="0">
      <w:lvlJc w:val="left"/>
      <w:lvlText w:val="(%1)"/>
      <w:numFmt w:val="lowerLetter"/>
      <w:start w:val="4"/>
    </w:lvl>
  </w:abstractNum>
  <w:abstractNum w:abstractNumId="40">
    <w:nsid w:val="1F48EAA1"/>
    <w:multiLevelType w:val="hybridMultilevel"/>
    <w:lvl w:ilvl="0">
      <w:lvlJc w:val="left"/>
      <w:lvlText w:val="%1"/>
      <w:numFmt w:val="decimal"/>
      <w:start w:val="11"/>
    </w:lvl>
  </w:abstractNum>
  <w:abstractNum w:abstractNumId="41">
    <w:nsid w:val="1381823A"/>
    <w:multiLevelType w:val="hybridMultilevel"/>
    <w:lvl w:ilvl="0">
      <w:lvlJc w:val="left"/>
      <w:lvlText w:val="%1"/>
      <w:numFmt w:val="decimal"/>
      <w:start w:val="12"/>
    </w:lvl>
  </w:abstractNum>
  <w:abstractNum w:abstractNumId="42">
    <w:nsid w:val="5DB70AE5"/>
    <w:multiLevelType w:val="hybridMultilevel"/>
    <w:lvl w:ilvl="0">
      <w:lvlJc w:val="left"/>
      <w:lvlText w:val="(%1)"/>
      <w:numFmt w:val="lowerRoman"/>
      <w:start w:val="2"/>
    </w:lvl>
  </w:abstractNum>
  <w:abstractNum w:abstractNumId="43">
    <w:nsid w:val="100F8FCA"/>
    <w:multiLevelType w:val="hybridMultilevel"/>
    <w:lvl w:ilvl="0">
      <w:lvlJc w:val="left"/>
      <w:lvlText w:val="(%1)"/>
      <w:numFmt w:val="lowerRoman"/>
      <w:start w:val="1"/>
    </w:lvl>
  </w:abstractNum>
  <w:abstractNum w:abstractNumId="44">
    <w:nsid w:val="6590700B"/>
    <w:multiLevelType w:val="hybridMultilevel"/>
    <w:lvl w:ilvl="0">
      <w:lvlJc w:val="left"/>
      <w:lvlText w:val="(%1)"/>
      <w:numFmt w:val="lowerLetter"/>
      <w:start w:val="4"/>
    </w:lvl>
  </w:abstractNum>
  <w:abstractNum w:abstractNumId="45">
    <w:nsid w:val="15014ACB"/>
    <w:multiLevelType w:val="hybridMultilevel"/>
    <w:lvl w:ilvl="0">
      <w:lvlJc w:val="left"/>
      <w:lvlText w:val="(%1)"/>
      <w:numFmt w:val="lowerLetter"/>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upperLetter"/>
      <w:start w:val="1"/>
    </w:lvl>
  </w:abstractNum>
  <w:abstractNum w:abstractNumId="48">
    <w:nsid w:val="799D0247"/>
    <w:multiLevelType w:val="hybridMultilevel"/>
    <w:lvl w:ilvl="0">
      <w:lvlJc w:val="left"/>
      <w:lvlText w:val="(%1)"/>
      <w:numFmt w:val="upperLetter"/>
      <w:start w:val="2"/>
    </w:lvl>
  </w:abstractNum>
  <w:abstractNum w:abstractNumId="49">
    <w:nsid w:val="6B94764"/>
    <w:multiLevelType w:val="hybridMultilevel"/>
    <w:lvl w:ilvl="0">
      <w:lvlJc w:val="left"/>
      <w:lvlText w:val="%1"/>
      <w:numFmt w:val="decimal"/>
      <w:start w:val="13"/>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2"/>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lowerLetter"/>
      <w:start w:val="2"/>
    </w:lvl>
  </w:abstractNum>
  <w:abstractNum w:abstractNumId="56">
    <w:nsid w:val="7BD3EE7B"/>
    <w:multiLevelType w:val="hybridMultilevel"/>
    <w:lvl w:ilvl="0">
      <w:lvlJc w:val="left"/>
      <w:lvlText w:val="(%1)"/>
      <w:numFmt w:val="lowerLetter"/>
      <w:start w:val="4"/>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1)"/>
      <w:numFmt w:val="lowerLetter"/>
      <w:start w:val="2"/>
    </w:lvl>
  </w:abstractNum>
  <w:abstractNum w:abstractNumId="59">
    <w:nsid w:val="BF72B14"/>
    <w:multiLevelType w:val="hybridMultilevel"/>
    <w:lvl w:ilvl="0">
      <w:lvlJc w:val="left"/>
      <w:lvlText w:val="X"/>
      <w:numFmt w:val="bullet"/>
      <w:start w:val="1"/>
    </w:lvl>
  </w:abstractNum>
  <w:abstractNum w:abstractNumId="60">
    <w:nsid w:val="11447B73"/>
    <w:multiLevelType w:val="hybridMultilevel"/>
    <w:lvl w:ilvl="0">
      <w:lvlJc w:val="left"/>
      <w:lvlText w:val="Y"/>
      <w:numFmt w:val="bullet"/>
      <w:start w:val="1"/>
    </w:lvl>
  </w:abstractNum>
  <w:abstractNum w:abstractNumId="61">
    <w:nsid w:val="42963E5A"/>
    <w:multiLevelType w:val="hybridMultilevel"/>
    <w:lvl w:ilvl="0">
      <w:lvlJc w:val="left"/>
      <w:lvlText w:val="(%1)"/>
      <w:numFmt w:val="lowerLetter"/>
      <w:start w:val="3"/>
    </w:lvl>
  </w:abstractNum>
  <w:abstractNum w:abstractNumId="62">
    <w:nsid w:val="A0382C5"/>
    <w:multiLevelType w:val="hybridMultilevel"/>
    <w:lvl w:ilvl="0">
      <w:lvlJc w:val="left"/>
      <w:lvlText w:val="(%1)"/>
      <w:numFmt w:val="upperLetter"/>
      <w:start w:val="1"/>
    </w:lvl>
  </w:abstractNum>
  <w:abstractNum w:abstractNumId="63">
    <w:nsid w:val="8F2B15E"/>
    <w:multiLevelType w:val="hybridMultilevel"/>
    <w:lvl w:ilvl="0">
      <w:lvlJc w:val="left"/>
      <w:lvlText w:val="(%1)"/>
      <w:numFmt w:val="lowerLetter"/>
      <w:start w:val="4"/>
    </w:lvl>
  </w:abstractNum>
  <w:abstractNum w:abstractNumId="64">
    <w:nsid w:val="1A32234B"/>
    <w:multiLevelType w:val="hybridMultilevel"/>
    <w:lvl w:ilvl="0">
      <w:lvlJc w:val="left"/>
      <w:lvlText w:val="C"/>
      <w:numFmt w:val="bullet"/>
      <w:start w:val="1"/>
    </w:lvl>
  </w:abstractNum>
  <w:abstractNum w:abstractNumId="65">
    <w:nsid w:val="3B0FD379"/>
    <w:multiLevelType w:val="hybridMultilevel"/>
    <w:lvl w:ilvl="0">
      <w:lvlJc w:val="left"/>
      <w:lvlText w:val="(%1)"/>
      <w:numFmt w:val="lowerLetter"/>
      <w:start w:val="5"/>
    </w:lvl>
  </w:abstractNum>
  <w:abstractNum w:abstractNumId="66">
    <w:nsid w:val="68EB2F63"/>
    <w:multiLevelType w:val="hybridMultilevel"/>
    <w:lvl w:ilvl="0">
      <w:lvlJc w:val="left"/>
      <w:lvlText w:val="(%1)"/>
      <w:numFmt w:val="lowerLetter"/>
      <w:start w:val="6"/>
    </w:lvl>
    <w:lvl w:ilvl="1">
      <w:lvlJc w:val="left"/>
      <w:lvlText w:val="(%2)"/>
      <w:numFmt w:val="lowerRoman"/>
      <w:start w:val="1"/>
    </w:lvl>
  </w:abstractNum>
  <w:abstractNum w:abstractNumId="67">
    <w:nsid w:val="4962813B"/>
    <w:multiLevelType w:val="hybridMultilevel"/>
    <w:lvl w:ilvl="0">
      <w:lvlJc w:val="left"/>
      <w:lvlText w:val="%1"/>
      <w:numFmt w:val="lowerLetter"/>
      <w:start w:val="1"/>
    </w:lvl>
    <w:lvl w:ilvl="1">
      <w:lvlJc w:val="left"/>
      <w:lvlText w:val="(%2)"/>
      <w:numFmt w:val="lowerRoman"/>
      <w:start w:val="4"/>
    </w:lvl>
  </w:abstractNum>
  <w:abstractNum w:abstractNumId="68">
    <w:nsid w:val="60B6DF70"/>
    <w:multiLevelType w:val="hybridMultilevel"/>
    <w:lvl w:ilvl="0">
      <w:lvlJc w:val="left"/>
      <w:lvlText w:val="(%1)"/>
      <w:numFmt w:val="lowerLetter"/>
      <w:start w:val="11"/>
    </w:lvl>
    <w:lvl w:ilvl="1">
      <w:lvlJc w:val="left"/>
      <w:lvlText w:val="%2"/>
      <w:numFmt w:val="lowerRoman"/>
      <w:start w:val="1"/>
    </w:lvl>
  </w:abstractNum>
  <w:abstractNum w:abstractNumId="69">
    <w:nsid w:val="6A5EE64"/>
    <w:multiLevelType w:val="hybridMultilevel"/>
    <w:lvl w:ilvl="0">
      <w:lvlJc w:val="left"/>
      <w:lvlText w:val="(%1)"/>
      <w:numFmt w:val="lowerLetter"/>
      <w:start w:val="1"/>
    </w:lvl>
    <w:lvl w:ilvl="1">
      <w:lvlJc w:val="left"/>
      <w:lvlText w:val="(%2)"/>
      <w:numFmt w:val="lowerRoman"/>
      <w:start w:val="1"/>
    </w:lvl>
  </w:abstractNum>
  <w:abstractNum w:abstractNumId="70">
    <w:nsid w:val="14330624"/>
    <w:multiLevelType w:val="hybridMultilevel"/>
    <w:lvl w:ilvl="0">
      <w:lvlJc w:val="left"/>
      <w:lvlText w:val="(%1)"/>
      <w:numFmt w:val="lowerLetter"/>
      <w:start w:val="2"/>
    </w:lvl>
    <w:lvl w:ilvl="1">
      <w:lvlJc w:val="left"/>
      <w:lvlText w:val="(%2)"/>
      <w:numFmt w:val="lowerRoman"/>
      <w:start w:val="1"/>
    </w:lvl>
  </w:abstractNum>
  <w:abstractNum w:abstractNumId="71">
    <w:nsid w:val="7FFFCA11"/>
    <w:multiLevelType w:val="hybridMultilevel"/>
    <w:lvl w:ilvl="0">
      <w:lvlJc w:val="left"/>
      <w:lvlText w:val="(%1)"/>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lowerLetter"/>
      <w:start w:val="7"/>
    </w:lvl>
  </w:abstractNum>
  <w:abstractNum w:abstractNumId="75">
    <w:nsid w:val="7FB7E0AA"/>
    <w:multiLevelType w:val="hybridMultilevel"/>
    <w:lvl w:ilvl="0">
      <w:lvlJc w:val="left"/>
      <w:lvlText w:val="%1"/>
      <w:numFmt w:val="decimal"/>
      <w:start w:val="14"/>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4"/>
    </w:lvl>
  </w:abstractNum>
  <w:abstractNum w:abstractNumId="78">
    <w:nsid w:val="94211F2"/>
    <w:multiLevelType w:val="hybridMultilevel"/>
    <w:lvl w:ilvl="0">
      <w:lvlJc w:val="left"/>
      <w:lvlText w:val="(%1)"/>
      <w:numFmt w:val="lowerRoman"/>
      <w:start w:val="2"/>
    </w:lvl>
  </w:abstractNum>
  <w:abstractNum w:abstractNumId="79">
    <w:nsid w:val="885E1B"/>
    <w:multiLevelType w:val="hybridMultilevel"/>
    <w:lvl w:ilvl="0">
      <w:lvlJc w:val="left"/>
      <w:lvlText w:val="(%1)"/>
      <w:numFmt w:val="lowerLetter"/>
      <w:start w:val="1"/>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1"/>
    </w:lvl>
    <w:lvl w:ilvl="1">
      <w:lvlJc w:val="left"/>
      <w:lvlText w:val="(%2)"/>
      <w:numFmt w:val="lowerLetter"/>
      <w:start w:val="1"/>
    </w:lvl>
  </w:abstractNum>
  <w:abstractNum w:abstractNumId="83">
    <w:nsid w:val="14E17E33"/>
    <w:multiLevelType w:val="hybridMultilevel"/>
    <w:lvl w:ilvl="0">
      <w:lvlJc w:val="left"/>
      <w:lvlText w:val="(%1)"/>
      <w:numFmt w:val="lowerLetter"/>
      <w:start w:val="35"/>
    </w:lvl>
    <w:lvl w:ilvl="1">
      <w:lvlJc w:val="left"/>
      <w:lvlText w:val="(%2)"/>
      <w:numFmt w:val="lowerLetter"/>
      <w:start w:val="2"/>
    </w:lvl>
  </w:abstractNum>
  <w:abstractNum w:abstractNumId="84">
    <w:nsid w:val="3222E7CD"/>
    <w:multiLevelType w:val="hybridMultilevel"/>
    <w:lvl w:ilvl="0">
      <w:lvlJc w:val="left"/>
      <w:lvlText w:val="(%1)"/>
      <w:numFmt w:val="lowerLetter"/>
      <w:start w:val="8"/>
    </w:lvl>
  </w:abstractNum>
  <w:abstractNum w:abstractNumId="85">
    <w:nsid w:val="74DE0EE3"/>
    <w:multiLevelType w:val="hybridMultilevel"/>
    <w:lvl w:ilvl="0">
      <w:lvlJc w:val="left"/>
      <w:lvlText w:val="%1"/>
      <w:numFmt w:val="lowerLetter"/>
      <w:start w:val="1"/>
    </w:lvl>
    <w:lvl w:ilvl="1">
      <w:lvlJc w:val="left"/>
      <w:lvlText w:val="(%2)"/>
      <w:numFmt w:val="lowerLetter"/>
      <w:start w:val="12"/>
    </w:lvl>
  </w:abstractNum>
  <w:abstractNum w:abstractNumId="86">
    <w:nsid w:val="68EBC550"/>
    <w:multiLevelType w:val="hybridMultilevel"/>
    <w:lvl w:ilvl="0">
      <w:lvlJc w:val="left"/>
      <w:lvlText w:val="(%1)"/>
      <w:numFmt w:val="lowerLetter"/>
      <w:start w:val="35"/>
    </w:lvl>
    <w:lvl w:ilvl="1">
      <w:lvlJc w:val="left"/>
      <w:lvlText w:val="(%2)"/>
      <w:numFmt w:val="lowerLetter"/>
      <w:start w:val="13"/>
    </w:lvl>
  </w:abstractNum>
  <w:abstractNum w:abstractNumId="87">
    <w:nsid w:val="2DF6D648"/>
    <w:multiLevelType w:val="hybridMultilevel"/>
    <w:lvl w:ilvl="0">
      <w:lvlJc w:val="left"/>
      <w:lvlText w:val="(%1)"/>
      <w:numFmt w:val="lowerLetter"/>
      <w:start w:val="13"/>
    </w:lvl>
    <w:lvl w:ilvl="1">
      <w:lvlJc w:val="left"/>
      <w:lvlText w:val="%2"/>
      <w:numFmt w:val="lowerLetter"/>
      <w:start w:val="1"/>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lowerLetter"/>
      <w:start w:val="10"/>
    </w:lvl>
  </w:abstractNum>
  <w:abstractNum w:abstractNumId="90">
    <w:nsid w:val="39EE015C"/>
    <w:multiLevelType w:val="hybridMultilevel"/>
    <w:lvl w:ilvl="0">
      <w:lvlJc w:val="left"/>
      <w:lvlText w:val="%1"/>
      <w:numFmt w:val="lowerLetter"/>
      <w:start w:val="1"/>
    </w:lvl>
    <w:lvl w:ilvl="1">
      <w:lvlJc w:val="left"/>
      <w:lvlText w:val="(%2)"/>
      <w:numFmt w:val="lowerLetter"/>
      <w:start w:val="1"/>
    </w:lvl>
  </w:abstractNum>
  <w:abstractNum w:abstractNumId="91">
    <w:nsid w:val="57FC4FBB"/>
    <w:multiLevelType w:val="hybridMultilevel"/>
    <w:lvl w:ilvl="0">
      <w:lvlJc w:val="left"/>
      <w:lvlText w:val="(%1)"/>
      <w:numFmt w:val="lowerLetter"/>
      <w:start w:val="35"/>
    </w:lvl>
    <w:lvl w:ilvl="1">
      <w:lvlJc w:val="left"/>
      <w:lvlText w:val="(%2)"/>
      <w:numFmt w:val="lowerLetter"/>
      <w:start w:val="4"/>
    </w:lvl>
  </w:abstractNum>
  <w:abstractNum w:abstractNumId="92">
    <w:nsid w:val="CC1016F"/>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jpeg"/><Relationship Id="rId51" Type="http://schemas.openxmlformats.org/officeDocument/2006/relationships/image" Target="media/image34.png"/><Relationship Id="rId52" Type="http://schemas.openxmlformats.org/officeDocument/2006/relationships/image" Target="media/image35.jpeg"/><Relationship Id="rId53" Type="http://schemas.openxmlformats.org/officeDocument/2006/relationships/image" Target="media/image36.png"/><Relationship Id="rId54" Type="http://schemas.openxmlformats.org/officeDocument/2006/relationships/image" Target="media/image37.jpeg"/><Relationship Id="rId55" Type="http://schemas.openxmlformats.org/officeDocument/2006/relationships/image" Target="media/image38.png"/><Relationship Id="rId56" Type="http://schemas.openxmlformats.org/officeDocument/2006/relationships/image" Target="media/image39.jpeg"/><Relationship Id="rId57" Type="http://schemas.openxmlformats.org/officeDocument/2006/relationships/image" Target="media/image40.png"/><Relationship Id="rId58" Type="http://schemas.openxmlformats.org/officeDocument/2006/relationships/image" Target="media/image41.jpeg"/><Relationship Id="rId59" Type="http://schemas.openxmlformats.org/officeDocument/2006/relationships/image" Target="media/image42.png"/><Relationship Id="rId60" Type="http://schemas.openxmlformats.org/officeDocument/2006/relationships/image" Target="media/image43.jpe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8" Type="http://schemas.openxmlformats.org/officeDocument/2006/relationships/hyperlink" Target="http://www.sec.gov/Archives/edgar/data/0001162194/000119312522016151/d243622dex102.htm" TargetMode="External"/><Relationship Id="rId19" Type="http://schemas.openxmlformats.org/officeDocument/2006/relationships/hyperlink" Target="http://www.sec.gov/Archives/edgar/data/1162194/000119312522016151/d243622dex103.htm" TargetMode="External"/><Relationship Id="rId20" Type="http://schemas.openxmlformats.org/officeDocument/2006/relationships/hyperlink" Target="http://www.sec.gov/Archives/edgar/data/1162194/000119312522016151/d243622dex104.htm" TargetMode="External"/><Relationship Id="rId21" Type="http://schemas.openxmlformats.org/officeDocument/2006/relationships/hyperlink" Target="http://www.sec.gov/Archives/edgar/data/1162194/000119312522016151/d243622dex105.htm" TargetMode="External"/><Relationship Id="rId22" Type="http://schemas.openxmlformats.org/officeDocument/2006/relationships/hyperlink" Target="http://www.sec.gov/Archives/edgar/data/1162194/000119312522016151/d243622dex106.htm" TargetMode="External"/><Relationship Id="rId23" Type="http://schemas.openxmlformats.org/officeDocument/2006/relationships/hyperlink" Target="http://www.sec.gov/Archives/edgar/data/1162194/000119312522016151/d243622dex107.htm" TargetMode="External"/><Relationship Id="rId24" Type="http://schemas.openxmlformats.org/officeDocument/2006/relationships/hyperlink" Target="http://www.sec.gov/Archives/edgar/data/1162194/000119312522016151/d243622dex108.htm" TargetMode="External"/><Relationship Id="rId25" Type="http://schemas.openxmlformats.org/officeDocument/2006/relationships/hyperlink" Target="http://www.sec.gov/Archives/edgar/data/1162194/000119312522016151/d243622dex109.htm" TargetMode="External"/><Relationship Id="rId26" Type="http://schemas.openxmlformats.org/officeDocument/2006/relationships/hyperlink" Target="http://www.sec.gov/Archives/edgar/data/1162194/000119312522016151/d243622dex1010.htm" TargetMode="External"/><Relationship Id="rId27" Type="http://schemas.openxmlformats.org/officeDocument/2006/relationships/hyperlink" Target="http://www.sec.gov/Archives/edgar/data/1162194/000119312522016151/d24362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2022-02-12T02:40:15Z</dcterms:created>
  <dcterms:modified xsi:type="dcterms:W3CDTF">2022-02-12T02:40:15Z</dcterms:modified>
</cp:coreProperties>
</file>