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7)</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Fluidigm Corporation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$.001 par value per share</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34385P108</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John A. Levin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Levin Capital Strategies,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595 Madison Avenue, 17th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259-0800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March 18, 2019</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34385P108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Levin Capital Strategies,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 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9,079,192</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12,384,763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12,384,763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18.0%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Levin Capital Strategies GP, LLC</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9,079,192</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12,384,763</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12,384,763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18.0%</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Bi-Directional Disequilibrium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95,606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LCS, LLC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95,606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John A. Levin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United States of America</w:t>
            </w: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12,570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9,115,801</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12,570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12,384,763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12,384,763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18.0%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34385P108</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7 to the Schedule 13D filed by the undersigned (the “Amendment No. 7”).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 amends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SOURCE AND AMOUNT OF FUNDS OR OTHER CONSIDERATION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as follows:</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The Shares purchased by LCS on behalf of separately managed accounts, including Transamerica Large Cap Value Fund, a registered investment company under the Investment Company Act of 1940, as amended ("Transamerica"), for which LCS acts as sub-investment advisor, were purchased with general investment funds in open market purchases, except as otherwise noted on Schedule A. The aggregate purchase price of the 12,433,942 Shares beneficially owned directly by John A. Levin is approximately $73,801,445 including brokerage commissions. The aggregate purchase price of the 12,433,942 Shares beneficially owned directly by LCS is approximately $73,801,445, including brokerage commissions.</w:t>
      </w:r>
    </w:p>
    <w:p>
      <w:pPr>
        <w:spacing w:after="0" w:line="158"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The Shares purchased by Bi-Directional were purchased with general investment funds in open market purchases, except as otherwise noted. The aggregate purchase price of the 95,606 Shares owned directly by Bi-Directional is approximately $581,206, including brokerage commissions.</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u w:val="single" w:color="auto"/>
          <w:color w:val="auto"/>
        </w:rPr>
        <w:t>INTEREST IN SECURITIES OF THE ISSUER</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5(a)-(d) are hereby amended and restated as follows:</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68,989,239 Shares outstanding as of March 13, 2019, which is the total number of Shares outstanding as reported in the Issuer’s Prospectus on Form S-3ASR filed with the Securities and Exchange Commission on March 18,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LCS</w:t>
      </w:r>
    </w:p>
    <w:p>
      <w:pPr>
        <w:spacing w:after="0" w:line="225" w:lineRule="exact"/>
        <w:rPr>
          <w:sz w:val="20"/>
          <w:szCs w:val="20"/>
          <w:color w:val="auto"/>
        </w:rPr>
      </w:pPr>
    </w:p>
    <w:p>
      <w:pPr>
        <w:ind w:firstLine="656"/>
        <w:spacing w:after="0" w:line="277" w:lineRule="auto"/>
        <w:tabs>
          <w:tab w:leader="none" w:pos="1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the close of business on March 18, 2019, LCS beneficially owned 12,384,763 Shares on behalf of separately managed accounts, including 1,870,000 Shares held by the separately managed account Transamerica.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34385P108</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18.0%</w:t>
      </w:r>
    </w:p>
    <w:p>
      <w:pPr>
        <w:spacing w:after="0" w:line="225" w:lineRule="exact"/>
        <w:rPr>
          <w:sz w:val="20"/>
          <w:szCs w:val="20"/>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direct vote: 9,079,192</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12,384,763</w:t>
      </w:r>
    </w:p>
    <w:p>
      <w:pPr>
        <w:spacing w:after="0" w:line="210" w:lineRule="exact"/>
        <w:rPr>
          <w:rFonts w:ascii="Arial" w:cs="Arial" w:eastAsia="Arial" w:hAnsi="Arial"/>
          <w:sz w:val="18"/>
          <w:szCs w:val="18"/>
          <w:color w:val="auto"/>
        </w:rPr>
      </w:pPr>
    </w:p>
    <w:p>
      <w:pPr>
        <w:ind w:right="20" w:firstLine="656"/>
        <w:spacing w:after="0" w:line="277" w:lineRule="auto"/>
        <w:tabs>
          <w:tab w:leader="none" w:pos="1251"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transactions in the Shares by LCS on behalf of separately managed accounts, including Transamerica, during the past 60 days are set forth in Schedule A and are incorporated herein by reference.</w:t>
      </w:r>
    </w:p>
    <w:p>
      <w:pPr>
        <w:spacing w:after="0" w:line="17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LCS GP</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the General Partner of LCS, LCS GP is deemed to beneficially own the 12,384,763 Shares beneficially owned by LCS.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18.0%</w:t>
      </w:r>
    </w:p>
    <w:p>
      <w:pPr>
        <w:spacing w:after="0" w:line="225" w:lineRule="exact"/>
        <w:rPr>
          <w:sz w:val="20"/>
          <w:szCs w:val="20"/>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9,079,192</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12,384,763</w:t>
      </w:r>
    </w:p>
    <w:p>
      <w:pPr>
        <w:spacing w:after="0" w:line="210" w:lineRule="exact"/>
        <w:rPr>
          <w:rFonts w:ascii="Arial" w:cs="Arial" w:eastAsia="Arial" w:hAnsi="Arial"/>
          <w:sz w:val="18"/>
          <w:szCs w:val="18"/>
          <w:color w:val="auto"/>
        </w:rPr>
      </w:pPr>
    </w:p>
    <w:p>
      <w:pPr>
        <w:ind w:firstLine="656"/>
        <w:spacing w:after="0" w:line="277" w:lineRule="auto"/>
        <w:tabs>
          <w:tab w:leader="none" w:pos="1196" w:val="left"/>
        </w:tabs>
        <w:numPr>
          <w:ilvl w:val="1"/>
          <w:numId w:val="7"/>
        </w:numPr>
        <w:rPr>
          <w:rFonts w:ascii="Arial" w:cs="Arial" w:eastAsia="Arial" w:hAnsi="Arial"/>
          <w:sz w:val="18"/>
          <w:szCs w:val="18"/>
          <w:color w:val="auto"/>
        </w:rPr>
      </w:pPr>
      <w:r>
        <w:rPr>
          <w:rFonts w:ascii="Arial" w:cs="Arial" w:eastAsia="Arial" w:hAnsi="Arial"/>
          <w:sz w:val="18"/>
          <w:szCs w:val="18"/>
          <w:color w:val="auto"/>
        </w:rPr>
        <w:t>LCS GP has not undertaken any transactions in the Shares during the past 60 days. The transactions in the Shares by LCS during the past 60 days are set forth in Schedule A and are incorporated herein by reference.</w:t>
      </w:r>
    </w:p>
    <w:p>
      <w:pPr>
        <w:spacing w:after="0" w:line="17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 Bi-Directional</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of the close of business on March 18, 2019, Bi-Directional beneficially owned 95,606 Shares.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Less than 1.0%</w:t>
      </w:r>
    </w:p>
    <w:p>
      <w:pPr>
        <w:spacing w:after="0" w:line="225" w:lineRule="exact"/>
        <w:rPr>
          <w:sz w:val="20"/>
          <w:szCs w:val="20"/>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95,606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95,606</w:t>
      </w:r>
    </w:p>
    <w:p>
      <w:pPr>
        <w:spacing w:after="0" w:line="210" w:lineRule="exact"/>
        <w:rPr>
          <w:rFonts w:ascii="Arial" w:cs="Arial" w:eastAsia="Arial" w:hAnsi="Arial"/>
          <w:sz w:val="18"/>
          <w:szCs w:val="18"/>
          <w:color w:val="auto"/>
        </w:rPr>
      </w:pPr>
    </w:p>
    <w:p>
      <w:pPr>
        <w:ind w:left="1180" w:hanging="524"/>
        <w:spacing w:after="0"/>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Bi-Directional has not undertaken any transactions in the Shares during the past 60 days.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 LCSL</w:t>
      </w:r>
    </w:p>
    <w:p>
      <w:pPr>
        <w:spacing w:after="0" w:line="225" w:lineRule="exact"/>
        <w:rPr>
          <w:rFonts w:ascii="Arial" w:cs="Arial" w:eastAsia="Arial" w:hAnsi="Arial"/>
          <w:sz w:val="18"/>
          <w:szCs w:val="18"/>
          <w:color w:val="auto"/>
        </w:rPr>
      </w:pPr>
    </w:p>
    <w:p>
      <w:pPr>
        <w:ind w:left="1300" w:right="540" w:hanging="644"/>
        <w:spacing w:after="0" w:line="501" w:lineRule="auto"/>
        <w:tabs>
          <w:tab w:leader="none" w:pos="11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the general partner of LCSL, Bi-Directional is deemed to beneficially own the 95,606 Shares beneficially owned by Bi-Directional. Percentage: Less than 1.0%</w:t>
      </w: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95,606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95,606</w:t>
      </w:r>
    </w:p>
    <w:p>
      <w:pPr>
        <w:spacing w:after="0" w:line="210" w:lineRule="exact"/>
        <w:rPr>
          <w:rFonts w:ascii="Arial" w:cs="Arial" w:eastAsia="Arial" w:hAnsi="Arial"/>
          <w:sz w:val="18"/>
          <w:szCs w:val="18"/>
          <w:color w:val="auto"/>
        </w:rPr>
      </w:pPr>
    </w:p>
    <w:p>
      <w:pPr>
        <w:ind w:left="1180" w:hanging="524"/>
        <w:spacing w:after="0"/>
        <w:tabs>
          <w:tab w:leader="none" w:pos="1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LCSL has not undertaken any transactions in the Shares during the past 60 days.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34385P108</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E. John Levin</w:t>
      </w:r>
    </w:p>
    <w:p>
      <w:pPr>
        <w:spacing w:after="0" w:line="225" w:lineRule="exact"/>
        <w:rPr>
          <w:sz w:val="20"/>
          <w:szCs w:val="20"/>
          <w:color w:val="auto"/>
        </w:rPr>
      </w:pPr>
    </w:p>
    <w:p>
      <w:pPr>
        <w:ind w:right="20" w:firstLine="656"/>
        <w:spacing w:after="0" w:line="277" w:lineRule="auto"/>
        <w:tabs>
          <w:tab w:leader="none" w:pos="11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the Chief Executive Officer of LCS and the Managing Member of each of LCSEP and LCSLS, Mr. Levin is deemed to beneficially own 12,384,763 Shares beneficially owned by LCS.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18.0%</w:t>
      </w:r>
    </w:p>
    <w:p>
      <w:pPr>
        <w:spacing w:after="0" w:line="22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12,570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9,115,801</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12,570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12,384,763</w:t>
      </w:r>
    </w:p>
    <w:p>
      <w:pPr>
        <w:spacing w:after="0" w:line="210" w:lineRule="exact"/>
        <w:rPr>
          <w:rFonts w:ascii="Arial" w:cs="Arial" w:eastAsia="Arial" w:hAnsi="Arial"/>
          <w:sz w:val="18"/>
          <w:szCs w:val="18"/>
          <w:color w:val="auto"/>
        </w:rPr>
      </w:pPr>
    </w:p>
    <w:p>
      <w:pPr>
        <w:ind w:firstLine="656"/>
        <w:spacing w:after="0" w:line="277" w:lineRule="auto"/>
        <w:tabs>
          <w:tab w:leader="none" w:pos="11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Levin has not entered into any transactions during the past 60 days. The transactions in the Shares by LCS during the past 60 days are set forth in Schedule A and are incorporated herein by reference.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7" w:lineRule="exact"/>
        <w:rPr>
          <w:sz w:val="20"/>
          <w:szCs w:val="20"/>
          <w:color w:val="auto"/>
        </w:rPr>
      </w:pPr>
    </w:p>
    <w:p>
      <w:pPr>
        <w:jc w:val="both"/>
        <w:ind w:right="20" w:firstLine="656"/>
        <w:spacing w:after="0" w:line="264" w:lineRule="auto"/>
        <w:tabs>
          <w:tab w:leader="none" w:pos="1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separately managed account, Transamerica, a registered investment company under the Investment Company Act of 1940, as amended, for which LCS acts as sub-investment advisor, has the right to receive dividends from, and the proceeds from the sale of, 1,870,000 Shares. Voting and dispositive power over such Shares is deemed to be shared between LCS and Transamerica.</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Various other separately managed accounts for whom LCS acts as investment manager have the right to receive dividends from, and the proceeds from the sale of 10,419,157 Shares. Dispositive power over such Shares is shared. Voting power over such Shares is deemed shared between such managed accounts and LCS with respect to 9,079,192 Shares.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34385P108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20, 2019</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Levin Capital Strategies, L.P.</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Levin Capital Strategies GP, LLC</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John A. Levin 2005 GRAT Separation Trust, as Managing</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Member</w:t>
            </w:r>
          </w:p>
        </w:tc>
        <w:tc>
          <w:tcPr>
            <w:tcW w:w="388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Elisabeth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Elisabeth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Trustee</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Bi-Directional Fund,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Levin Capital Strategies, L.P., the investment manager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rPr>
              <w:t>LCS, LLC</w:t>
            </w:r>
          </w:p>
        </w:tc>
        <w:tc>
          <w:tcPr>
            <w:tcW w:w="38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John A. Levin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302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34385P108</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Transactions in the Shares Since During the Past 60 Days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320" w:type="dxa"/>
            <w:vAlign w:val="bottom"/>
            <w:tcBorders>
              <w:top w:val="single" w:sz="8" w:color="auto"/>
              <w:left w:val="single" w:sz="8" w:color="auto"/>
              <w:right w:val="single" w:sz="8" w:color="auto"/>
            </w:tcBorders>
            <w:vMerge w:val="restart"/>
            <w:shd w:val="clear" w:color="auto" w:fill="C0C0C0"/>
          </w:tcPr>
          <w:p>
            <w:pPr>
              <w:jc w:val="right"/>
              <w:ind w:right="910"/>
              <w:spacing w:after="0"/>
              <w:rPr>
                <w:sz w:val="20"/>
                <w:szCs w:val="20"/>
                <w:color w:val="auto"/>
              </w:rPr>
            </w:pPr>
            <w:r>
              <w:rPr>
                <w:rFonts w:ascii="Arial" w:cs="Arial" w:eastAsia="Arial" w:hAnsi="Arial"/>
                <w:sz w:val="18"/>
                <w:szCs w:val="18"/>
                <w:color w:val="auto"/>
              </w:rPr>
              <w:t>Date</w:t>
            </w:r>
          </w:p>
        </w:tc>
        <w:tc>
          <w:tcPr>
            <w:tcW w:w="2280" w:type="dxa"/>
            <w:vAlign w:val="bottom"/>
            <w:tcBorders>
              <w:top w:val="single" w:sz="8" w:color="auto"/>
              <w:right w:val="single" w:sz="8" w:color="auto"/>
            </w:tcBorders>
            <w:vMerge w:val="restart"/>
            <w:shd w:val="clear" w:color="auto" w:fill="C0C0C0"/>
          </w:tcPr>
          <w:p>
            <w:pPr>
              <w:ind w:left="700"/>
              <w:spacing w:after="0"/>
              <w:rPr>
                <w:sz w:val="20"/>
                <w:szCs w:val="20"/>
                <w:color w:val="auto"/>
              </w:rPr>
            </w:pPr>
            <w:r>
              <w:rPr>
                <w:rFonts w:ascii="Arial" w:cs="Arial" w:eastAsia="Arial" w:hAnsi="Arial"/>
                <w:sz w:val="18"/>
                <w:szCs w:val="18"/>
                <w:color w:val="auto"/>
              </w:rPr>
              <w:t>Buy or Sell</w:t>
            </w:r>
          </w:p>
        </w:tc>
        <w:tc>
          <w:tcPr>
            <w:tcW w:w="2280" w:type="dxa"/>
            <w:vAlign w:val="bottom"/>
            <w:tcBorders>
              <w:top w:val="single" w:sz="8" w:color="auto"/>
              <w:right w:val="single" w:sz="8" w:color="auto"/>
            </w:tcBorders>
            <w:vMerge w:val="restart"/>
            <w:shd w:val="clear" w:color="auto" w:fill="C0C0C0"/>
          </w:tcPr>
          <w:p>
            <w:pPr>
              <w:jc w:val="right"/>
              <w:ind w:right="750"/>
              <w:spacing w:after="0"/>
              <w:rPr>
                <w:sz w:val="20"/>
                <w:szCs w:val="20"/>
                <w:color w:val="auto"/>
              </w:rPr>
            </w:pPr>
            <w:r>
              <w:rPr>
                <w:rFonts w:ascii="Arial" w:cs="Arial" w:eastAsia="Arial" w:hAnsi="Arial"/>
                <w:sz w:val="18"/>
                <w:szCs w:val="18"/>
                <w:color w:val="auto"/>
              </w:rPr>
              <w:t>Quantity</w:t>
            </w:r>
          </w:p>
        </w:tc>
        <w:tc>
          <w:tcPr>
            <w:tcW w:w="22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8"/>
              </w:rPr>
              <w:t>Price Per Share (before</w:t>
            </w:r>
          </w:p>
        </w:tc>
        <w:tc>
          <w:tcPr>
            <w:tcW w:w="2260" w:type="dxa"/>
            <w:vAlign w:val="bottom"/>
            <w:tcBorders>
              <w:top w:val="single" w:sz="8" w:color="auto"/>
              <w:right w:val="single" w:sz="8" w:color="auto"/>
            </w:tcBorders>
            <w:vMerge w:val="restart"/>
            <w:shd w:val="clear" w:color="auto" w:fill="C0C0C0"/>
          </w:tcPr>
          <w:p>
            <w:pPr>
              <w:ind w:left="500"/>
              <w:spacing w:after="0"/>
              <w:rPr>
                <w:sz w:val="20"/>
                <w:szCs w:val="20"/>
                <w:color w:val="auto"/>
              </w:rPr>
            </w:pPr>
            <w:r>
              <w:rPr>
                <w:rFonts w:ascii="Arial" w:cs="Arial" w:eastAsia="Arial" w:hAnsi="Arial"/>
                <w:sz w:val="18"/>
                <w:szCs w:val="18"/>
                <w:color w:val="auto"/>
              </w:rPr>
              <w:t>Reporting Person</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continue"/>
            <w:shd w:val="clear" w:color="auto" w:fill="C0C0C0"/>
          </w:tcPr>
          <w:p>
            <w:pPr>
              <w:spacing w:after="0"/>
              <w:rPr>
                <w:sz w:val="10"/>
                <w:szCs w:val="10"/>
                <w:color w:val="auto"/>
              </w:rPr>
            </w:pPr>
          </w:p>
        </w:tc>
        <w:tc>
          <w:tcPr>
            <w:tcW w:w="2280" w:type="dxa"/>
            <w:vAlign w:val="bottom"/>
            <w:tcBorders>
              <w:right w:val="single" w:sz="8" w:color="auto"/>
            </w:tcBorders>
            <w:vMerge w:val="continue"/>
            <w:shd w:val="clear" w:color="auto" w:fill="C0C0C0"/>
          </w:tcPr>
          <w:p>
            <w:pPr>
              <w:spacing w:after="0"/>
              <w:rPr>
                <w:sz w:val="10"/>
                <w:szCs w:val="10"/>
                <w:color w:val="auto"/>
              </w:rPr>
            </w:pPr>
          </w:p>
        </w:tc>
        <w:tc>
          <w:tcPr>
            <w:tcW w:w="2280" w:type="dxa"/>
            <w:vAlign w:val="bottom"/>
            <w:tcBorders>
              <w:right w:val="single" w:sz="8" w:color="auto"/>
            </w:tcBorders>
            <w:vMerge w:val="continue"/>
            <w:shd w:val="clear" w:color="auto" w:fill="C0C0C0"/>
          </w:tcPr>
          <w:p>
            <w:pPr>
              <w:spacing w:after="0"/>
              <w:rPr>
                <w:sz w:val="10"/>
                <w:szCs w:val="10"/>
                <w:color w:val="auto"/>
              </w:rPr>
            </w:pPr>
          </w:p>
        </w:tc>
        <w:tc>
          <w:tcPr>
            <w:tcW w:w="22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color w:val="auto"/>
                <w:w w:val="91"/>
              </w:rPr>
              <w:t>commission)</w:t>
            </w:r>
          </w:p>
        </w:tc>
        <w:tc>
          <w:tcPr>
            <w:tcW w:w="2260" w:type="dxa"/>
            <w:vAlign w:val="bottom"/>
            <w:tcBorders>
              <w:right w:val="single" w:sz="8" w:color="auto"/>
            </w:tcBorders>
            <w:vMerge w:val="continue"/>
            <w:shd w:val="clear" w:color="auto" w:fill="C0C0C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shd w:val="clear" w:color="auto" w:fill="C0C0C0"/>
          </w:tcPr>
          <w:p>
            <w:pPr>
              <w:spacing w:after="0"/>
              <w:rPr>
                <w:sz w:val="9"/>
                <w:szCs w:val="9"/>
                <w:color w:val="auto"/>
              </w:rPr>
            </w:pPr>
          </w:p>
        </w:tc>
        <w:tc>
          <w:tcPr>
            <w:tcW w:w="2280" w:type="dxa"/>
            <w:vAlign w:val="bottom"/>
            <w:tcBorders>
              <w:bottom w:val="single" w:sz="8" w:color="auto"/>
              <w:right w:val="single" w:sz="8" w:color="auto"/>
            </w:tcBorders>
            <w:shd w:val="clear" w:color="auto" w:fill="C0C0C0"/>
          </w:tcPr>
          <w:p>
            <w:pPr>
              <w:spacing w:after="0"/>
              <w:rPr>
                <w:sz w:val="9"/>
                <w:szCs w:val="9"/>
                <w:color w:val="auto"/>
              </w:rPr>
            </w:pPr>
          </w:p>
        </w:tc>
        <w:tc>
          <w:tcPr>
            <w:tcW w:w="2280" w:type="dxa"/>
            <w:vAlign w:val="bottom"/>
            <w:tcBorders>
              <w:bottom w:val="single" w:sz="8" w:color="auto"/>
              <w:right w:val="single" w:sz="8" w:color="auto"/>
            </w:tcBorders>
            <w:shd w:val="clear" w:color="auto" w:fill="C0C0C0"/>
          </w:tcPr>
          <w:p>
            <w:pPr>
              <w:spacing w:after="0"/>
              <w:rPr>
                <w:sz w:val="9"/>
                <w:szCs w:val="9"/>
                <w:color w:val="auto"/>
              </w:rPr>
            </w:pPr>
          </w:p>
        </w:tc>
        <w:tc>
          <w:tcPr>
            <w:tcW w:w="228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2260" w:type="dxa"/>
            <w:vAlign w:val="bottom"/>
            <w:tcBorders>
              <w:bottom w:val="single" w:sz="8" w:color="auto"/>
              <w:right w:val="single" w:sz="8" w:color="auto"/>
            </w:tcBorders>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IA Termination</w:t>
            </w:r>
            <w:r>
              <w:rPr>
                <w:rFonts w:ascii="Arial" w:cs="Arial" w:eastAsia="Arial" w:hAnsi="Arial"/>
                <w:sz w:val="30"/>
                <w:szCs w:val="30"/>
                <w:color w:val="auto"/>
                <w:vertAlign w:val="superscript"/>
              </w:rPr>
              <w:t>1</w:t>
            </w: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02/07/2019</w:t>
            </w:r>
          </w:p>
        </w:tc>
        <w:tc>
          <w:tcPr>
            <w:tcW w:w="22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2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1,936</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IA Termination</w:t>
            </w:r>
            <w:r>
              <w:rPr>
                <w:rFonts w:ascii="Arial" w:cs="Arial" w:eastAsia="Arial" w:hAnsi="Arial"/>
                <w:sz w:val="30"/>
                <w:szCs w:val="30"/>
                <w:color w:val="auto"/>
                <w:vertAlign w:val="superscript"/>
              </w:rPr>
              <w:t>1</w:t>
            </w: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02/19/2019</w:t>
            </w:r>
          </w:p>
        </w:tc>
        <w:tc>
          <w:tcPr>
            <w:tcW w:w="2280" w:type="dxa"/>
            <w:vAlign w:val="bottom"/>
            <w:tcBorders>
              <w:bottom w:val="single" w:sz="8" w:color="auto"/>
              <w:right w:val="single" w:sz="8" w:color="auto"/>
            </w:tcBorders>
            <w:vMerge w:val="continue"/>
          </w:tcPr>
          <w:p>
            <w:pPr>
              <w:spacing w:after="0"/>
              <w:rPr>
                <w:sz w:val="20"/>
                <w:szCs w:val="20"/>
                <w:color w:val="auto"/>
              </w:rPr>
            </w:pPr>
          </w:p>
        </w:tc>
        <w:tc>
          <w:tcPr>
            <w:tcW w:w="2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IA Termination</w:t>
            </w:r>
            <w:r>
              <w:rPr>
                <w:rFonts w:ascii="Arial" w:cs="Arial" w:eastAsia="Arial" w:hAnsi="Arial"/>
                <w:sz w:val="30"/>
                <w:szCs w:val="30"/>
                <w:color w:val="auto"/>
                <w:vertAlign w:val="superscript"/>
              </w:rPr>
              <w:t>1</w:t>
            </w: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02/21/2019</w:t>
            </w:r>
          </w:p>
        </w:tc>
        <w:tc>
          <w:tcPr>
            <w:tcW w:w="22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2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8"/>
        <w:spacing w:after="0" w:line="194" w:lineRule="auto"/>
        <w:tabs>
          <w:tab w:leader="none" w:pos="13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that a Managed Account terminated their investment management contract. LCS ceased to serve as the investment manager for such Managed Account and as such, relinquished all voting and dispositive power over the shares held in Managed Account.</w:t>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1"/>
      <w:numFmt w:val="decimal"/>
      <w:start w:val="14"/>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5">
    <w:nsid w:val="4DB127F8"/>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6">
    <w:nsid w:val="216231B"/>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7">
    <w:nsid w:val="1F16E9E8"/>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8">
    <w:nsid w:val="1190CDE7"/>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9">
    <w:nsid w:val="66EF438D"/>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2"/>
    </w:lvl>
    <w:lvl w:ilvl="1">
      <w:lvlJc w:val="left"/>
      <w:lvlText w:val="%2."/>
      <w:numFmt w:val="decimal"/>
      <w:start w:val="2"/>
    </w:lvl>
  </w:abstractNum>
  <w:abstractNum w:abstractNumId="12">
    <w:nsid w:val="109CF92E"/>
    <w:multiLevelType w:val="hybridMultilevel"/>
    <w:lvl w:ilvl="0">
      <w:lvlJc w:val="left"/>
      <w:lvlText w:val="(%1)"/>
      <w:numFmt w:val="lowerLetter"/>
      <w:start w:val="4"/>
    </w:lvl>
  </w:abstractNum>
  <w:abstractNum w:abstractNumId="13">
    <w:nsid w:val="DED72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2019-12-03T22:14:30Z</dcterms:created>
  <dcterms:modified xsi:type="dcterms:W3CDTF">2019-12-03T22:14:30Z</dcterms:modified>
</cp:coreProperties>
</file>