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18"/>
          <w:szCs w:val="18"/>
          <w:b w:val="1"/>
          <w:bCs w:val="1"/>
          <w:color w:val="231F20"/>
        </w:rPr>
        <w:drawing>
          <wp:anchor simplePos="0" relativeHeight="251657728" behindDoc="1" locked="0" layoutInCell="0" allowOverlap="1">
            <wp:simplePos x="0" y="0"/>
            <wp:positionH relativeFrom="page">
              <wp:posOffset>225425</wp:posOffset>
            </wp:positionH>
            <wp:positionV relativeFrom="page">
              <wp:posOffset>560705</wp:posOffset>
            </wp:positionV>
            <wp:extent cx="70980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1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231F20"/>
        </w:rPr>
        <w:t>SECURITIES AND EXCHANGE COMMISSION</w:t>
      </w:r>
    </w:p>
    <w:p>
      <w:pPr>
        <w:jc w:val="center"/>
        <w:ind w:right="-3"/>
        <w:spacing w:after="0"/>
        <w:rPr>
          <w:sz w:val="20"/>
          <w:szCs w:val="20"/>
          <w:color w:val="auto"/>
        </w:rPr>
      </w:pPr>
      <w:r>
        <w:rPr>
          <w:rFonts w:ascii="Arial" w:cs="Arial" w:eastAsia="Arial" w:hAnsi="Arial"/>
          <w:sz w:val="18"/>
          <w:szCs w:val="18"/>
          <w:b w:val="1"/>
          <w:bCs w:val="1"/>
          <w:color w:val="231F20"/>
        </w:rPr>
        <w:t>Washington, D.C. 20549</w:t>
      </w:r>
    </w:p>
    <w:p>
      <w:pPr>
        <w:spacing w:after="0" w:line="7" w:lineRule="exact"/>
        <w:rPr>
          <w:sz w:val="24"/>
          <w:szCs w:val="24"/>
          <w:color w:val="auto"/>
        </w:rPr>
      </w:pPr>
    </w:p>
    <w:p>
      <w:pPr>
        <w:ind w:left="3844"/>
        <w:spacing w:after="0"/>
        <w:rPr>
          <w:sz w:val="20"/>
          <w:szCs w:val="20"/>
          <w:color w:val="auto"/>
        </w:rPr>
      </w:pPr>
      <w:r>
        <w:rPr>
          <w:rFonts w:ascii="Arial" w:cs="Arial" w:eastAsia="Arial" w:hAnsi="Arial"/>
          <w:sz w:val="18"/>
          <w:szCs w:val="18"/>
          <w:color w:val="auto"/>
        </w:rPr>
        <w:t>_____________________________________</w:t>
      </w:r>
    </w:p>
    <w:p>
      <w:pPr>
        <w:spacing w:after="0" w:line="13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231F20"/>
        </w:rPr>
        <w:t>SCHEDULE 14A INFORMATION</w:t>
      </w:r>
    </w:p>
    <w:p>
      <w:pPr>
        <w:spacing w:after="0" w:line="16" w:lineRule="exact"/>
        <w:rPr>
          <w:sz w:val="24"/>
          <w:szCs w:val="24"/>
          <w:color w:val="auto"/>
        </w:rPr>
      </w:pPr>
    </w:p>
    <w:p>
      <w:pPr>
        <w:ind w:left="3804"/>
        <w:spacing w:after="0"/>
        <w:rPr>
          <w:sz w:val="20"/>
          <w:szCs w:val="20"/>
          <w:color w:val="auto"/>
        </w:rPr>
      </w:pPr>
      <w:r>
        <w:rPr>
          <w:rFonts w:ascii="Arial" w:cs="Arial" w:eastAsia="Arial" w:hAnsi="Arial"/>
          <w:sz w:val="18"/>
          <w:szCs w:val="18"/>
          <w:color w:val="auto"/>
        </w:rPr>
        <w:t>______________________________________</w:t>
      </w: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231F20"/>
        </w:rPr>
        <w:t>PROXY STATEMENT PURSUANT TO</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231F20"/>
        </w:rPr>
        <w:t>SECTION 14(a) OF THE SECURITIES EXCHANGE ACT OF 1934</w:t>
      </w:r>
    </w:p>
    <w:p>
      <w:pPr>
        <w:spacing w:after="0" w:line="43"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231F20"/>
        </w:rPr>
        <w:t xml:space="preserve">Filed by the Registrant </w:t>
      </w:r>
      <w:r>
        <w:rPr>
          <w:rFonts w:ascii="MS PGothic" w:cs="MS PGothic" w:eastAsia="MS PGothic" w:hAnsi="MS PGothic"/>
          <w:sz w:val="18"/>
          <w:szCs w:val="18"/>
          <w:color w:val="000000"/>
        </w:rPr>
        <w:t>☒</w:t>
      </w:r>
    </w:p>
    <w:p>
      <w:pPr>
        <w:spacing w:after="0" w:line="51"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231F20"/>
        </w:rPr>
        <w:t xml:space="preserve">Filed by a Party other than the Registrant </w:t>
      </w:r>
      <w:r>
        <w:rPr>
          <w:rFonts w:ascii="MS PGothic" w:cs="MS PGothic" w:eastAsia="MS PGothic" w:hAnsi="MS PGothic"/>
          <w:sz w:val="18"/>
          <w:szCs w:val="18"/>
          <w:color w:val="231F20"/>
        </w:rPr>
        <w:t>☐</w:t>
      </w:r>
    </w:p>
    <w:p>
      <w:pPr>
        <w:spacing w:after="0" w:line="108" w:lineRule="exact"/>
        <w:rPr>
          <w:sz w:val="24"/>
          <w:szCs w:val="24"/>
          <w:color w:val="auto"/>
        </w:rPr>
      </w:pPr>
    </w:p>
    <w:p>
      <w:pPr>
        <w:ind w:left="4"/>
        <w:spacing w:after="0"/>
        <w:rPr>
          <w:sz w:val="20"/>
          <w:szCs w:val="20"/>
          <w:color w:val="auto"/>
        </w:rPr>
      </w:pPr>
      <w:r>
        <w:rPr>
          <w:rFonts w:ascii="Arial" w:cs="Arial" w:eastAsia="Arial" w:hAnsi="Arial"/>
          <w:sz w:val="18"/>
          <w:szCs w:val="18"/>
          <w:color w:val="231F20"/>
        </w:rPr>
        <w:t>Check the appropriate box:</w:t>
      </w:r>
    </w:p>
    <w:p>
      <w:pPr>
        <w:spacing w:after="0" w:line="117"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Preliminary Proxy Statement</w:t>
      </w:r>
    </w:p>
    <w:p>
      <w:pPr>
        <w:spacing w:after="0" w:line="38" w:lineRule="exact"/>
        <w:rPr>
          <w:rFonts w:ascii="MS PGothic" w:cs="MS PGothic" w:eastAsia="MS PGothic" w:hAnsi="MS PGothic"/>
          <w:sz w:val="18"/>
          <w:szCs w:val="18"/>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231F20"/>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Definitive Proxy Statement</w:t>
      </w:r>
    </w:p>
    <w:p>
      <w:pPr>
        <w:spacing w:after="0" w:line="16" w:lineRule="exact"/>
        <w:rPr>
          <w:sz w:val="24"/>
          <w:szCs w:val="24"/>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231F20"/>
        </w:rPr>
        <w:t>Definitive Additional Materials</w:t>
      </w:r>
    </w:p>
    <w:p>
      <w:pPr>
        <w:spacing w:after="0" w:line="23" w:lineRule="exact"/>
        <w:rPr>
          <w:sz w:val="24"/>
          <w:szCs w:val="24"/>
          <w:color w:val="auto"/>
        </w:rPr>
      </w:pPr>
    </w:p>
    <w:p>
      <w:pPr>
        <w:ind w:left="204" w:hanging="204"/>
        <w:spacing w:after="0"/>
        <w:tabs>
          <w:tab w:leader="none" w:pos="20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§240.14a-12</w:t>
      </w:r>
    </w:p>
    <w:p>
      <w:pPr>
        <w:spacing w:after="0" w:line="13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231F20"/>
        </w:rPr>
        <w:t>FLUIDIGM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-50800</wp:posOffset>
            </wp:positionH>
            <wp:positionV relativeFrom="paragraph">
              <wp:posOffset>178435</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309" w:lineRule="exact"/>
        <w:rPr>
          <w:sz w:val="24"/>
          <w:szCs w:val="24"/>
          <w:color w:val="auto"/>
        </w:rPr>
      </w:pPr>
    </w:p>
    <w:p>
      <w:pPr>
        <w:jc w:val="center"/>
        <w:ind w:right="-3"/>
        <w:spacing w:after="0"/>
        <w:rPr>
          <w:sz w:val="20"/>
          <w:szCs w:val="20"/>
          <w:color w:val="auto"/>
        </w:rPr>
      </w:pPr>
      <w:r>
        <w:rPr>
          <w:rFonts w:ascii="Arial" w:cs="Arial" w:eastAsia="Arial" w:hAnsi="Arial"/>
          <w:sz w:val="14"/>
          <w:szCs w:val="14"/>
          <w:color w:val="231F20"/>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-50800</wp:posOffset>
            </wp:positionH>
            <wp:positionV relativeFrom="paragraph">
              <wp:posOffset>201295</wp:posOffset>
            </wp:positionV>
            <wp:extent cx="7098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32" w:lineRule="exact"/>
        <w:rPr>
          <w:sz w:val="24"/>
          <w:szCs w:val="24"/>
          <w:color w:val="auto"/>
        </w:rPr>
      </w:pPr>
    </w:p>
    <w:p>
      <w:pPr>
        <w:ind w:left="3424"/>
        <w:spacing w:after="0"/>
        <w:rPr>
          <w:sz w:val="20"/>
          <w:szCs w:val="20"/>
          <w:color w:val="auto"/>
        </w:rPr>
      </w:pPr>
      <w:r>
        <w:rPr>
          <w:rFonts w:ascii="Arial" w:cs="Arial" w:eastAsia="Arial" w:hAnsi="Arial"/>
          <w:sz w:val="14"/>
          <w:szCs w:val="14"/>
          <w:color w:val="231F20"/>
        </w:rPr>
        <w:t>(Name of Person(s) Filing Proxy Statement, if other than the Registrant)</w:t>
      </w:r>
    </w:p>
    <w:p>
      <w:pPr>
        <w:spacing w:after="0" w:line="21" w:lineRule="exact"/>
        <w:rPr>
          <w:sz w:val="24"/>
          <w:szCs w:val="24"/>
          <w:color w:val="auto"/>
        </w:rPr>
      </w:pPr>
    </w:p>
    <w:p>
      <w:pPr>
        <w:ind w:left="4"/>
        <w:spacing w:after="0"/>
        <w:rPr>
          <w:sz w:val="20"/>
          <w:szCs w:val="20"/>
          <w:color w:val="auto"/>
        </w:rPr>
      </w:pPr>
      <w:r>
        <w:rPr>
          <w:rFonts w:ascii="Arial" w:cs="Arial" w:eastAsia="Arial" w:hAnsi="Arial"/>
          <w:sz w:val="18"/>
          <w:szCs w:val="18"/>
          <w:color w:val="231F20"/>
        </w:rPr>
        <w:t>Payment of Filing Fee (Check the appropriate box):</w:t>
      </w:r>
    </w:p>
    <w:p>
      <w:pPr>
        <w:spacing w:after="0" w:line="169" w:lineRule="exact"/>
        <w:rPr>
          <w:sz w:val="24"/>
          <w:szCs w:val="24"/>
          <w:color w:val="auto"/>
        </w:rPr>
      </w:pPr>
    </w:p>
    <w:p>
      <w:pPr>
        <w:ind w:left="464" w:hanging="370"/>
        <w:spacing w:after="0"/>
        <w:tabs>
          <w:tab w:leader="none" w:pos="4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464" w:hanging="370"/>
        <w:spacing w:after="0"/>
        <w:tabs>
          <w:tab w:leader="none" w:pos="4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MS PGothic" w:cs="MS PGothic" w:eastAsia="MS PGothic" w:hAnsi="MS PGothic"/>
          <w:sz w:val="18"/>
          <w:szCs w:val="18"/>
          <w:color w:val="auto"/>
        </w:rPr>
      </w:pPr>
    </w:p>
    <w:p>
      <w:pPr>
        <w:ind w:left="884" w:hanging="412"/>
        <w:spacing w:after="0"/>
        <w:tabs>
          <w:tab w:leader="none" w:pos="884" w:val="left"/>
        </w:tabs>
        <w:numPr>
          <w:ilvl w:val="1"/>
          <w:numId w:val="5"/>
        </w:numPr>
        <w:rPr>
          <w:rFonts w:ascii="Arial" w:cs="Arial" w:eastAsia="Arial" w:hAnsi="Arial"/>
          <w:sz w:val="18"/>
          <w:szCs w:val="18"/>
          <w:color w:val="auto"/>
        </w:rPr>
      </w:pPr>
      <w:r>
        <w:rPr>
          <w:rFonts w:ascii="Arial" w:cs="Arial" w:eastAsia="Arial" w:hAnsi="Arial"/>
          <w:sz w:val="18"/>
          <w:szCs w:val="18"/>
          <w:color w:val="231F20"/>
        </w:rPr>
        <w:t>Title of each class of securities to which transaction applies:</w:t>
      </w:r>
    </w:p>
    <w:p>
      <w:pPr>
        <w:spacing w:after="0" w:line="252" w:lineRule="exact"/>
        <w:rPr>
          <w:rFonts w:ascii="Arial" w:cs="Arial" w:eastAsia="Arial" w:hAnsi="Arial"/>
          <w:sz w:val="18"/>
          <w:szCs w:val="18"/>
          <w:color w:val="auto"/>
        </w:rPr>
      </w:pPr>
    </w:p>
    <w:p>
      <w:pPr>
        <w:ind w:left="884" w:hanging="412"/>
        <w:spacing w:after="0"/>
        <w:tabs>
          <w:tab w:leader="none" w:pos="884" w:val="left"/>
        </w:tabs>
        <w:numPr>
          <w:ilvl w:val="1"/>
          <w:numId w:val="5"/>
        </w:numPr>
        <w:rPr>
          <w:rFonts w:ascii="Arial" w:cs="Arial" w:eastAsia="Arial" w:hAnsi="Arial"/>
          <w:sz w:val="18"/>
          <w:szCs w:val="18"/>
          <w:color w:val="auto"/>
        </w:rPr>
      </w:pPr>
      <w:r>
        <w:rPr>
          <w:rFonts w:ascii="Arial" w:cs="Arial" w:eastAsia="Arial" w:hAnsi="Arial"/>
          <w:sz w:val="18"/>
          <w:szCs w:val="18"/>
          <w:color w:val="231F20"/>
        </w:rPr>
        <w:t>Aggregate number of securities to which transaction applies:</w:t>
      </w:r>
    </w:p>
    <w:p>
      <w:pPr>
        <w:spacing w:after="0" w:line="252" w:lineRule="exact"/>
        <w:rPr>
          <w:rFonts w:ascii="Arial" w:cs="Arial" w:eastAsia="Arial" w:hAnsi="Arial"/>
          <w:sz w:val="18"/>
          <w:szCs w:val="18"/>
          <w:color w:val="auto"/>
        </w:rPr>
      </w:pPr>
    </w:p>
    <w:p>
      <w:pPr>
        <w:ind w:left="884" w:hanging="412"/>
        <w:spacing w:after="0" w:line="277" w:lineRule="auto"/>
        <w:tabs>
          <w:tab w:leader="none" w:pos="884" w:val="left"/>
        </w:tabs>
        <w:numPr>
          <w:ilvl w:val="1"/>
          <w:numId w:val="5"/>
        </w:numPr>
        <w:rPr>
          <w:rFonts w:ascii="Arial" w:cs="Arial" w:eastAsia="Arial" w:hAnsi="Arial"/>
          <w:sz w:val="18"/>
          <w:szCs w:val="18"/>
          <w:color w:val="auto"/>
        </w:rPr>
      </w:pPr>
      <w:r>
        <w:rPr>
          <w:rFonts w:ascii="Arial" w:cs="Arial" w:eastAsia="Arial" w:hAnsi="Arial"/>
          <w:sz w:val="18"/>
          <w:szCs w:val="18"/>
          <w:color w:val="231F20"/>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884" w:hanging="412"/>
        <w:spacing w:after="0"/>
        <w:tabs>
          <w:tab w:leader="none" w:pos="884" w:val="left"/>
        </w:tabs>
        <w:numPr>
          <w:ilvl w:val="1"/>
          <w:numId w:val="5"/>
        </w:numPr>
        <w:rPr>
          <w:rFonts w:ascii="Arial" w:cs="Arial" w:eastAsia="Arial" w:hAnsi="Arial"/>
          <w:sz w:val="18"/>
          <w:szCs w:val="18"/>
          <w:color w:val="auto"/>
        </w:rPr>
      </w:pPr>
      <w:r>
        <w:rPr>
          <w:rFonts w:ascii="Arial" w:cs="Arial" w:eastAsia="Arial" w:hAnsi="Arial"/>
          <w:sz w:val="18"/>
          <w:szCs w:val="18"/>
          <w:color w:val="231F20"/>
        </w:rPr>
        <w:t>Proposed maximum aggregate value of transaction:</w:t>
      </w:r>
    </w:p>
    <w:p>
      <w:pPr>
        <w:spacing w:after="0" w:line="252" w:lineRule="exact"/>
        <w:rPr>
          <w:rFonts w:ascii="Arial" w:cs="Arial" w:eastAsia="Arial" w:hAnsi="Arial"/>
          <w:sz w:val="18"/>
          <w:szCs w:val="18"/>
          <w:color w:val="auto"/>
        </w:rPr>
      </w:pPr>
    </w:p>
    <w:p>
      <w:pPr>
        <w:ind w:left="884" w:hanging="412"/>
        <w:spacing w:after="0"/>
        <w:tabs>
          <w:tab w:leader="none" w:pos="884" w:val="left"/>
        </w:tabs>
        <w:numPr>
          <w:ilvl w:val="1"/>
          <w:numId w:val="5"/>
        </w:numPr>
        <w:rPr>
          <w:rFonts w:ascii="Arial" w:cs="Arial" w:eastAsia="Arial" w:hAnsi="Arial"/>
          <w:sz w:val="18"/>
          <w:szCs w:val="18"/>
          <w:color w:val="auto"/>
        </w:rPr>
      </w:pPr>
      <w:r>
        <w:rPr>
          <w:rFonts w:ascii="Arial" w:cs="Arial" w:eastAsia="Arial" w:hAnsi="Arial"/>
          <w:sz w:val="18"/>
          <w:szCs w:val="18"/>
          <w:color w:val="231F20"/>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464" w:hanging="370"/>
        <w:spacing w:after="0"/>
        <w:tabs>
          <w:tab w:leader="none" w:pos="4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231F20"/>
        </w:rPr>
        <w:t>Fee paid previously with preliminary materials.</w:t>
      </w:r>
    </w:p>
    <w:p>
      <w:pPr>
        <w:spacing w:after="0" w:line="63" w:lineRule="exact"/>
        <w:rPr>
          <w:rFonts w:ascii="MS PGothic" w:cs="MS PGothic" w:eastAsia="MS PGothic" w:hAnsi="MS PGothic"/>
          <w:sz w:val="18"/>
          <w:szCs w:val="18"/>
          <w:color w:val="auto"/>
        </w:rPr>
      </w:pPr>
    </w:p>
    <w:p>
      <w:pPr>
        <w:ind w:left="464" w:hanging="370"/>
        <w:spacing w:after="0" w:line="308" w:lineRule="auto"/>
        <w:tabs>
          <w:tab w:leader="none" w:pos="46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231F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884" w:hanging="412"/>
        <w:spacing w:after="0"/>
        <w:tabs>
          <w:tab w:leader="none" w:pos="884" w:val="left"/>
        </w:tabs>
        <w:numPr>
          <w:ilvl w:val="1"/>
          <w:numId w:val="5"/>
        </w:numPr>
        <w:rPr>
          <w:rFonts w:ascii="Arial" w:cs="Arial" w:eastAsia="Arial" w:hAnsi="Arial"/>
          <w:sz w:val="18"/>
          <w:szCs w:val="18"/>
          <w:color w:val="auto"/>
        </w:rPr>
      </w:pPr>
      <w:r>
        <w:rPr>
          <w:rFonts w:ascii="Arial" w:cs="Arial" w:eastAsia="Arial" w:hAnsi="Arial"/>
          <w:sz w:val="18"/>
          <w:szCs w:val="18"/>
          <w:color w:val="231F20"/>
        </w:rPr>
        <w:t>Amount Previously Paid:</w:t>
      </w:r>
    </w:p>
    <w:p>
      <w:pPr>
        <w:spacing w:after="0" w:line="252" w:lineRule="exact"/>
        <w:rPr>
          <w:rFonts w:ascii="Arial" w:cs="Arial" w:eastAsia="Arial" w:hAnsi="Arial"/>
          <w:sz w:val="18"/>
          <w:szCs w:val="18"/>
          <w:color w:val="auto"/>
        </w:rPr>
      </w:pPr>
    </w:p>
    <w:p>
      <w:pPr>
        <w:ind w:left="884" w:hanging="412"/>
        <w:spacing w:after="0"/>
        <w:tabs>
          <w:tab w:leader="none" w:pos="884" w:val="left"/>
        </w:tabs>
        <w:numPr>
          <w:ilvl w:val="1"/>
          <w:numId w:val="5"/>
        </w:numPr>
        <w:rPr>
          <w:rFonts w:ascii="Arial" w:cs="Arial" w:eastAsia="Arial" w:hAnsi="Arial"/>
          <w:sz w:val="18"/>
          <w:szCs w:val="18"/>
          <w:color w:val="auto"/>
        </w:rPr>
      </w:pPr>
      <w:r>
        <w:rPr>
          <w:rFonts w:ascii="Arial" w:cs="Arial" w:eastAsia="Arial" w:hAnsi="Arial"/>
          <w:sz w:val="18"/>
          <w:szCs w:val="18"/>
          <w:color w:val="231F20"/>
        </w:rPr>
        <w:t>Form, Schedule or Registration Statement No.:</w:t>
      </w:r>
    </w:p>
    <w:p>
      <w:pPr>
        <w:spacing w:after="0" w:line="252" w:lineRule="exact"/>
        <w:rPr>
          <w:rFonts w:ascii="Arial" w:cs="Arial" w:eastAsia="Arial" w:hAnsi="Arial"/>
          <w:sz w:val="18"/>
          <w:szCs w:val="18"/>
          <w:color w:val="auto"/>
        </w:rPr>
      </w:pPr>
    </w:p>
    <w:p>
      <w:pPr>
        <w:ind w:left="884" w:hanging="412"/>
        <w:spacing w:after="0"/>
        <w:tabs>
          <w:tab w:leader="none" w:pos="884" w:val="left"/>
        </w:tabs>
        <w:numPr>
          <w:ilvl w:val="1"/>
          <w:numId w:val="5"/>
        </w:numPr>
        <w:rPr>
          <w:rFonts w:ascii="Arial" w:cs="Arial" w:eastAsia="Arial" w:hAnsi="Arial"/>
          <w:sz w:val="18"/>
          <w:szCs w:val="18"/>
          <w:color w:val="auto"/>
        </w:rPr>
      </w:pPr>
      <w:r>
        <w:rPr>
          <w:rFonts w:ascii="Arial" w:cs="Arial" w:eastAsia="Arial" w:hAnsi="Arial"/>
          <w:sz w:val="18"/>
          <w:szCs w:val="18"/>
          <w:color w:val="231F20"/>
        </w:rPr>
        <w:t>Filing Party:</w:t>
      </w:r>
    </w:p>
    <w:p>
      <w:pPr>
        <w:spacing w:after="0" w:line="252" w:lineRule="exact"/>
        <w:rPr>
          <w:rFonts w:ascii="Arial" w:cs="Arial" w:eastAsia="Arial" w:hAnsi="Arial"/>
          <w:sz w:val="18"/>
          <w:szCs w:val="18"/>
          <w:color w:val="auto"/>
        </w:rPr>
      </w:pPr>
    </w:p>
    <w:p>
      <w:pPr>
        <w:ind w:left="884" w:hanging="412"/>
        <w:spacing w:after="0"/>
        <w:tabs>
          <w:tab w:leader="none" w:pos="884" w:val="left"/>
        </w:tabs>
        <w:numPr>
          <w:ilvl w:val="1"/>
          <w:numId w:val="5"/>
        </w:numPr>
        <w:rPr>
          <w:rFonts w:ascii="Arial" w:cs="Arial" w:eastAsia="Arial" w:hAnsi="Arial"/>
          <w:sz w:val="18"/>
          <w:szCs w:val="18"/>
          <w:color w:val="auto"/>
        </w:rPr>
      </w:pPr>
      <w:r>
        <w:rPr>
          <w:rFonts w:ascii="Arial" w:cs="Arial" w:eastAsia="Arial" w:hAnsi="Arial"/>
          <w:sz w:val="18"/>
          <w:szCs w:val="18"/>
          <w:color w:val="231F20"/>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548640</wp:posOffset>
            </wp:positionH>
            <wp:positionV relativeFrom="paragraph">
              <wp:posOffset>31750</wp:posOffset>
            </wp:positionV>
            <wp:extent cx="6471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-259080</wp:posOffset>
            </wp:positionV>
            <wp:extent cx="6471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-550545</wp:posOffset>
            </wp:positionV>
            <wp:extent cx="6471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-842010</wp:posOffset>
            </wp:positionV>
            <wp:extent cx="6471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-1716405</wp:posOffset>
            </wp:positionV>
            <wp:extent cx="64719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-2145030</wp:posOffset>
            </wp:positionV>
            <wp:extent cx="64719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-2436495</wp:posOffset>
            </wp:positionV>
            <wp:extent cx="64719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-3002280</wp:posOffset>
            </wp:positionV>
            <wp:extent cx="64719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-3293745</wp:posOffset>
            </wp:positionV>
            <wp:extent cx="64719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203200</wp:posOffset>
            </wp:positionV>
            <wp:extent cx="69780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78015" cy="889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220345</wp:posOffset>
            </wp:positionV>
            <wp:extent cx="69780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78015" cy="8890"/>
                    </a:xfrm>
                    <a:prstGeom prst="rect">
                      <a:avLst/>
                    </a:prstGeom>
                    <a:noFill/>
                  </pic:spPr>
                </pic:pic>
              </a:graphicData>
            </a:graphic>
          </wp:anchor>
        </w:drawing>
      </w:r>
    </w:p>
    <w:p>
      <w:pPr>
        <w:sectPr>
          <w:pgSz w:w="11900" w:h="16838" w:orient="portrait"/>
          <w:cols w:equalWidth="0" w:num="1">
            <w:col w:w="11024"/>
          </w:cols>
          <w:pgMar w:left="436" w:top="1080" w:right="439" w:bottom="1440" w:gutter="0" w:footer="0" w:header="0"/>
        </w:sectPr>
      </w:pPr>
    </w:p>
    <w:bookmarkStart w:id="1" w:name="page2"/>
    <w:bookmarkEnd w:id="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5846445" cy="3780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846445" cy="3780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5846445" cy="75609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46445" cy="75609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2020-05-14T16:04:23Z</dcterms:created>
  <dcterms:modified xsi:type="dcterms:W3CDTF">2020-05-14T16:04:23Z</dcterms:modified>
</cp:coreProperties>
</file>