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PATRICK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1/12th of the shares subject to the Option will vest monthly, subject to continued service as a director, such that the Option will be fully vested on July 29,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5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2019-12-07T23:20:53Z</dcterms:created>
  <dcterms:modified xsi:type="dcterms:W3CDTF">2019-12-07T23:20:53Z</dcterms:modified>
</cp:coreProperties>
</file>