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 xml:space="preserve">WASHINGTON, </w:t>
      </w:r>
      <w:r>
        <w:rPr>
          <w:rFonts w:ascii="Times New Roman" w:cs="Times New Roman" w:eastAsia="Times New Roman" w:hAnsi="Times New Roman"/>
          <w:sz w:val="17"/>
          <w:szCs w:val="17"/>
          <w:b w:val="1"/>
          <w:bCs w:val="1"/>
          <w:color w:val="auto"/>
        </w:rPr>
        <w:t>D.C.</w:t>
      </w:r>
      <w:r>
        <w:rPr>
          <w:rFonts w:ascii="Times New Roman" w:cs="Times New Roman" w:eastAsia="Times New Roman" w:hAnsi="Times New Roman"/>
          <w:sz w:val="20"/>
          <w:szCs w:val="20"/>
          <w:b w:val="1"/>
          <w:bCs w:val="1"/>
          <w:color w:val="auto"/>
        </w:rPr>
        <w:t xml:space="preserve">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June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Standard BioTools Inc.</w:t>
      </w:r>
    </w:p>
    <w:p>
      <w:pPr>
        <w:spacing w:after="0" w:line="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77-0513190</w:t>
            </w:r>
          </w:p>
        </w:tc>
      </w:tr>
      <w:tr>
        <w:trPr>
          <w:trHeight w:val="220"/>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(Commission</w:t>
            </w:r>
          </w:p>
        </w:tc>
        <w:tc>
          <w:tcPr>
            <w:tcW w:w="144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1820" w:type="dxa"/>
            <w:vAlign w:val="bottom"/>
          </w:tcPr>
          <w:p>
            <w:pPr>
              <w:jc w:val="center"/>
              <w:ind w:right="162"/>
              <w:spacing w:after="0"/>
              <w:rPr>
                <w:sz w:val="20"/>
                <w:szCs w:val="20"/>
                <w:color w:val="auto"/>
              </w:rPr>
            </w:pPr>
            <w:r>
              <w:rPr>
                <w:rFonts w:ascii="Times New Roman" w:cs="Times New Roman" w:eastAsia="Times New Roman" w:hAnsi="Times New Roman"/>
                <w:sz w:val="14"/>
                <w:szCs w:val="14"/>
                <w:color w:val="auto"/>
              </w:rPr>
              <w:t>of Incorporation)</w:t>
            </w:r>
          </w:p>
        </w:tc>
        <w:tc>
          <w:tcPr>
            <w:tcW w:w="56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rPr>
              <w:t>File Number)</w:t>
            </w:r>
          </w:p>
        </w:tc>
        <w:tc>
          <w:tcPr>
            <w:tcW w:w="1440" w:type="dxa"/>
            <w:vAlign w:val="bottom"/>
          </w:tcPr>
          <w:p>
            <w:pPr>
              <w:jc w:val="center"/>
              <w:ind w:left="28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608"/>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2 Tower Place, Suite 2000, South San Francisco, California 94080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440" w:type="dxa"/>
            <w:vAlign w:val="bottom"/>
          </w:tcPr>
          <w:p>
            <w:pPr>
              <w:spacing w:after="0"/>
              <w:rPr>
                <w:sz w:val="16"/>
                <w:szCs w:val="16"/>
                <w:color w:val="auto"/>
              </w:rPr>
            </w:pPr>
          </w:p>
        </w:tc>
      </w:tr>
      <w:tr>
        <w:trPr>
          <w:trHeight w:val="460"/>
        </w:trPr>
        <w:tc>
          <w:tcPr>
            <w:tcW w:w="1820" w:type="dxa"/>
            <w:vAlign w:val="bottom"/>
          </w:tcPr>
          <w:p>
            <w:pPr>
              <w:spacing w:after="0"/>
              <w:rPr>
                <w:sz w:val="24"/>
                <w:szCs w:val="24"/>
                <w:color w:val="auto"/>
              </w:rPr>
            </w:pPr>
          </w:p>
        </w:tc>
        <w:tc>
          <w:tcPr>
            <w:tcW w:w="5640" w:type="dxa"/>
            <w:vAlign w:val="bottom"/>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1440" w:type="dxa"/>
            <w:vAlign w:val="bottom"/>
          </w:tcPr>
          <w:p>
            <w:pPr>
              <w:spacing w:after="0"/>
              <w:rPr>
                <w:sz w:val="24"/>
                <w:szCs w:val="24"/>
                <w:color w:val="auto"/>
              </w:rPr>
            </w:pPr>
          </w:p>
        </w:tc>
      </w:tr>
      <w:tr>
        <w:trPr>
          <w:trHeight w:val="188"/>
        </w:trPr>
        <w:tc>
          <w:tcPr>
            <w:tcW w:w="1820" w:type="dxa"/>
            <w:vAlign w:val="bottom"/>
          </w:tcPr>
          <w:p>
            <w:pPr>
              <w:spacing w:after="0"/>
              <w:rPr>
                <w:sz w:val="16"/>
                <w:szCs w:val="16"/>
                <w:color w:val="auto"/>
              </w:rPr>
            </w:pPr>
          </w:p>
        </w:tc>
        <w:tc>
          <w:tcPr>
            <w:tcW w:w="56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440" w:type="dxa"/>
            <w:vAlign w:val="bottom"/>
          </w:tcPr>
          <w:p>
            <w:pPr>
              <w:spacing w:after="0"/>
              <w:rPr>
                <w:sz w:val="16"/>
                <w:szCs w:val="16"/>
                <w:color w:val="auto"/>
              </w:rPr>
            </w:pPr>
          </w:p>
        </w:tc>
      </w:tr>
      <w:tr>
        <w:trPr>
          <w:trHeight w:val="486"/>
        </w:trPr>
        <w:tc>
          <w:tcPr>
            <w:tcW w:w="1820" w:type="dxa"/>
            <w:vAlign w:val="bottom"/>
          </w:tcPr>
          <w:p>
            <w:pPr>
              <w:spacing w:after="0"/>
              <w:rPr>
                <w:sz w:val="24"/>
                <w:szCs w:val="24"/>
                <w:color w:val="auto"/>
              </w:rPr>
            </w:pPr>
          </w:p>
        </w:tc>
        <w:tc>
          <w:tcPr>
            <w:tcW w:w="5640" w:type="dxa"/>
            <w:vAlign w:val="bottom"/>
          </w:tcPr>
          <w:p>
            <w:pPr>
              <w:jc w:val="center"/>
              <w:ind w:right="81"/>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440" w:type="dxa"/>
            <w:vAlign w:val="bottom"/>
          </w:tcPr>
          <w:p>
            <w:pPr>
              <w:spacing w:after="0"/>
              <w:rPr>
                <w:sz w:val="24"/>
                <w:szCs w:val="24"/>
                <w:color w:val="auto"/>
              </w:rPr>
            </w:pPr>
          </w:p>
        </w:tc>
      </w:tr>
    </w:tbl>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6"/>
          <w:szCs w:val="16"/>
          <w:i w:val="1"/>
          <w:iCs w:val="1"/>
          <w:color w:val="auto"/>
        </w:rPr>
        <w:t>see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40" w:lineRule="exact"/>
        <w:rPr>
          <w:sz w:val="24"/>
          <w:szCs w:val="24"/>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221" w:lineRule="exact"/>
        <w:rPr>
          <w:rFonts w:ascii="MS PGothic" w:cs="MS PGothic" w:eastAsia="MS PGothic" w:hAnsi="MS PGothic"/>
          <w:sz w:val="16"/>
          <w:szCs w:val="16"/>
          <w:color w:val="auto"/>
        </w:rPr>
      </w:pPr>
    </w:p>
    <w:p>
      <w:pPr>
        <w:ind w:left="860" w:hanging="416"/>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221" w:lineRule="exact"/>
        <w:rPr>
          <w:rFonts w:ascii="MS PGothic" w:cs="MS PGothic" w:eastAsia="MS PGothic" w:hAnsi="MS PGothic"/>
          <w:sz w:val="16"/>
          <w:szCs w:val="16"/>
          <w:color w:val="auto"/>
        </w:rPr>
      </w:pPr>
    </w:p>
    <w:p>
      <w:pPr>
        <w:ind w:left="820" w:hanging="376"/>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w:t>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r>
      <w:tr>
        <w:trPr>
          <w:trHeight w:val="250"/>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LAB</w:t>
            </w:r>
          </w:p>
        </w:tc>
        <w:tc>
          <w:tcPr>
            <w:tcW w:w="4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41"/>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160" w:type="dxa"/>
            <w:vAlign w:val="bottom"/>
            <w:tcBorders>
              <w:bottom w:val="single" w:sz="8" w:color="auto"/>
              <w:right w:val="single" w:sz="8" w:color="auto"/>
            </w:tcBorders>
          </w:tcPr>
          <w:p>
            <w:pPr>
              <w:spacing w:after="0"/>
              <w:rPr>
                <w:sz w:val="3"/>
                <w:szCs w:val="3"/>
                <w:color w:val="auto"/>
              </w:rPr>
            </w:pPr>
          </w:p>
        </w:tc>
      </w:tr>
    </w:tbl>
    <w:p>
      <w:pPr>
        <w:spacing w:after="0" w:line="33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9" w:right="319" w:bottom="87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held our 2022 Annual Meeting of Stockholders (the “Annual Meeting”) on June 15, 2022. On April 18, 2022 (the “Record Date”), we had 77,252,135 shares of common stock, 127,780 shares of Series B-1 Convertible Preferred Stock (“Series B-1 Preferred Stock”) and 127,779 shares of Series B-2 Convertible Preferred Stock (“Series B-2 Preferred Stock”) issued and outstanding. The holders of our capital stock (including votes related to our Series B-1 Preferred Stock and our Series B-2 Preferred Stock) were entitled to an aggregate of 152,416,530 votes as of the close of business on the Record Date. A total of 134,963,407 votes, or approximately 88.55% of the total voting power of the shares of our capital stock issued and outstanding and entitled to vote at the Annual Meeting (including votes related to our Series B-1 Preferred Stock and our Series B-2 Preferred Stock) were represented in person or by proxy at the Annual Meeting. The following proposals are described in detail in our definitive proxy statement for the Annual Meeting, filed with the Securities and Exchange Commission on April 29, 2022. The final voting results for each of the matters submitted to a stockholder vote at the Annual Meeting are set forth below:</w:t>
      </w:r>
    </w:p>
    <w:p>
      <w:pPr>
        <w:spacing w:after="0" w:line="225" w:lineRule="exact"/>
        <w:rPr>
          <w:sz w:val="20"/>
          <w:szCs w:val="20"/>
          <w:color w:val="auto"/>
        </w:rPr>
      </w:pPr>
    </w:p>
    <w:p>
      <w:pPr>
        <w:ind w:right="100" w:firstLine="332"/>
        <w:spacing w:after="0" w:line="318" w:lineRule="auto"/>
        <w:tabs>
          <w:tab w:leader="none" w:pos="63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Class III Directors. </w:t>
      </w:r>
      <w:r>
        <w:rPr>
          <w:rFonts w:ascii="Times New Roman" w:cs="Times New Roman" w:eastAsia="Times New Roman" w:hAnsi="Times New Roman"/>
          <w:sz w:val="18"/>
          <w:szCs w:val="18"/>
          <w:color w:val="auto"/>
        </w:rPr>
        <w:t>The following nominees were elected to serve as Class III directors, to hold office until our 2025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stockholders or until their respective successors have been duly elected and qualified or their earlier resignation or removal:</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Votes Withheld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r>
      <w:tr>
        <w:trPr>
          <w:trHeight w:val="46"/>
        </w:trPr>
        <w:tc>
          <w:tcPr>
            <w:tcW w:w="3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5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Laura M. Clague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115,071,309</w:t>
            </w:r>
          </w:p>
        </w:tc>
        <w:tc>
          <w:tcPr>
            <w:tcW w:w="120" w:type="dxa"/>
            <w:vAlign w:val="bottom"/>
          </w:tcPr>
          <w:p>
            <w:pPr>
              <w:spacing w:after="0"/>
              <w:rPr>
                <w:sz w:val="21"/>
                <w:szCs w:val="21"/>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2,158,058</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17,734,040</w:t>
            </w:r>
          </w:p>
        </w:tc>
      </w:tr>
      <w:tr>
        <w:trPr>
          <w:trHeight w:val="297"/>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 Whitney, Ph.D.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114,555,143</w:t>
            </w:r>
          </w:p>
        </w:tc>
        <w:tc>
          <w:tcPr>
            <w:tcW w:w="12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2,674,224</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17,734,040</w:t>
            </w:r>
          </w:p>
        </w:tc>
      </w:tr>
    </w:tbl>
    <w:p>
      <w:pPr>
        <w:spacing w:after="0" w:line="356" w:lineRule="exact"/>
        <w:rPr>
          <w:sz w:val="20"/>
          <w:szCs w:val="20"/>
          <w:color w:val="auto"/>
        </w:rPr>
      </w:pPr>
    </w:p>
    <w:p>
      <w:pPr>
        <w:ind w:right="600" w:firstLine="332"/>
        <w:spacing w:after="0" w:line="286" w:lineRule="auto"/>
        <w:tabs>
          <w:tab w:leader="none" w:pos="629"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on Approval of Executive Compensation. </w:t>
      </w:r>
      <w:r>
        <w:rPr>
          <w:rFonts w:ascii="Times New Roman" w:cs="Times New Roman" w:eastAsia="Times New Roman" w:hAnsi="Times New Roman"/>
          <w:sz w:val="18"/>
          <w:szCs w:val="18"/>
          <w:color w:val="auto"/>
        </w:rPr>
        <w:t>The proposal to approve, on an advisory basis, the compensation of our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for the year ended December 31, 2021, was approved by the following vote:</w:t>
      </w:r>
    </w:p>
    <w:p>
      <w:pPr>
        <w:spacing w:after="0" w:line="67" w:lineRule="exact"/>
        <w:rPr>
          <w:sz w:val="20"/>
          <w:szCs w:val="20"/>
          <w:color w:val="auto"/>
        </w:rPr>
      </w:pPr>
    </w:p>
    <w:p>
      <w:pPr>
        <w:ind w:left="680"/>
        <w:spacing w:after="0"/>
        <w:tabs>
          <w:tab w:leader="none" w:pos="1880" w:val="left"/>
          <w:tab w:leader="none" w:pos="3260" w:val="left"/>
          <w:tab w:leader="none" w:pos="4540" w:val="left"/>
        </w:tabs>
        <w:rPr>
          <w:sz w:val="20"/>
          <w:szCs w:val="20"/>
          <w:color w:val="auto"/>
        </w:rPr>
      </w:pPr>
      <w:r>
        <w:rPr>
          <w:rFonts w:ascii="Times New Roman" w:cs="Times New Roman" w:eastAsia="Times New Roman" w:hAnsi="Times New Roman"/>
          <w:sz w:val="16"/>
          <w:szCs w:val="16"/>
          <w:b w:val="1"/>
          <w:bCs w:val="1"/>
          <w:color w:val="auto"/>
        </w:rPr>
        <w:t>Votes For</w:t>
      </w:r>
      <w:r>
        <w:rPr>
          <w:sz w:val="20"/>
          <w:szCs w:val="20"/>
          <w:color w:val="auto"/>
        </w:rPr>
        <w:tab/>
      </w:r>
      <w:r>
        <w:rPr>
          <w:rFonts w:ascii="Times New Roman" w:cs="Times New Roman" w:eastAsia="Times New Roman" w:hAnsi="Times New Roman"/>
          <w:sz w:val="16"/>
          <w:szCs w:val="16"/>
          <w:b w:val="1"/>
          <w:bCs w:val="1"/>
          <w:color w:val="auto"/>
        </w:rPr>
        <w:t>Votes Against</w:t>
      </w:r>
      <w:r>
        <w:rPr>
          <w:sz w:val="20"/>
          <w:szCs w:val="20"/>
          <w:color w:val="auto"/>
        </w:rPr>
        <w:tab/>
      </w:r>
      <w:r>
        <w:rPr>
          <w:rFonts w:ascii="Times New Roman" w:cs="Times New Roman" w:eastAsia="Times New Roman" w:hAnsi="Times New Roman"/>
          <w:sz w:val="16"/>
          <w:szCs w:val="16"/>
          <w:b w:val="1"/>
          <w:bCs w:val="1"/>
          <w:color w:val="auto"/>
        </w:rPr>
        <w:t>Abstentions</w:t>
      </w:r>
      <w:r>
        <w:rPr>
          <w:sz w:val="20"/>
          <w:szCs w:val="20"/>
          <w:color w:val="auto"/>
        </w:rPr>
        <w:tab/>
      </w:r>
      <w:r>
        <w:rPr>
          <w:rFonts w:ascii="Times New Roman" w:cs="Times New Roman" w:eastAsia="Times New Roman" w:hAnsi="Times New Roman"/>
          <w:sz w:val="16"/>
          <w:szCs w:val="16"/>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47625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1" w:lineRule="exact"/>
        <w:rPr>
          <w:sz w:val="20"/>
          <w:szCs w:val="20"/>
          <w:color w:val="auto"/>
        </w:rPr>
      </w:pPr>
    </w:p>
    <w:p>
      <w:pPr>
        <w:ind w:left="580"/>
        <w:spacing w:after="0"/>
        <w:tabs>
          <w:tab w:leader="none" w:pos="2060" w:val="left"/>
          <w:tab w:leader="none" w:pos="3420" w:val="left"/>
          <w:tab w:leader="none" w:pos="4760" w:val="left"/>
        </w:tabs>
        <w:rPr>
          <w:sz w:val="20"/>
          <w:szCs w:val="20"/>
          <w:color w:val="auto"/>
        </w:rPr>
      </w:pPr>
      <w:r>
        <w:rPr>
          <w:rFonts w:ascii="Times New Roman" w:cs="Times New Roman" w:eastAsia="Times New Roman" w:hAnsi="Times New Roman"/>
          <w:sz w:val="18"/>
          <w:szCs w:val="18"/>
          <w:color w:val="auto"/>
        </w:rPr>
        <w:t>116,251,305</w:t>
      </w:r>
      <w:r>
        <w:rPr>
          <w:sz w:val="20"/>
          <w:szCs w:val="20"/>
          <w:color w:val="auto"/>
        </w:rPr>
        <w:tab/>
      </w:r>
      <w:r>
        <w:rPr>
          <w:rFonts w:ascii="Times New Roman" w:cs="Times New Roman" w:eastAsia="Times New Roman" w:hAnsi="Times New Roman"/>
          <w:sz w:val="18"/>
          <w:szCs w:val="18"/>
          <w:color w:val="auto"/>
        </w:rPr>
        <w:t>927,634</w:t>
      </w:r>
      <w:r>
        <w:rPr>
          <w:sz w:val="20"/>
          <w:szCs w:val="20"/>
          <w:color w:val="auto"/>
        </w:rPr>
        <w:tab/>
      </w:r>
      <w:r>
        <w:rPr>
          <w:rFonts w:ascii="Times New Roman" w:cs="Times New Roman" w:eastAsia="Times New Roman" w:hAnsi="Times New Roman"/>
          <w:sz w:val="18"/>
          <w:szCs w:val="18"/>
          <w:color w:val="auto"/>
        </w:rPr>
        <w:t>50,428</w:t>
      </w:r>
      <w:r>
        <w:rPr>
          <w:sz w:val="20"/>
          <w:szCs w:val="20"/>
          <w:color w:val="auto"/>
        </w:rPr>
        <w:tab/>
      </w:r>
      <w:r>
        <w:rPr>
          <w:rFonts w:ascii="Times New Roman" w:cs="Times New Roman" w:eastAsia="Times New Roman" w:hAnsi="Times New Roman"/>
          <w:sz w:val="18"/>
          <w:szCs w:val="18"/>
          <w:color w:val="auto"/>
        </w:rPr>
        <w:t>17,734,040</w:t>
      </w:r>
    </w:p>
    <w:p>
      <w:pPr>
        <w:spacing w:after="0" w:line="200" w:lineRule="exact"/>
        <w:rPr>
          <w:sz w:val="20"/>
          <w:szCs w:val="20"/>
          <w:color w:val="auto"/>
        </w:rPr>
      </w:pPr>
    </w:p>
    <w:p>
      <w:pPr>
        <w:spacing w:after="0" w:line="251" w:lineRule="exact"/>
        <w:rPr>
          <w:sz w:val="20"/>
          <w:szCs w:val="20"/>
          <w:color w:val="auto"/>
        </w:rPr>
      </w:pPr>
    </w:p>
    <w:p>
      <w:pPr>
        <w:ind w:right="100" w:firstLine="332"/>
        <w:spacing w:after="0" w:line="268" w:lineRule="auto"/>
        <w:tabs>
          <w:tab w:leader="none" w:pos="63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proposal to ratify the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our independent registered public accounting firm for the year ending December 31, 2022 was approved by the following vote:</w:t>
      </w:r>
    </w:p>
    <w:p>
      <w:pPr>
        <w:spacing w:after="0" w:line="96" w:lineRule="exact"/>
        <w:rPr>
          <w:sz w:val="20"/>
          <w:szCs w:val="20"/>
          <w:color w:val="auto"/>
        </w:rPr>
      </w:pPr>
    </w:p>
    <w:p>
      <w:pPr>
        <w:ind w:left="680"/>
        <w:spacing w:after="0"/>
        <w:tabs>
          <w:tab w:leader="none" w:pos="1940" w:val="left"/>
          <w:tab w:leader="none" w:pos="3320" w:val="left"/>
        </w:tabs>
        <w:rPr>
          <w:sz w:val="20"/>
          <w:szCs w:val="20"/>
          <w:color w:val="auto"/>
        </w:rPr>
      </w:pPr>
      <w:r>
        <w:rPr>
          <w:rFonts w:ascii="Times New Roman" w:cs="Times New Roman" w:eastAsia="Times New Roman" w:hAnsi="Times New Roman"/>
          <w:sz w:val="16"/>
          <w:szCs w:val="16"/>
          <w:b w:val="1"/>
          <w:bCs w:val="1"/>
          <w:color w:val="auto"/>
        </w:rPr>
        <w:t>Votes For</w:t>
      </w:r>
      <w:r>
        <w:rPr>
          <w:sz w:val="20"/>
          <w:szCs w:val="20"/>
          <w:color w:val="auto"/>
        </w:rPr>
        <w:tab/>
      </w:r>
      <w:r>
        <w:rPr>
          <w:rFonts w:ascii="Times New Roman" w:cs="Times New Roman" w:eastAsia="Times New Roman" w:hAnsi="Times New Roman"/>
          <w:sz w:val="16"/>
          <w:szCs w:val="16"/>
          <w:b w:val="1"/>
          <w:bCs w:val="1"/>
          <w:color w:val="auto"/>
        </w:rPr>
        <w:t>Votes Against</w:t>
      </w:r>
      <w:r>
        <w:rPr>
          <w:sz w:val="20"/>
          <w:szCs w:val="20"/>
          <w:color w:val="auto"/>
        </w:rPr>
        <w:tab/>
      </w:r>
      <w:r>
        <w:rPr>
          <w:rFonts w:ascii="Times New Roman" w:cs="Times New Roman" w:eastAsia="Times New Roman" w:hAnsi="Times New Roman"/>
          <w:sz w:val="16"/>
          <w:szCs w:val="16"/>
          <w:b w:val="1"/>
          <w:bCs w:val="1"/>
          <w:color w:val="auto"/>
        </w:rPr>
        <w:t>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47625</wp:posOffset>
            </wp:positionV>
            <wp:extent cx="2486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1" w:lineRule="exact"/>
        <w:rPr>
          <w:sz w:val="20"/>
          <w:szCs w:val="20"/>
          <w:color w:val="auto"/>
        </w:rPr>
      </w:pPr>
    </w:p>
    <w:p>
      <w:pPr>
        <w:ind w:left="560"/>
        <w:spacing w:after="0"/>
        <w:tabs>
          <w:tab w:leader="none" w:pos="2120" w:val="left"/>
          <w:tab w:leader="none" w:pos="3440" w:val="left"/>
        </w:tabs>
        <w:rPr>
          <w:sz w:val="20"/>
          <w:szCs w:val="20"/>
          <w:color w:val="auto"/>
        </w:rPr>
      </w:pPr>
      <w:r>
        <w:rPr>
          <w:rFonts w:ascii="Times New Roman" w:cs="Times New Roman" w:eastAsia="Times New Roman" w:hAnsi="Times New Roman"/>
          <w:sz w:val="18"/>
          <w:szCs w:val="18"/>
          <w:color w:val="auto"/>
        </w:rPr>
        <w:t>134,626,334</w:t>
      </w:r>
      <w:r>
        <w:rPr>
          <w:sz w:val="20"/>
          <w:szCs w:val="20"/>
          <w:color w:val="auto"/>
        </w:rPr>
        <w:tab/>
      </w:r>
      <w:r>
        <w:rPr>
          <w:rFonts w:ascii="Times New Roman" w:cs="Times New Roman" w:eastAsia="Times New Roman" w:hAnsi="Times New Roman"/>
          <w:sz w:val="18"/>
          <w:szCs w:val="18"/>
          <w:color w:val="auto"/>
        </w:rPr>
        <w:t>116,591</w:t>
      </w:r>
      <w:r>
        <w:rPr>
          <w:sz w:val="20"/>
          <w:szCs w:val="20"/>
          <w:color w:val="auto"/>
        </w:rPr>
        <w:tab/>
      </w:r>
      <w:r>
        <w:rPr>
          <w:rFonts w:ascii="Times New Roman" w:cs="Times New Roman" w:eastAsia="Times New Roman" w:hAnsi="Times New Roman"/>
          <w:sz w:val="17"/>
          <w:szCs w:val="17"/>
          <w:color w:val="auto"/>
        </w:rPr>
        <w:t>220,482</w:t>
      </w:r>
    </w:p>
    <w:p>
      <w:pPr>
        <w:spacing w:after="0" w:line="37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B-1 Preferred Stock, voting separately as a class, voted all shares of Series B-1 Preferred Stock to nominate and elect Eli Casdin to the board of directors in connection with the Annual Meeting.</w:t>
      </w:r>
    </w:p>
    <w:p>
      <w:pPr>
        <w:spacing w:after="0" w:line="83"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Votes Withheld</w:t>
            </w:r>
          </w:p>
        </w:tc>
      </w:tr>
      <w:tr>
        <w:trPr>
          <w:trHeight w:val="46"/>
        </w:trPr>
        <w:tc>
          <w:tcPr>
            <w:tcW w:w="3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6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 Casdin</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127,780</w:t>
            </w:r>
          </w:p>
        </w:tc>
        <w:tc>
          <w:tcPr>
            <w:tcW w:w="12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3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B-2 Preferred Stock, voting separately as a class, voted all shares of Series B-2 Preferred Stock to nominate and elect Martin Madaus to the board of directors in connection with the Annual Meeting.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Nominee</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Votes For</w:t>
            </w:r>
          </w:p>
        </w:tc>
        <w:tc>
          <w:tcPr>
            <w:tcW w:w="5760" w:type="dxa"/>
            <w:vAlign w:val="bottom"/>
            <w:gridSpan w:val="2"/>
          </w:tcPr>
          <w:p>
            <w:pPr>
              <w:jc w:val="center"/>
              <w:ind w:right="4340"/>
              <w:spacing w:after="0"/>
              <w:rPr>
                <w:sz w:val="20"/>
                <w:szCs w:val="20"/>
                <w:color w:val="auto"/>
              </w:rPr>
            </w:pPr>
            <w:r>
              <w:rPr>
                <w:rFonts w:ascii="Times New Roman" w:cs="Times New Roman" w:eastAsia="Times New Roman" w:hAnsi="Times New Roman"/>
                <w:sz w:val="16"/>
                <w:szCs w:val="16"/>
                <w:b w:val="1"/>
                <w:bCs w:val="1"/>
                <w:color w:val="auto"/>
                <w:w w:val="99"/>
              </w:rPr>
              <w:t>Votes Withheld</w:t>
            </w:r>
          </w:p>
        </w:tc>
      </w:tr>
      <w:tr>
        <w:trPr>
          <w:trHeight w:val="47"/>
        </w:trPr>
        <w:tc>
          <w:tcPr>
            <w:tcW w:w="400" w:type="dxa"/>
            <w:vAlign w:val="bottom"/>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320" w:type="dxa"/>
            <w:vAlign w:val="bottom"/>
          </w:tcPr>
          <w:p>
            <w:pPr>
              <w:spacing w:after="0"/>
              <w:rPr>
                <w:sz w:val="4"/>
                <w:szCs w:val="4"/>
                <w:color w:val="auto"/>
              </w:rPr>
            </w:pPr>
          </w:p>
        </w:tc>
      </w:tr>
      <w:tr>
        <w:trPr>
          <w:trHeight w:val="264"/>
        </w:trPr>
        <w:tc>
          <w:tcPr>
            <w:tcW w:w="400" w:type="dxa"/>
            <w:vAlign w:val="bottom"/>
          </w:tcPr>
          <w:p>
            <w:pPr>
              <w:spacing w:after="0"/>
              <w:rPr>
                <w:sz w:val="22"/>
                <w:szCs w:val="22"/>
                <w:color w:val="auto"/>
              </w:rPr>
            </w:pP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Martin Madaus</w:t>
            </w:r>
          </w:p>
        </w:tc>
        <w:tc>
          <w:tcPr>
            <w:tcW w:w="13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127,779</w:t>
            </w:r>
          </w:p>
        </w:tc>
        <w:tc>
          <w:tcPr>
            <w:tcW w:w="120" w:type="dxa"/>
            <w:vAlign w:val="bottom"/>
          </w:tcPr>
          <w:p>
            <w:pPr>
              <w:spacing w:after="0"/>
              <w:rPr>
                <w:sz w:val="22"/>
                <w:szCs w:val="22"/>
                <w:color w:val="auto"/>
              </w:rPr>
            </w:pPr>
          </w:p>
        </w:tc>
        <w:tc>
          <w:tcPr>
            <w:tcW w:w="5760" w:type="dxa"/>
            <w:vAlign w:val="bottom"/>
            <w:gridSpan w:val="2"/>
          </w:tcPr>
          <w:p>
            <w:pPr>
              <w:jc w:val="center"/>
              <w:ind w:right="4340"/>
              <w:spacing w:after="0"/>
              <w:rPr>
                <w:sz w:val="20"/>
                <w:szCs w:val="20"/>
                <w:color w:val="auto"/>
              </w:rPr>
            </w:pPr>
            <w:r>
              <w:rPr>
                <w:rFonts w:ascii="Times New Roman" w:cs="Times New Roman" w:eastAsia="Times New Roman" w:hAnsi="Times New Roman"/>
                <w:sz w:val="18"/>
                <w:szCs w:val="18"/>
                <w:color w:val="auto"/>
                <w:w w:val="99"/>
              </w:rPr>
              <w:t>—</w:t>
            </w:r>
          </w:p>
        </w:tc>
      </w:tr>
      <w:tr>
        <w:trPr>
          <w:trHeight w:val="1438"/>
        </w:trPr>
        <w:tc>
          <w:tcPr>
            <w:tcW w:w="4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FLUIDIGM CORPORATION</w:t>
      </w:r>
    </w:p>
    <w:p>
      <w:pPr>
        <w:spacing w:after="0" w:line="391" w:lineRule="exact"/>
        <w:rPr>
          <w:sz w:val="20"/>
          <w:szCs w:val="20"/>
          <w:color w:val="auto"/>
        </w:rPr>
      </w:pPr>
    </w:p>
    <w:p>
      <w:pPr>
        <w:ind w:left="20"/>
        <w:spacing w:after="0"/>
        <w:tabs>
          <w:tab w:leader="none" w:pos="4320" w:val="left"/>
          <w:tab w:leader="none" w:pos="5060" w:val="left"/>
        </w:tabs>
        <w:rPr>
          <w:sz w:val="20"/>
          <w:szCs w:val="20"/>
          <w:color w:val="auto"/>
        </w:rPr>
      </w:pPr>
      <w:r>
        <w:rPr>
          <w:rFonts w:ascii="Times New Roman" w:cs="Times New Roman" w:eastAsia="Times New Roman" w:hAnsi="Times New Roman"/>
          <w:sz w:val="18"/>
          <w:szCs w:val="18"/>
          <w:color w:val="auto"/>
        </w:rPr>
        <w:t>Date: June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43180</wp:posOffset>
            </wp:positionV>
            <wp:extent cx="3282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Nicholas Khadder</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600"/>
      </w:cols>
      <w:pgMar w:left="320" w:top="1089"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2022-06-16T13:08:08Z</dcterms:created>
  <dcterms:modified xsi:type="dcterms:W3CDTF">2022-06-16T13:08:08Z</dcterms:modified>
</cp:coreProperties>
</file>