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16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168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Yow Mai Chan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55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02/20/2015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0000FF"/>
                <w:w w:val="79"/>
              </w:rPr>
              <w:t>350</w:t>
            </w:r>
          </w:p>
        </w:tc>
        <w:tc>
          <w:tcPr>
            <w:tcW w:w="680" w:type="dxa"/>
            <w:vAlign w:val="bottom"/>
          </w:tcPr>
          <w:p>
            <w:pPr>
              <w:ind w:left="480"/>
              <w:spacing w:after="0"/>
              <w:rPr>
                <w:sz w:val="20"/>
                <w:szCs w:val="20"/>
                <w:color w:val="auto"/>
              </w:rPr>
            </w:pPr>
            <w:r>
              <w:rPr>
                <w:rFonts w:ascii="Arial" w:cs="Arial" w:eastAsia="Arial" w:hAnsi="Arial"/>
                <w:sz w:val="18"/>
                <w:szCs w:val="18"/>
                <w:color w:val="0000FF"/>
              </w:rPr>
              <w:t>A</w:t>
            </w:r>
          </w:p>
        </w:tc>
        <w:tc>
          <w:tcPr>
            <w:tcW w:w="540" w:type="dxa"/>
            <w:vAlign w:val="bottom"/>
          </w:tcPr>
          <w:p>
            <w:pPr>
              <w:ind w:left="36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1,516</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350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02/20/2015</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840" w:type="dxa"/>
            <w:vAlign w:val="bottom"/>
            <w:vMerge w:val="restart"/>
          </w:tcPr>
          <w:p>
            <w:pPr>
              <w:ind w:left="540"/>
              <w:spacing w:after="0" w:line="149" w:lineRule="exact"/>
              <w:rPr>
                <w:sz w:val="20"/>
                <w:szCs w:val="20"/>
                <w:color w:val="auto"/>
              </w:rPr>
            </w:pPr>
            <w:r>
              <w:rPr>
                <w:rFonts w:ascii="Arial" w:cs="Arial" w:eastAsia="Arial" w:hAnsi="Arial"/>
                <w:sz w:val="14"/>
                <w:szCs w:val="14"/>
                <w:color w:val="0000FF"/>
              </w:rPr>
              <w:t>350</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4,084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14, 2014, the Reporting Person was granted 5,600 Restricted Stock Units of which 4/48th of the total number of shares underlying the Restricted Stock Units granted vested on May 20, 2014, and 3/48th of the total number of shares underlying the Restricted Stock Units granted will vest every three months thereafter until fully vested, subject to recipient's continued employment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EXECUTIVE VP, WORLDWIDE MANUFACTURING &amp; MANAGING DIRECTOR - SINGAPORE</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02/24/2015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7"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2019-12-07T23:32:24Z</dcterms:created>
  <dcterms:modified xsi:type="dcterms:W3CDTF">2019-12-07T23:32:24Z</dcterms:modified>
</cp:coreProperties>
</file>