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FLUIDIGM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#34385P108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#34385P108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1,452,339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1,452,339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5.812%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#34385P108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1,452,339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1,452,339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5.812%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FLUIDIGM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7000 Shoreline Court</w:t>
      </w:r>
    </w:p>
    <w:p>
      <w:pPr>
        <w:ind w:left="1700"/>
        <w:spacing w:after="0" w:line="238" w:lineRule="auto"/>
        <w:rPr>
          <w:sz w:val="20"/>
          <w:szCs w:val="20"/>
          <w:color w:val="auto"/>
        </w:rPr>
      </w:pPr>
      <w:r>
        <w:rPr>
          <w:rFonts w:ascii="Courier New" w:cs="Courier New" w:eastAsia="Courier New" w:hAnsi="Courier New"/>
          <w:sz w:val="18"/>
          <w:szCs w:val="18"/>
          <w:color w:val="auto"/>
        </w:rPr>
        <w:t>Ste 100</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South San Francisco, CA</w:t>
        <w:tab/>
        <w:t>94080</w:t>
      </w:r>
    </w:p>
    <w:p>
      <w:pPr>
        <w:ind w:left="1700"/>
        <w:spacing w:after="0" w:line="237"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34385P108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1,452,339</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5.812%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1,452,339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FLUIDIGM CORP. No one</w:t>
      </w:r>
    </w:p>
    <w:p>
      <w:pPr>
        <w:spacing w:after="0" w:line="6"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person's interest in the Common Stock of FLUIDIGM CORP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1,452,339 shares or 5.812% of the Common Stock outstanding of FLUIDIGM CORP</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1,452,339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FLUIDIGM CORP at December 31, 2012.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547"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2019-12-07T03:04:05Z</dcterms:created>
  <dcterms:modified xsi:type="dcterms:W3CDTF">2019-12-07T03:04:05Z</dcterms:modified>
</cp:coreProperties>
</file>