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465361"/>
        </w:rPr>
        <w:t>Filed Pursuant to Rule 424(b)(5)</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465361"/>
        </w:rPr>
        <w:t>Registration No. 333-216542</w:t>
      </w:r>
    </w:p>
    <w:p>
      <w:pPr>
        <w:spacing w:after="0" w:line="134" w:lineRule="exact"/>
        <w:rPr>
          <w:sz w:val="24"/>
          <w:szCs w:val="24"/>
          <w:color w:val="auto"/>
        </w:rPr>
      </w:pPr>
    </w:p>
    <w:p>
      <w:pPr>
        <w:ind w:left="200" w:right="80"/>
        <w:spacing w:after="0" w:line="259" w:lineRule="auto"/>
        <w:rPr>
          <w:sz w:val="20"/>
          <w:szCs w:val="20"/>
          <w:color w:val="auto"/>
        </w:rPr>
      </w:pPr>
      <w:r>
        <w:rPr>
          <w:rFonts w:ascii="Arial" w:cs="Arial" w:eastAsia="Arial" w:hAnsi="Arial"/>
          <w:sz w:val="17"/>
          <w:szCs w:val="17"/>
          <w:b w:val="1"/>
          <w:bCs w:val="1"/>
          <w:color w:val="CC062A"/>
        </w:rPr>
        <w:t>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they are not soliciting an offer to buy these securities in any jurisdiction where the offer or sale is not permitted.</w:t>
      </w:r>
    </w:p>
    <w:p>
      <w:pPr>
        <w:spacing w:after="0" w:line="1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CC062A"/>
        </w:rPr>
        <w:t>SUBJECT TO COMPLETION, DATED DECEMBER 11, 2018</w:t>
      </w:r>
    </w:p>
    <w:p>
      <w:pPr>
        <w:spacing w:after="0" w:line="200" w:lineRule="exact"/>
        <w:rPr>
          <w:sz w:val="24"/>
          <w:szCs w:val="24"/>
          <w:color w:val="auto"/>
        </w:rPr>
      </w:pPr>
    </w:p>
    <w:p>
      <w:pPr>
        <w:spacing w:after="0" w:line="349"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465361"/>
        </w:rPr>
        <w:t>PRELIMINARY PROSPECTUS SUPPLEMENT</w:t>
      </w:r>
    </w:p>
    <w:p>
      <w:pPr>
        <w:spacing w:after="0" w:line="27"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465361"/>
        </w:rPr>
        <w:t>(To the Prospectus dated May 2, 2017)</w:t>
      </w:r>
    </w:p>
    <w:p>
      <w:pPr>
        <w:spacing w:after="0" w:line="193"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465361"/>
        </w:rPr>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331470</wp:posOffset>
            </wp:positionV>
            <wp:extent cx="3704590" cy="1209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04590" cy="1209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465361"/>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200"/>
        <w:spacing w:after="0"/>
        <w:tabs>
          <w:tab w:leader="none" w:pos="2300" w:val="left"/>
        </w:tabs>
        <w:rPr>
          <w:sz w:val="20"/>
          <w:szCs w:val="20"/>
          <w:color w:val="auto"/>
        </w:rPr>
      </w:pPr>
      <w:r>
        <w:rPr>
          <w:rFonts w:ascii="Arial" w:cs="Arial" w:eastAsia="Arial" w:hAnsi="Arial"/>
          <w:sz w:val="18"/>
          <w:szCs w:val="18"/>
          <w:color w:val="465361"/>
        </w:rPr>
        <w:t>We are offering</w:t>
      </w:r>
      <w:r>
        <w:rPr>
          <w:sz w:val="20"/>
          <w:szCs w:val="20"/>
          <w:color w:val="auto"/>
        </w:rPr>
        <w:tab/>
      </w:r>
      <w:r>
        <w:rPr>
          <w:rFonts w:ascii="Arial" w:cs="Arial" w:eastAsia="Arial" w:hAnsi="Arial"/>
          <w:sz w:val="16"/>
          <w:szCs w:val="16"/>
          <w:color w:val="465361"/>
        </w:rPr>
        <w:t>shares of our common stock.</w:t>
      </w:r>
    </w:p>
    <w:p>
      <w:pPr>
        <w:spacing w:after="0" w:line="225" w:lineRule="exact"/>
        <w:rPr>
          <w:sz w:val="24"/>
          <w:szCs w:val="24"/>
          <w:color w:val="auto"/>
        </w:rPr>
      </w:pPr>
    </w:p>
    <w:p>
      <w:pPr>
        <w:ind w:left="200" w:right="340"/>
        <w:spacing w:after="0" w:line="277" w:lineRule="auto"/>
        <w:rPr>
          <w:sz w:val="20"/>
          <w:szCs w:val="20"/>
          <w:color w:val="auto"/>
        </w:rPr>
      </w:pPr>
      <w:r>
        <w:rPr>
          <w:rFonts w:ascii="Arial" w:cs="Arial" w:eastAsia="Arial" w:hAnsi="Arial"/>
          <w:sz w:val="18"/>
          <w:szCs w:val="18"/>
          <w:color w:val="465361"/>
        </w:rPr>
        <w:t>Our common stock is listed on the NASDAQ Global Select Market under the symbol “FLDM.” The last reported sale price of our common stock on December 10, 2018 was $7.68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203200</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200" w:right="300"/>
        <w:spacing w:after="0" w:line="282" w:lineRule="auto"/>
        <w:rPr>
          <w:rFonts w:ascii="Arial" w:cs="Arial" w:eastAsia="Arial" w:hAnsi="Arial"/>
          <w:sz w:val="18"/>
          <w:szCs w:val="18"/>
          <w:b w:val="1"/>
          <w:bCs w:val="1"/>
          <w:color w:val="465361"/>
        </w:rPr>
      </w:pPr>
      <w:r>
        <w:rPr>
          <w:rFonts w:ascii="Arial" w:cs="Arial" w:eastAsia="Arial" w:hAnsi="Arial"/>
          <w:sz w:val="18"/>
          <w:szCs w:val="18"/>
          <w:b w:val="1"/>
          <w:bCs w:val="1"/>
          <w:color w:val="465361"/>
        </w:rPr>
        <w:t>Our business and an investment in our common stock involves significant risks. See “</w:t>
      </w:r>
      <w:hyperlink w:anchor="page9">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465361"/>
        </w:rPr>
        <w:t>” beginning on page S-6 of this prospectus supplement.</w:t>
      </w:r>
    </w:p>
    <w:p>
      <w:pPr>
        <w:spacing w:after="0" w:line="162" w:lineRule="exact"/>
        <w:rPr>
          <w:sz w:val="24"/>
          <w:szCs w:val="24"/>
          <w:color w:val="auto"/>
        </w:rPr>
      </w:pPr>
    </w:p>
    <w:p>
      <w:pPr>
        <w:jc w:val="both"/>
        <w:ind w:left="200" w:right="20"/>
        <w:spacing w:after="0" w:line="266" w:lineRule="auto"/>
        <w:rPr>
          <w:sz w:val="20"/>
          <w:szCs w:val="20"/>
          <w:color w:val="auto"/>
        </w:rPr>
      </w:pPr>
      <w:r>
        <w:rPr>
          <w:rFonts w:ascii="Arial" w:cs="Arial" w:eastAsia="Arial" w:hAnsi="Arial"/>
          <w:sz w:val="18"/>
          <w:szCs w:val="18"/>
          <w:b w:val="1"/>
          <w:bCs w:val="1"/>
          <w:color w:val="465361"/>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226695</wp:posOffset>
            </wp:positionV>
            <wp:extent cx="6997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260985</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465361"/>
                <w:w w:val="94"/>
              </w:rPr>
              <w:t>Per Share</w:t>
            </w:r>
          </w:p>
        </w:tc>
        <w:tc>
          <w:tcPr>
            <w:tcW w:w="380" w:type="dxa"/>
            <w:vAlign w:val="bottom"/>
          </w:tcPr>
          <w:p>
            <w:pPr>
              <w:spacing w:after="0"/>
              <w:rPr>
                <w:sz w:val="14"/>
                <w:szCs w:val="14"/>
                <w:color w:val="auto"/>
              </w:rPr>
            </w:pP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465361"/>
              </w:rPr>
              <w:t>Total</w:t>
            </w: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465361"/>
              </w:rPr>
              <w:t>Public offering price</w:t>
            </w:r>
          </w:p>
        </w:tc>
        <w:tc>
          <w:tcPr>
            <w:tcW w:w="50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465361"/>
                <w:w w:val="71"/>
              </w:rPr>
              <w:t>$</w:t>
            </w: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465361"/>
                <w:w w:val="7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465361"/>
              </w:rPr>
              <w:t>Underwriting discounts and commissions</w:t>
            </w:r>
          </w:p>
        </w:tc>
        <w:tc>
          <w:tcPr>
            <w:tcW w:w="5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465361"/>
              </w:rPr>
              <w:t>Proceeds, before expenses, to us</w:t>
            </w:r>
          </w:p>
        </w:tc>
        <w:tc>
          <w:tcPr>
            <w:tcW w:w="5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4160" w:type="dxa"/>
            <w:vAlign w:val="bottom"/>
            <w:tcBorders>
              <w:bottom w:val="single" w:sz="8" w:color="465361"/>
            </w:tcBorders>
          </w:tcPr>
          <w:p>
            <w:pPr>
              <w:spacing w:after="0"/>
              <w:rPr>
                <w:sz w:val="14"/>
                <w:szCs w:val="14"/>
                <w:color w:val="auto"/>
              </w:rPr>
            </w:pPr>
          </w:p>
        </w:tc>
        <w:tc>
          <w:tcPr>
            <w:tcW w:w="6860" w:type="dxa"/>
            <w:vAlign w:val="bottom"/>
            <w:tcBorders>
              <w:bottom w:val="single" w:sz="8" w:color="465361"/>
            </w:tcBorders>
            <w:gridSpan w:val="5"/>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4160" w:type="dxa"/>
            <w:vAlign w:val="bottom"/>
            <w:tcBorders>
              <w:bottom w:val="single" w:sz="8" w:color="465361"/>
            </w:tcBorders>
          </w:tcPr>
          <w:p>
            <w:pPr>
              <w:spacing w:after="0"/>
              <w:rPr>
                <w:sz w:val="2"/>
                <w:szCs w:val="2"/>
                <w:color w:val="auto"/>
              </w:rPr>
            </w:pPr>
          </w:p>
        </w:tc>
        <w:tc>
          <w:tcPr>
            <w:tcW w:w="6860" w:type="dxa"/>
            <w:vAlign w:val="bottom"/>
            <w:tcBorders>
              <w:bottom w:val="single" w:sz="8" w:color="465361"/>
            </w:tcBorders>
            <w:gridSpan w:val="5"/>
          </w:tcPr>
          <w:p>
            <w:pPr>
              <w:spacing w:after="0"/>
              <w:rPr>
                <w:sz w:val="2"/>
                <w:szCs w:val="2"/>
                <w:color w:val="auto"/>
              </w:rPr>
            </w:pPr>
          </w:p>
        </w:tc>
      </w:tr>
      <w:tr>
        <w:trPr>
          <w:trHeight w:val="411"/>
        </w:trPr>
        <w:tc>
          <w:tcPr>
            <w:tcW w:w="4180" w:type="dxa"/>
            <w:vAlign w:val="bottom"/>
            <w:gridSpan w:val="2"/>
          </w:tcPr>
          <w:p>
            <w:pPr>
              <w:spacing w:after="0"/>
              <w:rPr>
                <w:sz w:val="20"/>
                <w:szCs w:val="20"/>
                <w:color w:val="auto"/>
              </w:rPr>
            </w:pPr>
            <w:r>
              <w:rPr>
                <w:rFonts w:ascii="Arial" w:cs="Arial" w:eastAsia="Arial" w:hAnsi="Arial"/>
                <w:sz w:val="18"/>
                <w:szCs w:val="18"/>
                <w:i w:val="1"/>
                <w:iCs w:val="1"/>
                <w:color w:val="465361"/>
                <w:w w:val="96"/>
              </w:rPr>
              <w:t>The underwriter has a 30-day option to purchase up to</w:t>
            </w:r>
          </w:p>
        </w:tc>
        <w:tc>
          <w:tcPr>
            <w:tcW w:w="6860" w:type="dxa"/>
            <w:vAlign w:val="bottom"/>
            <w:gridSpan w:val="5"/>
          </w:tcPr>
          <w:p>
            <w:pPr>
              <w:ind w:left="760"/>
              <w:spacing w:after="0"/>
              <w:rPr>
                <w:sz w:val="20"/>
                <w:szCs w:val="20"/>
                <w:color w:val="auto"/>
              </w:rPr>
            </w:pPr>
            <w:r>
              <w:rPr>
                <w:rFonts w:ascii="Arial" w:cs="Arial" w:eastAsia="Arial" w:hAnsi="Arial"/>
                <w:sz w:val="18"/>
                <w:szCs w:val="18"/>
                <w:i w:val="1"/>
                <w:iCs w:val="1"/>
                <w:color w:val="465361"/>
              </w:rPr>
              <w:t>additional shares of common stock from us at the public offering price, less</w:t>
            </w: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i w:val="1"/>
                <w:iCs w:val="1"/>
                <w:color w:val="465361"/>
              </w:rPr>
              <w:t>underwriting discounts and commissions.</w:t>
            </w:r>
          </w:p>
        </w:tc>
        <w:tc>
          <w:tcPr>
            <w:tcW w:w="5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9900" w:type="dxa"/>
            <w:vAlign w:val="bottom"/>
            <w:gridSpan w:val="4"/>
          </w:tcPr>
          <w:p>
            <w:pPr>
              <w:spacing w:after="0"/>
              <w:rPr>
                <w:sz w:val="20"/>
                <w:szCs w:val="20"/>
                <w:color w:val="auto"/>
              </w:rPr>
            </w:pPr>
            <w:r>
              <w:rPr>
                <w:rFonts w:ascii="Arial" w:cs="Arial" w:eastAsia="Arial" w:hAnsi="Arial"/>
                <w:sz w:val="18"/>
                <w:szCs w:val="18"/>
                <w:color w:val="465361"/>
              </w:rPr>
              <w:t>The underwriters expect to deliver the shares against payment on or about December  , 2018.</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720" w:type="dxa"/>
            <w:vAlign w:val="bottom"/>
            <w:gridSpan w:val="2"/>
          </w:tcPr>
          <w:p>
            <w:pPr>
              <w:jc w:val="right"/>
              <w:ind w:right="3207"/>
              <w:spacing w:after="0"/>
              <w:rPr>
                <w:sz w:val="20"/>
                <w:szCs w:val="20"/>
                <w:color w:val="auto"/>
              </w:rPr>
            </w:pPr>
            <w:r>
              <w:rPr>
                <w:rFonts w:ascii="Arial" w:cs="Arial" w:eastAsia="Arial" w:hAnsi="Arial"/>
                <w:sz w:val="18"/>
                <w:szCs w:val="18"/>
                <w:i w:val="1"/>
                <w:iCs w:val="1"/>
                <w:color w:val="465361"/>
                <w:w w:val="99"/>
              </w:rPr>
              <w:t>Joint Book-Running Managers</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09"/>
        </w:trPr>
        <w:tc>
          <w:tcPr>
            <w:tcW w:w="4180" w:type="dxa"/>
            <w:vAlign w:val="bottom"/>
            <w:gridSpan w:val="2"/>
          </w:tcPr>
          <w:p>
            <w:pPr>
              <w:spacing w:after="0"/>
              <w:rPr>
                <w:sz w:val="20"/>
                <w:szCs w:val="20"/>
                <w:color w:val="auto"/>
              </w:rPr>
            </w:pPr>
            <w:r>
              <w:rPr>
                <w:rFonts w:ascii="Arial" w:cs="Arial" w:eastAsia="Arial" w:hAnsi="Arial"/>
                <w:sz w:val="32"/>
                <w:szCs w:val="32"/>
                <w:b w:val="1"/>
                <w:bCs w:val="1"/>
                <w:color w:val="465361"/>
              </w:rPr>
              <w:t>Piper Jaffray</w:t>
            </w:r>
          </w:p>
        </w:tc>
        <w:tc>
          <w:tcPr>
            <w:tcW w:w="6860" w:type="dxa"/>
            <w:vAlign w:val="bottom"/>
            <w:gridSpan w:val="5"/>
          </w:tcPr>
          <w:p>
            <w:pPr>
              <w:ind w:left="3760"/>
              <w:spacing w:after="0"/>
              <w:rPr>
                <w:sz w:val="20"/>
                <w:szCs w:val="20"/>
                <w:color w:val="auto"/>
              </w:rPr>
            </w:pPr>
            <w:r>
              <w:rPr>
                <w:rFonts w:ascii="Arial" w:cs="Arial" w:eastAsia="Arial" w:hAnsi="Arial"/>
                <w:sz w:val="32"/>
                <w:szCs w:val="32"/>
                <w:b w:val="1"/>
                <w:bCs w:val="1"/>
                <w:color w:val="465361"/>
                <w:w w:val="92"/>
              </w:rPr>
              <w:t>UBS Investment Bank</w:t>
            </w:r>
          </w:p>
        </w:tc>
      </w:tr>
    </w:tbl>
    <w:p>
      <w:pPr>
        <w:spacing w:after="0" w:line="1" w:lineRule="exact"/>
        <w:rPr>
          <w:sz w:val="24"/>
          <w:szCs w:val="24"/>
          <w:color w:val="auto"/>
        </w:rPr>
      </w:pPr>
    </w:p>
    <w:p>
      <w:pPr>
        <w:sectPr>
          <w:pgSz w:w="11900" w:h="16838" w:orient="portrait"/>
          <w:cols w:equalWidth="0" w:num="1">
            <w:col w:w="11240"/>
          </w:cols>
          <w:pgMar w:left="240" w:top="230" w:right="419" w:bottom="1440" w:gutter="0" w:footer="0" w:header="0"/>
        </w:sectPr>
      </w:pPr>
    </w:p>
    <w:p>
      <w:pPr>
        <w:jc w:val="center"/>
        <w:ind w:right="-179"/>
        <w:spacing w:after="0"/>
        <w:tabs>
          <w:tab w:leader="none" w:pos="160" w:val="left"/>
        </w:tabs>
        <w:rPr>
          <w:sz w:val="20"/>
          <w:szCs w:val="20"/>
          <w:color w:val="auto"/>
        </w:rPr>
      </w:pPr>
      <w:r>
        <w:rPr>
          <w:rFonts w:ascii="Arial" w:cs="Arial" w:eastAsia="Arial" w:hAnsi="Arial"/>
          <w:sz w:val="18"/>
          <w:szCs w:val="18"/>
          <w:b w:val="1"/>
          <w:bCs w:val="1"/>
          <w:color w:val="465361"/>
        </w:rPr>
        <w:t>Prospectus Supplement dated December</w:t>
      </w:r>
      <w:r>
        <w:rPr>
          <w:sz w:val="20"/>
          <w:szCs w:val="20"/>
          <w:color w:val="auto"/>
        </w:rPr>
        <w:tab/>
      </w:r>
      <w:r>
        <w:rPr>
          <w:rFonts w:ascii="Arial" w:cs="Arial" w:eastAsia="Arial" w:hAnsi="Arial"/>
          <w:sz w:val="16"/>
          <w:szCs w:val="16"/>
          <w:b w:val="1"/>
          <w:bCs w:val="1"/>
          <w:color w:val="465361"/>
        </w:rPr>
        <w:t>, 2018.</w:t>
      </w:r>
    </w:p>
    <w:p>
      <w:pPr>
        <w:sectPr>
          <w:pgSz w:w="11900" w:h="16838" w:orient="portrait"/>
          <w:cols w:equalWidth="0" w:num="1">
            <w:col w:w="11240"/>
          </w:cols>
          <w:pgMar w:left="240" w:top="230"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680" w:type="dxa"/>
            <w:vAlign w:val="bottom"/>
            <w:gridSpan w:val="2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80" w:type="dxa"/>
            <w:vAlign w:val="bottom"/>
          </w:tcPr>
          <w:p>
            <w:pPr>
              <w:spacing w:after="0"/>
              <w:rPr>
                <w:sz w:val="17"/>
                <w:szCs w:val="17"/>
                <w:color w:val="auto"/>
              </w:rPr>
            </w:pPr>
          </w:p>
        </w:tc>
      </w:tr>
      <w:tr>
        <w:trPr>
          <w:trHeight w:val="534"/>
        </w:trPr>
        <w:tc>
          <w:tcPr>
            <w:tcW w:w="1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120" w:type="dxa"/>
            <w:vAlign w:val="bottom"/>
            <w:gridSpan w:val="4"/>
          </w:tcPr>
          <w:p>
            <w:pPr>
              <w:jc w:val="center"/>
              <w:ind w:right="2800"/>
              <w:spacing w:after="0"/>
              <w:rPr>
                <w:sz w:val="20"/>
                <w:szCs w:val="20"/>
                <w:color w:val="auto"/>
              </w:rPr>
            </w:pPr>
            <w:r>
              <w:rPr>
                <w:rFonts w:ascii="Arial" w:cs="Arial" w:eastAsia="Arial" w:hAnsi="Arial"/>
                <w:sz w:val="18"/>
                <w:szCs w:val="18"/>
                <w:b w:val="1"/>
                <w:bCs w:val="1"/>
                <w:color w:val="465361"/>
                <w:w w:val="98"/>
              </w:rPr>
              <w:t>TABLE OF CONTENTS</w:t>
            </w:r>
          </w:p>
        </w:tc>
        <w:tc>
          <w:tcPr>
            <w:tcW w:w="380" w:type="dxa"/>
            <w:vAlign w:val="bottom"/>
          </w:tcPr>
          <w:p>
            <w:pPr>
              <w:spacing w:after="0"/>
              <w:rPr>
                <w:sz w:val="24"/>
                <w:szCs w:val="24"/>
                <w:color w:val="auto"/>
              </w:rPr>
            </w:pPr>
          </w:p>
        </w:tc>
      </w:tr>
      <w:tr>
        <w:trPr>
          <w:trHeight w:val="459"/>
        </w:trPr>
        <w:tc>
          <w:tcPr>
            <w:tcW w:w="1320" w:type="dxa"/>
            <w:vAlign w:val="bottom"/>
          </w:tcPr>
          <w:p>
            <w:pPr>
              <w:spacing w:after="0"/>
              <w:rPr>
                <w:sz w:val="24"/>
                <w:szCs w:val="24"/>
                <w:color w:val="auto"/>
              </w:rPr>
            </w:pPr>
          </w:p>
        </w:tc>
        <w:tc>
          <w:tcPr>
            <w:tcW w:w="8360" w:type="dxa"/>
            <w:vAlign w:val="bottom"/>
            <w:gridSpan w:val="22"/>
          </w:tcPr>
          <w:p>
            <w:pPr>
              <w:spacing w:after="0"/>
              <w:rPr>
                <w:sz w:val="20"/>
                <w:szCs w:val="20"/>
                <w:color w:val="auto"/>
              </w:rPr>
            </w:pPr>
            <w:r>
              <w:rPr>
                <w:rFonts w:ascii="Arial" w:cs="Arial" w:eastAsia="Arial" w:hAnsi="Arial"/>
                <w:sz w:val="18"/>
                <w:szCs w:val="18"/>
                <w:b w:val="1"/>
                <w:bCs w:val="1"/>
                <w:color w:val="465361"/>
              </w:rPr>
              <w:t>Prospectus Supplement</w:t>
            </w:r>
          </w:p>
        </w:tc>
        <w:tc>
          <w:tcPr>
            <w:tcW w:w="380" w:type="dxa"/>
            <w:vAlign w:val="bottom"/>
            <w:tcBorders>
              <w:bottom w:val="single" w:sz="8" w:color="465361"/>
            </w:tcBorders>
          </w:tcPr>
          <w:p>
            <w:pPr>
              <w:jc w:val="right"/>
              <w:spacing w:after="0"/>
              <w:rPr>
                <w:sz w:val="20"/>
                <w:szCs w:val="20"/>
                <w:color w:val="auto"/>
              </w:rPr>
            </w:pPr>
            <w:r>
              <w:rPr>
                <w:rFonts w:ascii="Arial" w:cs="Arial" w:eastAsia="Arial" w:hAnsi="Arial"/>
                <w:sz w:val="14"/>
                <w:szCs w:val="14"/>
                <w:b w:val="1"/>
                <w:bCs w:val="1"/>
                <w:color w:val="465361"/>
                <w:w w:val="95"/>
              </w:rPr>
              <w:t>Page</w:t>
            </w:r>
          </w:p>
        </w:tc>
      </w:tr>
      <w:tr>
        <w:trPr>
          <w:trHeight w:val="264"/>
        </w:trPr>
        <w:tc>
          <w:tcPr>
            <w:tcW w:w="1320" w:type="dxa"/>
            <w:vAlign w:val="bottom"/>
          </w:tcPr>
          <w:p>
            <w:pPr>
              <w:spacing w:after="0"/>
              <w:rPr>
                <w:sz w:val="22"/>
                <w:szCs w:val="22"/>
                <w:color w:val="auto"/>
              </w:rPr>
            </w:pPr>
          </w:p>
        </w:tc>
        <w:tc>
          <w:tcPr>
            <w:tcW w:w="836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S-1</w:t>
            </w:r>
          </w:p>
        </w:tc>
      </w:tr>
      <w:tr>
        <w:trPr>
          <w:trHeight w:val="304"/>
        </w:trPr>
        <w:tc>
          <w:tcPr>
            <w:tcW w:w="1320" w:type="dxa"/>
            <w:vAlign w:val="bottom"/>
          </w:tcPr>
          <w:p>
            <w:pPr>
              <w:spacing w:after="0"/>
              <w:rPr>
                <w:sz w:val="24"/>
                <w:szCs w:val="24"/>
                <w:color w:val="auto"/>
              </w:rPr>
            </w:pP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1520" w:type="dxa"/>
            <w:vAlign w:val="bottom"/>
            <w:tcBorders>
              <w:top w:val="single" w:sz="8" w:color="0000EE"/>
            </w:tcBorders>
            <w:gridSpan w:val="10"/>
          </w:tcPr>
          <w:p>
            <w:pPr>
              <w:spacing w:after="0"/>
              <w:rPr>
                <w:sz w:val="24"/>
                <w:szCs w:val="24"/>
                <w:color w:val="auto"/>
              </w:rPr>
            </w:pPr>
          </w:p>
        </w:tc>
        <w:tc>
          <w:tcPr>
            <w:tcW w:w="594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S-6</w:t>
            </w:r>
          </w:p>
        </w:tc>
      </w:tr>
      <w:tr>
        <w:trPr>
          <w:trHeight w:val="30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Special Note Regarding Forward-Looking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S-</w:t>
            </w:r>
          </w:p>
        </w:tc>
      </w:tr>
      <w:tr>
        <w:trPr>
          <w:trHeight w:val="237"/>
        </w:trPr>
        <w:tc>
          <w:tcPr>
            <w:tcW w:w="13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37</w:t>
            </w:r>
          </w:p>
        </w:tc>
      </w:tr>
      <w:tr>
        <w:trPr>
          <w:trHeight w:val="28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S-</w:t>
            </w:r>
          </w:p>
        </w:tc>
      </w:tr>
      <w:tr>
        <w:trPr>
          <w:trHeight w:val="237"/>
        </w:trPr>
        <w:tc>
          <w:tcPr>
            <w:tcW w:w="13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39</w:t>
            </w:r>
          </w:p>
        </w:tc>
      </w:tr>
      <w:tr>
        <w:trPr>
          <w:trHeight w:val="28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Certain U.S. Federal Income Tax Considerations for Non-U.S. Holders of Common Stock</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S-</w:t>
            </w:r>
          </w:p>
        </w:tc>
      </w:tr>
      <w:tr>
        <w:trPr>
          <w:trHeight w:val="237"/>
        </w:trPr>
        <w:tc>
          <w:tcPr>
            <w:tcW w:w="13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580" w:type="dxa"/>
            <w:vAlign w:val="bottom"/>
            <w:tcBorders>
              <w:top w:val="single" w:sz="8" w:color="0000EE"/>
            </w:tcBorders>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40</w:t>
            </w:r>
          </w:p>
        </w:tc>
      </w:tr>
      <w:tr>
        <w:trPr>
          <w:trHeight w:val="28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Underwriting</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S-</w:t>
            </w:r>
          </w:p>
        </w:tc>
      </w:tr>
      <w:tr>
        <w:trPr>
          <w:trHeight w:val="237"/>
        </w:trPr>
        <w:tc>
          <w:tcPr>
            <w:tcW w:w="13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44</w:t>
            </w:r>
          </w:p>
        </w:tc>
      </w:tr>
      <w:tr>
        <w:trPr>
          <w:trHeight w:val="28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Legal Matters</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S-</w:t>
            </w:r>
          </w:p>
        </w:tc>
      </w:tr>
      <w:tr>
        <w:trPr>
          <w:trHeight w:val="237"/>
        </w:trPr>
        <w:tc>
          <w:tcPr>
            <w:tcW w:w="13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51</w:t>
            </w:r>
          </w:p>
        </w:tc>
      </w:tr>
      <w:tr>
        <w:trPr>
          <w:trHeight w:val="28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Experts</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S-</w:t>
            </w:r>
          </w:p>
        </w:tc>
      </w:tr>
      <w:tr>
        <w:trPr>
          <w:trHeight w:val="237"/>
        </w:trPr>
        <w:tc>
          <w:tcPr>
            <w:tcW w:w="13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51</w:t>
            </w:r>
          </w:p>
        </w:tc>
      </w:tr>
      <w:tr>
        <w:trPr>
          <w:trHeight w:val="28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Where You Can Find Additional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S-</w:t>
            </w:r>
          </w:p>
        </w:tc>
      </w:tr>
      <w:tr>
        <w:trPr>
          <w:trHeight w:val="237"/>
        </w:trPr>
        <w:tc>
          <w:tcPr>
            <w:tcW w:w="13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51</w:t>
            </w:r>
          </w:p>
        </w:tc>
      </w:tr>
      <w:tr>
        <w:trPr>
          <w:trHeight w:val="28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Incorporation of Certain Information by Reference</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S-</w:t>
            </w:r>
          </w:p>
        </w:tc>
      </w:tr>
      <w:tr>
        <w:trPr>
          <w:trHeight w:val="237"/>
        </w:trPr>
        <w:tc>
          <w:tcPr>
            <w:tcW w:w="13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52</w:t>
            </w:r>
          </w:p>
        </w:tc>
      </w:tr>
      <w:tr>
        <w:trPr>
          <w:trHeight w:val="432"/>
        </w:trPr>
        <w:tc>
          <w:tcPr>
            <w:tcW w:w="1320" w:type="dxa"/>
            <w:vAlign w:val="bottom"/>
          </w:tcPr>
          <w:p>
            <w:pPr>
              <w:spacing w:after="0"/>
              <w:rPr>
                <w:sz w:val="24"/>
                <w:szCs w:val="24"/>
                <w:color w:val="auto"/>
              </w:rPr>
            </w:pPr>
          </w:p>
        </w:tc>
        <w:tc>
          <w:tcPr>
            <w:tcW w:w="8360" w:type="dxa"/>
            <w:vAlign w:val="bottom"/>
            <w:gridSpan w:val="22"/>
          </w:tcPr>
          <w:p>
            <w:pPr>
              <w:spacing w:after="0"/>
              <w:rPr>
                <w:sz w:val="20"/>
                <w:szCs w:val="20"/>
                <w:color w:val="auto"/>
              </w:rPr>
            </w:pPr>
            <w:r>
              <w:rPr>
                <w:rFonts w:ascii="Arial" w:cs="Arial" w:eastAsia="Arial" w:hAnsi="Arial"/>
                <w:sz w:val="18"/>
                <w:szCs w:val="18"/>
                <w:b w:val="1"/>
                <w:bCs w:val="1"/>
                <w:color w:val="465361"/>
              </w:rPr>
              <w:t>Prospectus</w:t>
            </w:r>
          </w:p>
        </w:tc>
        <w:tc>
          <w:tcPr>
            <w:tcW w:w="380" w:type="dxa"/>
            <w:vAlign w:val="bottom"/>
            <w:tcBorders>
              <w:bottom w:val="single" w:sz="8" w:color="465361"/>
            </w:tcBorders>
          </w:tcPr>
          <w:p>
            <w:pPr>
              <w:jc w:val="right"/>
              <w:spacing w:after="0"/>
              <w:rPr>
                <w:sz w:val="20"/>
                <w:szCs w:val="20"/>
                <w:color w:val="auto"/>
              </w:rPr>
            </w:pPr>
            <w:r>
              <w:rPr>
                <w:rFonts w:ascii="Arial" w:cs="Arial" w:eastAsia="Arial" w:hAnsi="Arial"/>
                <w:sz w:val="14"/>
                <w:szCs w:val="14"/>
                <w:b w:val="1"/>
                <w:bCs w:val="1"/>
                <w:color w:val="465361"/>
                <w:w w:val="95"/>
              </w:rPr>
              <w:t>Page</w:t>
            </w:r>
          </w:p>
        </w:tc>
      </w:tr>
      <w:tr>
        <w:trPr>
          <w:trHeight w:val="264"/>
        </w:trPr>
        <w:tc>
          <w:tcPr>
            <w:tcW w:w="1320" w:type="dxa"/>
            <w:vAlign w:val="bottom"/>
          </w:tcPr>
          <w:p>
            <w:pPr>
              <w:spacing w:after="0"/>
              <w:rPr>
                <w:sz w:val="22"/>
                <w:szCs w:val="22"/>
                <w:color w:val="auto"/>
              </w:rPr>
            </w:pPr>
          </w:p>
        </w:tc>
        <w:tc>
          <w:tcPr>
            <w:tcW w:w="16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About This Prospectus</w:t>
              </w:r>
            </w:hyperlink>
          </w:p>
        </w:tc>
        <w:tc>
          <w:tcPr>
            <w:tcW w:w="6720" w:type="dxa"/>
            <w:vAlign w:val="bottom"/>
            <w:gridSpan w:val="13"/>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1</w:t>
            </w:r>
          </w:p>
        </w:tc>
      </w:tr>
      <w:tr>
        <w:trPr>
          <w:trHeight w:val="304"/>
        </w:trPr>
        <w:tc>
          <w:tcPr>
            <w:tcW w:w="1320" w:type="dxa"/>
            <w:vAlign w:val="bottom"/>
          </w:tcPr>
          <w:p>
            <w:pPr>
              <w:spacing w:after="0"/>
              <w:rPr>
                <w:sz w:val="24"/>
                <w:szCs w:val="24"/>
                <w:color w:val="auto"/>
              </w:rPr>
            </w:pPr>
          </w:p>
        </w:tc>
        <w:tc>
          <w:tcPr>
            <w:tcW w:w="15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59">
              <w:r>
                <w:rPr>
                  <w:rFonts w:ascii="Arial" w:cs="Arial" w:eastAsia="Arial" w:hAnsi="Arial"/>
                  <w:sz w:val="18"/>
                  <w:szCs w:val="18"/>
                  <w:color w:val="0000EE"/>
                  <w:w w:val="87"/>
                </w:rPr>
                <w:t>Prospectus Summary</w:t>
              </w:r>
            </w:hyperlink>
          </w:p>
        </w:tc>
        <w:tc>
          <w:tcPr>
            <w:tcW w:w="684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2</w:t>
            </w:r>
          </w:p>
        </w:tc>
      </w:tr>
      <w:tr>
        <w:trPr>
          <w:trHeight w:val="304"/>
        </w:trPr>
        <w:tc>
          <w:tcPr>
            <w:tcW w:w="1320" w:type="dxa"/>
            <w:vAlign w:val="bottom"/>
          </w:tcPr>
          <w:p>
            <w:pPr>
              <w:spacing w:after="0"/>
              <w:rPr>
                <w:sz w:val="24"/>
                <w:szCs w:val="24"/>
                <w:color w:val="auto"/>
              </w:rPr>
            </w:pP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62">
              <w:r>
                <w:rPr>
                  <w:rFonts w:ascii="Arial" w:cs="Arial" w:eastAsia="Arial" w:hAnsi="Arial"/>
                  <w:sz w:val="18"/>
                  <w:szCs w:val="18"/>
                  <w:color w:val="0000EE"/>
                  <w:w w:val="87"/>
                </w:rPr>
                <w:t>Risk Factors</w:t>
              </w:r>
            </w:hyperlink>
          </w:p>
        </w:tc>
        <w:tc>
          <w:tcPr>
            <w:tcW w:w="746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5</w:t>
            </w:r>
          </w:p>
        </w:tc>
      </w:tr>
      <w:tr>
        <w:trPr>
          <w:trHeight w:val="30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Forward-Looking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5</w:t>
            </w:r>
          </w:p>
        </w:tc>
      </w:tr>
      <w:tr>
        <w:trPr>
          <w:trHeight w:val="20"/>
        </w:trPr>
        <w:tc>
          <w:tcPr>
            <w:tcW w:w="1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320" w:type="dxa"/>
            <w:vAlign w:val="bottom"/>
          </w:tcPr>
          <w:p>
            <w:pPr>
              <w:spacing w:after="0"/>
              <w:rPr>
                <w:sz w:val="24"/>
                <w:szCs w:val="24"/>
                <w:color w:val="auto"/>
              </w:rPr>
            </w:pPr>
          </w:p>
        </w:tc>
        <w:tc>
          <w:tcPr>
            <w:tcW w:w="25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Ratio of Earnings to Fixed Charges</w:t>
              </w:r>
            </w:hyperlink>
          </w:p>
        </w:tc>
        <w:tc>
          <w:tcPr>
            <w:tcW w:w="582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6</w:t>
            </w:r>
          </w:p>
        </w:tc>
      </w:tr>
      <w:tr>
        <w:trPr>
          <w:trHeight w:val="30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6</w:t>
            </w:r>
          </w:p>
        </w:tc>
      </w:tr>
      <w:tr>
        <w:trPr>
          <w:trHeight w:val="20"/>
        </w:trPr>
        <w:tc>
          <w:tcPr>
            <w:tcW w:w="1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Dividend Policy</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6</w:t>
            </w:r>
          </w:p>
        </w:tc>
      </w:tr>
      <w:tr>
        <w:trPr>
          <w:trHeight w:val="20"/>
        </w:trPr>
        <w:tc>
          <w:tcPr>
            <w:tcW w:w="1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320" w:type="dxa"/>
            <w:vAlign w:val="bottom"/>
          </w:tcPr>
          <w:p>
            <w:pPr>
              <w:spacing w:after="0"/>
              <w:rPr>
                <w:sz w:val="24"/>
                <w:szCs w:val="24"/>
                <w:color w:val="auto"/>
              </w:rPr>
            </w:pPr>
          </w:p>
        </w:tc>
        <w:tc>
          <w:tcPr>
            <w:tcW w:w="238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Description of Our Capital Stock</w:t>
              </w:r>
            </w:hyperlink>
          </w:p>
        </w:tc>
        <w:tc>
          <w:tcPr>
            <w:tcW w:w="598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7</w:t>
            </w:r>
          </w:p>
        </w:tc>
      </w:tr>
      <w:tr>
        <w:trPr>
          <w:trHeight w:val="30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Description of the Debt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14</w:t>
            </w:r>
          </w:p>
        </w:tc>
      </w:tr>
      <w:tr>
        <w:trPr>
          <w:trHeight w:val="304"/>
        </w:trPr>
        <w:tc>
          <w:tcPr>
            <w:tcW w:w="1320" w:type="dxa"/>
            <w:vAlign w:val="bottom"/>
          </w:tcPr>
          <w:p>
            <w:pPr>
              <w:spacing w:after="0"/>
              <w:rPr>
                <w:sz w:val="24"/>
                <w:szCs w:val="24"/>
                <w:color w:val="auto"/>
              </w:rPr>
            </w:pPr>
          </w:p>
        </w:tc>
        <w:tc>
          <w:tcPr>
            <w:tcW w:w="2440" w:type="dxa"/>
            <w:vAlign w:val="bottom"/>
            <w:tcBorders>
              <w:top w:val="single" w:sz="8" w:color="0000EE"/>
            </w:tcBorders>
            <w:gridSpan w:val="14"/>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Description of the Warrants</w:t>
              </w:r>
            </w:hyperlink>
          </w:p>
        </w:tc>
        <w:tc>
          <w:tcPr>
            <w:tcW w:w="592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25</w:t>
            </w:r>
          </w:p>
        </w:tc>
      </w:tr>
      <w:tr>
        <w:trPr>
          <w:trHeight w:val="304"/>
        </w:trPr>
        <w:tc>
          <w:tcPr>
            <w:tcW w:w="1320" w:type="dxa"/>
            <w:vAlign w:val="bottom"/>
          </w:tcPr>
          <w:p>
            <w:pPr>
              <w:spacing w:after="0"/>
              <w:rPr>
                <w:sz w:val="24"/>
                <w:szCs w:val="24"/>
                <w:color w:val="auto"/>
              </w:rPr>
            </w:pPr>
          </w:p>
        </w:tc>
        <w:tc>
          <w:tcPr>
            <w:tcW w:w="1980" w:type="dxa"/>
            <w:vAlign w:val="bottom"/>
            <w:tcBorders>
              <w:top w:val="single" w:sz="8" w:color="0000EE"/>
            </w:tcBorders>
            <w:gridSpan w:val="10"/>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Plan of Distribution</w:t>
              </w:r>
            </w:hyperlink>
          </w:p>
        </w:tc>
        <w:tc>
          <w:tcPr>
            <w:tcW w:w="638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26</w:t>
            </w:r>
          </w:p>
        </w:tc>
      </w:tr>
      <w:tr>
        <w:trPr>
          <w:trHeight w:val="304"/>
        </w:trPr>
        <w:tc>
          <w:tcPr>
            <w:tcW w:w="1320" w:type="dxa"/>
            <w:vAlign w:val="bottom"/>
          </w:tcPr>
          <w:p>
            <w:pPr>
              <w:spacing w:after="0"/>
              <w:rPr>
                <w:sz w:val="24"/>
                <w:szCs w:val="24"/>
                <w:color w:val="auto"/>
              </w:rPr>
            </w:pPr>
          </w:p>
        </w:tc>
        <w:tc>
          <w:tcPr>
            <w:tcW w:w="10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Legal Matters</w:t>
              </w:r>
            </w:hyperlink>
          </w:p>
        </w:tc>
        <w:tc>
          <w:tcPr>
            <w:tcW w:w="420" w:type="dxa"/>
            <w:vAlign w:val="bottom"/>
            <w:tcBorders>
              <w:top w:val="single" w:sz="8" w:color="0000EE"/>
            </w:tcBorders>
            <w:gridSpan w:val="2"/>
          </w:tcPr>
          <w:p>
            <w:pPr>
              <w:spacing w:after="0"/>
              <w:rPr>
                <w:sz w:val="24"/>
                <w:szCs w:val="24"/>
                <w:color w:val="auto"/>
              </w:rPr>
            </w:pPr>
          </w:p>
        </w:tc>
        <w:tc>
          <w:tcPr>
            <w:tcW w:w="694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29</w:t>
            </w:r>
          </w:p>
        </w:tc>
      </w:tr>
      <w:tr>
        <w:trPr>
          <w:trHeight w:val="30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Experts</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29</w:t>
            </w:r>
          </w:p>
        </w:tc>
      </w:tr>
      <w:tr>
        <w:trPr>
          <w:trHeight w:val="20"/>
        </w:trPr>
        <w:tc>
          <w:tcPr>
            <w:tcW w:w="1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8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320" w:type="dxa"/>
            <w:vAlign w:val="bottom"/>
          </w:tcPr>
          <w:p>
            <w:pPr>
              <w:spacing w:after="0"/>
              <w:rPr>
                <w:sz w:val="24"/>
                <w:szCs w:val="24"/>
                <w:color w:val="auto"/>
              </w:rPr>
            </w:pPr>
          </w:p>
        </w:tc>
        <w:tc>
          <w:tcPr>
            <w:tcW w:w="286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86">
              <w:r>
                <w:rPr>
                  <w:rFonts w:ascii="Arial" w:cs="Arial" w:eastAsia="Arial" w:hAnsi="Arial"/>
                  <w:sz w:val="18"/>
                  <w:szCs w:val="18"/>
                  <w:color w:val="0000EE"/>
                  <w:w w:val="91"/>
                </w:rPr>
                <w:t>Where You Can Find More Information</w:t>
              </w:r>
            </w:hyperlink>
          </w:p>
        </w:tc>
        <w:tc>
          <w:tcPr>
            <w:tcW w:w="550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29</w:t>
            </w:r>
          </w:p>
        </w:tc>
      </w:tr>
      <w:tr>
        <w:trPr>
          <w:trHeight w:val="30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Information Incorporated by Reference</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30</w:t>
            </w:r>
          </w:p>
        </w:tc>
      </w:tr>
      <w:tr>
        <w:trPr>
          <w:trHeight w:val="385"/>
        </w:trPr>
        <w:tc>
          <w:tcPr>
            <w:tcW w:w="13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80" w:type="dxa"/>
            <w:vAlign w:val="bottom"/>
            <w:gridSpan w:val="2"/>
          </w:tcPr>
          <w:p>
            <w:pPr>
              <w:jc w:val="center"/>
              <w:ind w:right="3460"/>
              <w:spacing w:after="0"/>
              <w:rPr>
                <w:sz w:val="20"/>
                <w:szCs w:val="20"/>
                <w:color w:val="auto"/>
              </w:rPr>
            </w:pPr>
            <w:r>
              <w:rPr>
                <w:rFonts w:ascii="Arial" w:cs="Arial" w:eastAsia="Arial" w:hAnsi="Arial"/>
                <w:sz w:val="18"/>
                <w:szCs w:val="18"/>
                <w:color w:val="465361"/>
                <w:w w:val="99"/>
              </w:rPr>
              <w:t>S-i</w:t>
            </w:r>
          </w:p>
        </w:tc>
        <w:tc>
          <w:tcPr>
            <w:tcW w:w="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465361"/>
        </w:rPr>
        <w:t>ABOUT THIS PROSPECTUS SUPPLEMENT</w:t>
      </w:r>
    </w:p>
    <w:p>
      <w:pPr>
        <w:spacing w:after="0" w:line="229"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465361"/>
        </w:rPr>
        <w:t>This document is in two parts. The first part is the prospectus supplement, including the documents incorporated by reference, which describes the specific terms of this offering. The second part, the accompanying prospectus, including the documents incorporated by reference, provides more general information. Generally, when we refer to this prospectus, we are referring to both parts of this document combined. Before you invest, you should carefully read this prospectus supplement, the accompanying prospectus, all information incorporated by reference herein and therein, as well as the additional information described under “Where You Can Find Additional Information” on page S-51 of this prospectus supplement. These documents contain information you should consider when making your investment decision. This prospectus supplement may add, update or change information contained in the accompanying prospectus.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w:t>
      </w:r>
    </w:p>
    <w:p>
      <w:pPr>
        <w:spacing w:after="0" w:line="167" w:lineRule="exact"/>
        <w:rPr>
          <w:sz w:val="20"/>
          <w:szCs w:val="20"/>
          <w:color w:val="auto"/>
        </w:rPr>
      </w:pPr>
    </w:p>
    <w:p>
      <w:pPr>
        <w:ind w:left="200" w:right="100"/>
        <w:spacing w:after="0" w:line="270" w:lineRule="auto"/>
        <w:rPr>
          <w:sz w:val="20"/>
          <w:szCs w:val="20"/>
          <w:color w:val="auto"/>
        </w:rPr>
      </w:pPr>
      <w:r>
        <w:rPr>
          <w:rFonts w:ascii="Arial" w:cs="Arial" w:eastAsia="Arial" w:hAnsi="Arial"/>
          <w:sz w:val="17"/>
          <w:szCs w:val="17"/>
          <w:color w:val="465361"/>
        </w:rPr>
        <w:t>We have not, and the underwriters have not, authorized any other person to provide you with any information that is different than that contained or incorporated by reference in this prospectus supplement, the accompanying prospectus and any related free writing prospectus that we provide you in connection with the offering. If anyone provides you with different or inconsistent information, you should not rely on it. 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465361"/>
        </w:rPr>
        <w:t>S-ii</w:t>
      </w:r>
    </w:p>
    <w:p>
      <w:pPr>
        <w:sectPr>
          <w:pgSz w:w="11900" w:h="16838" w:orient="portrait"/>
          <w:cols w:equalWidth="0" w:num="1">
            <w:col w:w="11160"/>
          </w:cols>
          <w:pgMar w:left="24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465361"/>
        </w:rPr>
        <w:t>PROSPECTUS SUPPLEMENT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-129540</wp:posOffset>
            </wp:positionV>
            <wp:extent cx="7002145" cy="509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2145" cy="5098415"/>
                    </a:xfrm>
                    <a:prstGeom prst="rect">
                      <a:avLst/>
                    </a:prstGeom>
                    <a:noFill/>
                  </pic:spPr>
                </pic:pic>
              </a:graphicData>
            </a:graphic>
          </wp:anchor>
        </w:drawing>
      </w:r>
    </w:p>
    <w:p>
      <w:pPr>
        <w:spacing w:after="0" w:line="209" w:lineRule="exact"/>
        <w:rPr>
          <w:sz w:val="20"/>
          <w:szCs w:val="20"/>
          <w:color w:val="auto"/>
        </w:rPr>
      </w:pPr>
    </w:p>
    <w:p>
      <w:pPr>
        <w:ind w:left="220" w:right="20"/>
        <w:spacing w:after="0" w:line="253" w:lineRule="auto"/>
        <w:rPr>
          <w:sz w:val="20"/>
          <w:szCs w:val="20"/>
          <w:color w:val="auto"/>
        </w:rPr>
      </w:pPr>
      <w:r>
        <w:rPr>
          <w:rFonts w:ascii="Arial" w:cs="Arial" w:eastAsia="Arial" w:hAnsi="Arial"/>
          <w:sz w:val="18"/>
          <w:szCs w:val="18"/>
          <w:i w:val="1"/>
          <w:iCs w:val="1"/>
          <w:color w:val="465361"/>
        </w:rPr>
        <w:t>This summary highlights selected information about us, this offering and information appearing elsewhere in this prospectus supplement, in the accompanying prospectus and in the documents we incorporate by reference. This summary is not complete and does not contain all the information you should consider before investing in our common stock pursuant to this prospectus supplement and the accompanying prospectus. Before making an investment decision, to fully understand this offering and its consequences to you, you should carefully read this entire prospectus supplement and the accompanying prospectus, including “Risk Factors” beginning on page S-6 of this prospectus supplement, the financial statements, and related notes, and the other information that we incorporated by reference herein, including our Annual Report on Form 10-K for the year ended December 31, 2017, our Quarterly Reports on Form 10-Q and our other filings with the SEC that we file from time to time. Unless otherwise indicated or the context otherwise requires, all references in this prospectus supplement to “Fluidigm,” the “Company,” “we,” “us,” and “our” mean Fluidigm Corporation and its subsidiaries.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65361"/>
        </w:rPr>
        <w:t>Fluidigm Corporation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65361"/>
        </w:rPr>
        <w:t>Overview</w:t>
      </w:r>
    </w:p>
    <w:p>
      <w:pPr>
        <w:spacing w:after="0" w:line="117" w:lineRule="exact"/>
        <w:rPr>
          <w:sz w:val="20"/>
          <w:szCs w:val="20"/>
          <w:color w:val="auto"/>
        </w:rPr>
      </w:pPr>
    </w:p>
    <w:p>
      <w:pPr>
        <w:ind w:left="220" w:right="160"/>
        <w:spacing w:after="0" w:line="257" w:lineRule="auto"/>
        <w:rPr>
          <w:sz w:val="20"/>
          <w:szCs w:val="20"/>
          <w:color w:val="auto"/>
        </w:rPr>
      </w:pPr>
      <w:r>
        <w:rPr>
          <w:rFonts w:ascii="Arial" w:cs="Arial" w:eastAsia="Arial" w:hAnsi="Arial"/>
          <w:sz w:val="18"/>
          <w:szCs w:val="18"/>
          <w:color w:val="465361"/>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188" w:lineRule="exact"/>
        <w:rPr>
          <w:sz w:val="20"/>
          <w:szCs w:val="20"/>
          <w:color w:val="auto"/>
        </w:rPr>
      </w:pPr>
    </w:p>
    <w:p>
      <w:pPr>
        <w:ind w:left="220"/>
        <w:spacing w:after="0" w:line="259" w:lineRule="auto"/>
        <w:rPr>
          <w:sz w:val="20"/>
          <w:szCs w:val="20"/>
          <w:color w:val="auto"/>
        </w:rPr>
      </w:pPr>
      <w:r>
        <w:rPr>
          <w:rFonts w:ascii="Arial" w:cs="Arial" w:eastAsia="Arial" w:hAnsi="Arial"/>
          <w:sz w:val="18"/>
          <w:szCs w:val="18"/>
          <w:color w:val="465361"/>
        </w:rPr>
        <w:t>We were a pioneer in the application of microfluidics to enable high-throughput and highly-multiplexed polymerase chain reactions, or PCR, for genetic analysis, as well as a field known as single-cell genomics, in which the genetic composition of individual cells is assayed. In February 2014, we purchased DVS Sciences, Inc., whose mass cytometry system enables the highly-multiplexed analysis of cellular surface and intracellular proteins in both blood and tissue.</w:t>
      </w:r>
    </w:p>
    <w:p>
      <w:pPr>
        <w:spacing w:after="0" w:line="187" w:lineRule="exact"/>
        <w:rPr>
          <w:sz w:val="20"/>
          <w:szCs w:val="20"/>
          <w:color w:val="auto"/>
        </w:rPr>
      </w:pPr>
    </w:p>
    <w:p>
      <w:pPr>
        <w:ind w:left="220" w:right="40"/>
        <w:spacing w:after="0" w:line="259" w:lineRule="auto"/>
        <w:rPr>
          <w:sz w:val="20"/>
          <w:szCs w:val="20"/>
          <w:color w:val="auto"/>
        </w:rPr>
      </w:pPr>
      <w:r>
        <w:rPr>
          <w:rFonts w:ascii="Arial" w:cs="Arial" w:eastAsia="Arial" w:hAnsi="Arial"/>
          <w:sz w:val="18"/>
          <w:szCs w:val="18"/>
          <w:color w:val="465361"/>
        </w:rPr>
        <w:t>Researchers have successfully employed our products to help achieve breakthroughs in a variety of fields, including single-cell gene and protein expression, gene regulation, genetic variation, cellular function and applied genetics. These breakthroughs include using our systems to help detect life-threatening mutations in cancer cells, discover cancer associated biomarkers, analyze the genetic composition of individual stem cells and assess the quality of agricultural products, such as seeds or livestock.</w:t>
      </w:r>
    </w:p>
    <w:p>
      <w:pPr>
        <w:spacing w:after="0" w:line="187" w:lineRule="exact"/>
        <w:rPr>
          <w:sz w:val="20"/>
          <w:szCs w:val="20"/>
          <w:color w:val="auto"/>
        </w:rPr>
      </w:pPr>
    </w:p>
    <w:p>
      <w:pPr>
        <w:ind w:left="220" w:right="80"/>
        <w:spacing w:after="0" w:line="255" w:lineRule="auto"/>
        <w:rPr>
          <w:sz w:val="20"/>
          <w:szCs w:val="20"/>
          <w:color w:val="auto"/>
        </w:rPr>
      </w:pPr>
      <w:r>
        <w:rPr>
          <w:rFonts w:ascii="Arial" w:cs="Arial" w:eastAsia="Arial" w:hAnsi="Arial"/>
          <w:sz w:val="18"/>
          <w:szCs w:val="18"/>
          <w:color w:val="465361"/>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Canada, and South San Francisco, California. Our facility in Singapore manufactures our genomics instruments, several of which are assembled at facilities of our contract manufacturers in Singapore, with testing and calibration of the assembled products performed at our Singapore facility. All our IFCs for commercial sale and some IFCs for our research and development purposes also are fabricated at our Singapore facility. Our mass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157480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465361"/>
        </w:rPr>
        <w:t>S-1</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213995</wp:posOffset>
            </wp:positionV>
            <wp:extent cx="7002145" cy="2377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2377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0"/>
        <w:spacing w:after="0"/>
        <w:rPr>
          <w:sz w:val="20"/>
          <w:szCs w:val="20"/>
          <w:color w:val="auto"/>
        </w:rPr>
      </w:pPr>
      <w:r>
        <w:rPr>
          <w:rFonts w:ascii="Arial" w:cs="Arial" w:eastAsia="Arial" w:hAnsi="Arial"/>
          <w:sz w:val="16"/>
          <w:szCs w:val="16"/>
          <w:color w:val="465361"/>
        </w:rPr>
        <w:t>cytometry instruments for commercial sale, as well as for internal research and development purposes, are manufactured at our facility in Canada.</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465361"/>
        </w:rPr>
        <w:t>We also manufacture assays and reagents at our facilities in the United States.</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465361"/>
        </w:rPr>
        <w:t>Corporate Information</w:t>
      </w:r>
    </w:p>
    <w:p>
      <w:pPr>
        <w:spacing w:after="0" w:line="117" w:lineRule="exact"/>
        <w:rPr>
          <w:sz w:val="20"/>
          <w:szCs w:val="20"/>
          <w:color w:val="auto"/>
        </w:rPr>
      </w:pPr>
    </w:p>
    <w:p>
      <w:pPr>
        <w:ind w:left="380" w:right="380"/>
        <w:spacing w:after="0" w:line="264" w:lineRule="auto"/>
        <w:rPr>
          <w:sz w:val="20"/>
          <w:szCs w:val="20"/>
          <w:color w:val="auto"/>
        </w:rPr>
      </w:pPr>
      <w:r>
        <w:rPr>
          <w:rFonts w:ascii="Arial" w:cs="Arial" w:eastAsia="Arial" w:hAnsi="Arial"/>
          <w:sz w:val="18"/>
          <w:szCs w:val="18"/>
          <w:color w:val="465361"/>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w:t>
      </w:r>
    </w:p>
    <w:p>
      <w:pPr>
        <w:spacing w:after="0" w:line="181" w:lineRule="exact"/>
        <w:rPr>
          <w:sz w:val="20"/>
          <w:szCs w:val="20"/>
          <w:color w:val="auto"/>
        </w:rPr>
      </w:pPr>
    </w:p>
    <w:p>
      <w:pPr>
        <w:ind w:left="380"/>
        <w:spacing w:after="0" w:line="308" w:lineRule="auto"/>
        <w:rPr>
          <w:sz w:val="20"/>
          <w:szCs w:val="20"/>
          <w:color w:val="auto"/>
        </w:rPr>
      </w:pPr>
      <w:r>
        <w:rPr>
          <w:rFonts w:ascii="Arial" w:cs="Arial" w:eastAsia="Arial" w:hAnsi="Arial"/>
          <w:sz w:val="17"/>
          <w:szCs w:val="17"/>
          <w:color w:val="465361"/>
        </w:rPr>
        <w:t>Our telephone number is (650) 266-6000. We maintain an Internet website at www.fluidigm.com. We have not incorporated the information on our website by reference into this prospectus supplement, and you should not consider it to be a part of this prospectus supplement.</w:t>
      </w:r>
    </w:p>
    <w:p>
      <w:pPr>
        <w:spacing w:after="0" w:line="147" w:lineRule="exact"/>
        <w:rPr>
          <w:sz w:val="20"/>
          <w:szCs w:val="20"/>
          <w:color w:val="auto"/>
        </w:rPr>
      </w:pPr>
    </w:p>
    <w:p>
      <w:pPr>
        <w:ind w:left="380" w:right="160"/>
        <w:spacing w:after="0" w:line="259" w:lineRule="auto"/>
        <w:rPr>
          <w:sz w:val="20"/>
          <w:szCs w:val="20"/>
          <w:color w:val="auto"/>
        </w:rPr>
      </w:pPr>
      <w:r>
        <w:rPr>
          <w:rFonts w:ascii="Arial" w:cs="Arial" w:eastAsia="Arial" w:hAnsi="Arial"/>
          <w:sz w:val="18"/>
          <w:szCs w:val="18"/>
          <w:color w:val="465361"/>
        </w:rPr>
        <w:t>“Fluidigm,” the Fluidigm logo, “Access Array,” “Advanta,” “Biomark,” “C1,” “Callisto,” “CyTOF,” “Delta Gene,” “EP1,” “Flex Six,” “Helios,” “Hyperion,” “Imaging Mass Cytometry,” “Juno,” “Polaris,” and “SNP Type” are our trademarks or registered trademarks. Other service marks, trademarks and trade names appearing or incorporated by reference into this prospectus supplement and the accompanying prospectus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153670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465361"/>
        </w:rPr>
        <w:t>S-2</w:t>
      </w:r>
    </w:p>
    <w:p>
      <w:pPr>
        <w:sectPr>
          <w:pgSz w:w="11900" w:h="16838" w:orient="portrait"/>
          <w:cols w:equalWidth="0" w:num="1">
            <w:col w:w="10980"/>
          </w:cols>
          <w:pgMar w:left="240" w:top="459" w:right="67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228600</wp:posOffset>
            </wp:positionV>
            <wp:extent cx="7002145" cy="5241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524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465361"/>
        </w:rPr>
        <w:t>The Offering</w:t>
      </w:r>
    </w:p>
    <w:p>
      <w:pPr>
        <w:sectPr>
          <w:pgSz w:w="11900" w:h="16838" w:orient="portrait"/>
          <w:cols w:equalWidth="0" w:num="1">
            <w:col w:w="11040"/>
          </w:cols>
          <w:pgMar w:left="240" w:top="459" w:right="619" w:bottom="1440" w:gutter="0" w:footer="0" w:header="0"/>
        </w:sectPr>
      </w:pPr>
    </w:p>
    <w:p>
      <w:pPr>
        <w:spacing w:after="0" w:line="347" w:lineRule="exact"/>
        <w:rPr>
          <w:sz w:val="20"/>
          <w:szCs w:val="20"/>
          <w:color w:val="auto"/>
        </w:rPr>
      </w:pPr>
    </w:p>
    <w:p>
      <w:pPr>
        <w:ind w:left="380"/>
        <w:spacing w:after="0"/>
        <w:rPr>
          <w:sz w:val="20"/>
          <w:szCs w:val="20"/>
          <w:color w:val="auto"/>
        </w:rPr>
      </w:pPr>
      <w:r>
        <w:rPr>
          <w:rFonts w:ascii="Arial" w:cs="Arial" w:eastAsia="Arial" w:hAnsi="Arial"/>
          <w:sz w:val="16"/>
          <w:szCs w:val="16"/>
          <w:color w:val="465361"/>
        </w:rPr>
        <w:t>Common stock offered by us</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465361"/>
        </w:rPr>
        <w:t>shares</w:t>
      </w:r>
    </w:p>
    <w:p>
      <w:pPr>
        <w:spacing w:after="0" w:line="122" w:lineRule="exact"/>
        <w:rPr>
          <w:sz w:val="20"/>
          <w:szCs w:val="20"/>
          <w:color w:val="auto"/>
        </w:rPr>
      </w:pPr>
    </w:p>
    <w:p>
      <w:pPr>
        <w:sectPr>
          <w:pgSz w:w="11900" w:h="16838" w:orient="portrait"/>
          <w:cols w:equalWidth="0" w:num="2">
            <w:col w:w="4260" w:space="720"/>
            <w:col w:w="6060"/>
          </w:cols>
          <w:pgMar w:left="240" w:top="459" w:right="619" w:bottom="1440" w:gutter="0" w:footer="0" w:header="0"/>
          <w:type w:val="continuous"/>
        </w:sectPr>
      </w:pPr>
    </w:p>
    <w:p>
      <w:pPr>
        <w:ind w:left="560" w:right="820" w:hanging="179"/>
        <w:spacing w:after="0" w:line="277" w:lineRule="auto"/>
        <w:rPr>
          <w:sz w:val="20"/>
          <w:szCs w:val="20"/>
          <w:color w:val="auto"/>
        </w:rPr>
      </w:pPr>
      <w:r>
        <w:rPr>
          <w:rFonts w:ascii="Arial" w:cs="Arial" w:eastAsia="Arial" w:hAnsi="Arial"/>
          <w:sz w:val="18"/>
          <w:szCs w:val="18"/>
          <w:color w:val="465361"/>
        </w:rPr>
        <w:t>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465361"/>
        </w:rPr>
        <w:t>shares</w:t>
      </w:r>
    </w:p>
    <w:p>
      <w:pPr>
        <w:spacing w:after="0" w:line="338" w:lineRule="exact"/>
        <w:rPr>
          <w:sz w:val="20"/>
          <w:szCs w:val="20"/>
          <w:color w:val="auto"/>
        </w:rPr>
      </w:pPr>
    </w:p>
    <w:p>
      <w:pPr>
        <w:sectPr>
          <w:pgSz w:w="11900" w:h="16838" w:orient="portrait"/>
          <w:cols w:equalWidth="0" w:num="2">
            <w:col w:w="4260" w:space="720"/>
            <w:col w:w="6060"/>
          </w:cols>
          <w:pgMar w:left="240" w:top="459" w:right="619" w:bottom="1440" w:gutter="0" w:footer="0" w:header="0"/>
          <w:type w:val="continuous"/>
        </w:sectPr>
      </w:pPr>
    </w:p>
    <w:p>
      <w:pPr>
        <w:ind w:left="380"/>
        <w:spacing w:after="0"/>
        <w:rPr>
          <w:sz w:val="20"/>
          <w:szCs w:val="20"/>
          <w:color w:val="auto"/>
        </w:rPr>
      </w:pPr>
      <w:r>
        <w:rPr>
          <w:rFonts w:ascii="Arial" w:cs="Arial" w:eastAsia="Arial" w:hAnsi="Arial"/>
          <w:sz w:val="16"/>
          <w:szCs w:val="16"/>
          <w:color w:val="465361"/>
        </w:rPr>
        <w:t>Option to purchase additional shares</w:t>
      </w:r>
    </w:p>
    <w:p>
      <w:pPr>
        <w:spacing w:after="0" w:line="20" w:lineRule="exact"/>
        <w:rPr>
          <w:sz w:val="20"/>
          <w:szCs w:val="20"/>
          <w:color w:val="auto"/>
        </w:rPr>
      </w:pPr>
      <w:r>
        <w:rPr>
          <w:sz w:val="20"/>
          <w:szCs w:val="20"/>
          <w:color w:val="auto"/>
        </w:rPr>
        <w:br w:type="column"/>
      </w:r>
    </w:p>
    <w:p>
      <w:pPr>
        <w:ind w:right="240"/>
        <w:spacing w:after="0" w:line="264" w:lineRule="auto"/>
        <w:rPr>
          <w:sz w:val="20"/>
          <w:szCs w:val="20"/>
          <w:color w:val="auto"/>
        </w:rPr>
      </w:pPr>
      <w:r>
        <w:rPr>
          <w:rFonts w:ascii="Arial" w:cs="Arial" w:eastAsia="Arial" w:hAnsi="Arial"/>
          <w:sz w:val="18"/>
          <w:szCs w:val="18"/>
          <w:color w:val="465361"/>
        </w:rPr>
        <w:t>We have granted the underwriters a 30-day option to purchase up to additional shares of common stock from us at the public offering price, less underwriting discounts and commissions.</w:t>
      </w:r>
    </w:p>
    <w:p>
      <w:pPr>
        <w:spacing w:after="0" w:line="46" w:lineRule="exact"/>
        <w:rPr>
          <w:sz w:val="20"/>
          <w:szCs w:val="20"/>
          <w:color w:val="auto"/>
        </w:rPr>
      </w:pPr>
    </w:p>
    <w:p>
      <w:pPr>
        <w:sectPr>
          <w:pgSz w:w="11900" w:h="16838" w:orient="portrait"/>
          <w:cols w:equalWidth="0" w:num="2">
            <w:col w:w="3720" w:space="720"/>
            <w:col w:w="6600"/>
          </w:cols>
          <w:pgMar w:left="240" w:top="459" w:right="619" w:bottom="1440" w:gutter="0" w:footer="0" w:header="0"/>
          <w:type w:val="continuous"/>
        </w:sectPr>
      </w:pPr>
    </w:p>
    <w:p>
      <w:pPr>
        <w:ind w:left="380"/>
        <w:spacing w:after="0"/>
        <w:rPr>
          <w:sz w:val="20"/>
          <w:szCs w:val="20"/>
          <w:color w:val="auto"/>
        </w:rPr>
      </w:pPr>
      <w:r>
        <w:rPr>
          <w:rFonts w:ascii="Arial" w:cs="Arial" w:eastAsia="Arial" w:hAnsi="Arial"/>
          <w:sz w:val="15"/>
          <w:szCs w:val="15"/>
          <w:color w:val="465361"/>
        </w:rPr>
        <w:t>Use of Proceeds</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color w:val="465361"/>
        </w:rPr>
        <w:t>We intend to use the net proceeds from this offering for general corporate purposes, including working capital, capital expenditures, and continued research and development with respect to products and technologies. We may also use a portion of the net proceeds of this offering to fund possible investments in or acquisitions of complementary businesses, products, or technologies. As of the date of this prospectus supplement, we have no agreements or commitments to complete any such transaction. See “Use of Proceeds” on page S-39.</w:t>
      </w:r>
    </w:p>
    <w:p>
      <w:pPr>
        <w:spacing w:after="0" w:line="41" w:lineRule="exact"/>
        <w:rPr>
          <w:sz w:val="20"/>
          <w:szCs w:val="20"/>
          <w:color w:val="auto"/>
        </w:rPr>
      </w:pPr>
    </w:p>
    <w:p>
      <w:pPr>
        <w:sectPr>
          <w:pgSz w:w="11900" w:h="16838" w:orient="portrait"/>
          <w:cols w:equalWidth="0" w:num="2">
            <w:col w:w="3720" w:space="720"/>
            <w:col w:w="6600"/>
          </w:cols>
          <w:pgMar w:left="240" w:top="459" w:right="619" w:bottom="1440" w:gutter="0" w:footer="0" w:header="0"/>
          <w:type w:val="continuous"/>
        </w:sectPr>
      </w:pPr>
    </w:p>
    <w:p>
      <w:pPr>
        <w:ind w:left="380"/>
        <w:spacing w:after="0"/>
        <w:rPr>
          <w:sz w:val="20"/>
          <w:szCs w:val="20"/>
          <w:color w:val="auto"/>
        </w:rPr>
      </w:pPr>
      <w:r>
        <w:rPr>
          <w:rFonts w:ascii="Arial" w:cs="Arial" w:eastAsia="Arial" w:hAnsi="Arial"/>
          <w:sz w:val="16"/>
          <w:szCs w:val="16"/>
          <w:color w:val="465361"/>
        </w:rPr>
        <w:t>Risk Factors</w:t>
      </w:r>
    </w:p>
    <w:p>
      <w:pPr>
        <w:spacing w:after="0" w:line="20" w:lineRule="exact"/>
        <w:rPr>
          <w:sz w:val="20"/>
          <w:szCs w:val="20"/>
          <w:color w:val="auto"/>
        </w:rPr>
      </w:pPr>
      <w:r>
        <w:rPr>
          <w:sz w:val="20"/>
          <w:szCs w:val="20"/>
          <w:color w:val="auto"/>
        </w:rPr>
        <w:br w:type="column"/>
      </w:r>
    </w:p>
    <w:p>
      <w:pPr>
        <w:spacing w:after="0" w:line="325" w:lineRule="auto"/>
        <w:rPr>
          <w:sz w:val="20"/>
          <w:szCs w:val="20"/>
          <w:color w:val="auto"/>
        </w:rPr>
      </w:pPr>
      <w:r>
        <w:rPr>
          <w:rFonts w:ascii="Arial" w:cs="Arial" w:eastAsia="Arial" w:hAnsi="Arial"/>
          <w:sz w:val="16"/>
          <w:szCs w:val="16"/>
          <w:color w:val="465361"/>
        </w:rPr>
        <w:t>See “Risk Factors” beginning on page S-6 of this prospectus supplement for a discussion of factors that you should read and consider before investing in our securities.</w:t>
      </w:r>
    </w:p>
    <w:p>
      <w:pPr>
        <w:spacing w:after="0" w:line="1" w:lineRule="exact"/>
        <w:rPr>
          <w:sz w:val="20"/>
          <w:szCs w:val="20"/>
          <w:color w:val="auto"/>
        </w:rPr>
      </w:pPr>
    </w:p>
    <w:p>
      <w:pPr>
        <w:sectPr>
          <w:pgSz w:w="11900" w:h="16838" w:orient="portrait"/>
          <w:cols w:equalWidth="0" w:num="2">
            <w:col w:w="3720" w:space="720"/>
            <w:col w:w="6600"/>
          </w:cols>
          <w:pgMar w:left="240" w:top="459" w:right="619" w:bottom="1440" w:gutter="0" w:footer="0" w:header="0"/>
          <w:type w:val="continuous"/>
        </w:sectPr>
      </w:pPr>
    </w:p>
    <w:p>
      <w:pPr>
        <w:ind w:left="380"/>
        <w:spacing w:after="0"/>
        <w:rPr>
          <w:sz w:val="20"/>
          <w:szCs w:val="20"/>
          <w:color w:val="auto"/>
        </w:rPr>
      </w:pPr>
      <w:r>
        <w:rPr>
          <w:rFonts w:ascii="Arial" w:cs="Arial" w:eastAsia="Arial" w:hAnsi="Arial"/>
          <w:sz w:val="16"/>
          <w:szCs w:val="16"/>
          <w:color w:val="465361"/>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465361"/>
        </w:rPr>
        <w:t>FLDM</w:t>
      </w:r>
    </w:p>
    <w:p>
      <w:pPr>
        <w:spacing w:after="0" w:line="200" w:lineRule="exact"/>
        <w:rPr>
          <w:sz w:val="20"/>
          <w:szCs w:val="20"/>
          <w:color w:val="auto"/>
        </w:rPr>
      </w:pPr>
    </w:p>
    <w:p>
      <w:pPr>
        <w:sectPr>
          <w:pgSz w:w="11900" w:h="16838" w:orient="portrait"/>
          <w:cols w:equalWidth="0" w:num="2">
            <w:col w:w="3720" w:space="720"/>
            <w:col w:w="6600"/>
          </w:cols>
          <w:pgMar w:left="240" w:top="459" w:right="619" w:bottom="1440" w:gutter="0" w:footer="0" w:header="0"/>
          <w:type w:val="continuous"/>
        </w:sectPr>
      </w:pPr>
    </w:p>
    <w:p>
      <w:pPr>
        <w:spacing w:after="0" w:line="39" w:lineRule="exact"/>
        <w:rPr>
          <w:sz w:val="20"/>
          <w:szCs w:val="20"/>
          <w:color w:val="auto"/>
        </w:rPr>
      </w:pPr>
    </w:p>
    <w:p>
      <w:pPr>
        <w:ind w:left="380" w:right="780"/>
        <w:spacing w:after="0" w:line="277" w:lineRule="auto"/>
        <w:rPr>
          <w:sz w:val="20"/>
          <w:szCs w:val="20"/>
          <w:color w:val="auto"/>
        </w:rPr>
      </w:pPr>
      <w:r>
        <w:rPr>
          <w:rFonts w:ascii="Arial" w:cs="Arial" w:eastAsia="Arial" w:hAnsi="Arial"/>
          <w:sz w:val="18"/>
          <w:szCs w:val="18"/>
          <w:color w:val="465361"/>
        </w:rPr>
        <w:t>The number of shares of our common stock to be outstanding following this offering is based on 39,315,785 shares of our common stock outstanding as of September 30, 2018. This number of shares excludes the following:</w:t>
      </w:r>
    </w:p>
    <w:p>
      <w:pPr>
        <w:spacing w:after="0" w:line="76" w:lineRule="exact"/>
        <w:rPr>
          <w:sz w:val="20"/>
          <w:szCs w:val="20"/>
          <w:color w:val="auto"/>
        </w:rPr>
      </w:pPr>
    </w:p>
    <w:p>
      <w:pPr>
        <w:ind w:left="1540" w:right="140" w:hanging="415"/>
        <w:spacing w:after="0" w:line="277" w:lineRule="auto"/>
        <w:tabs>
          <w:tab w:leader="none" w:pos="1540" w:val="left"/>
        </w:tabs>
        <w:numPr>
          <w:ilvl w:val="0"/>
          <w:numId w:val="1"/>
        </w:numPr>
        <w:rPr>
          <w:rFonts w:ascii="Arial" w:cs="Arial" w:eastAsia="Arial" w:hAnsi="Arial"/>
          <w:sz w:val="18"/>
          <w:szCs w:val="18"/>
          <w:color w:val="465361"/>
        </w:rPr>
      </w:pPr>
      <w:r>
        <w:rPr>
          <w:rFonts w:ascii="Arial" w:cs="Arial" w:eastAsia="Arial" w:hAnsi="Arial"/>
          <w:sz w:val="18"/>
          <w:szCs w:val="18"/>
          <w:color w:val="465361"/>
        </w:rPr>
        <w:t>2,352,286 shares of common stock issuable upon exercise of options outstanding as of September 30, 2018, at a weighted average exercise price of $7.6554 per share;</w:t>
      </w:r>
    </w:p>
    <w:p>
      <w:pPr>
        <w:spacing w:after="0" w:line="75" w:lineRule="exact"/>
        <w:rPr>
          <w:rFonts w:ascii="Arial" w:cs="Arial" w:eastAsia="Arial" w:hAnsi="Arial"/>
          <w:sz w:val="18"/>
          <w:szCs w:val="18"/>
          <w:color w:val="465361"/>
        </w:rPr>
      </w:pPr>
    </w:p>
    <w:p>
      <w:pPr>
        <w:ind w:left="1540" w:hanging="415"/>
        <w:spacing w:after="0"/>
        <w:tabs>
          <w:tab w:leader="none" w:pos="1540" w:val="left"/>
        </w:tabs>
        <w:numPr>
          <w:ilvl w:val="0"/>
          <w:numId w:val="1"/>
        </w:numPr>
        <w:rPr>
          <w:rFonts w:ascii="Arial" w:cs="Arial" w:eastAsia="Arial" w:hAnsi="Arial"/>
          <w:sz w:val="17"/>
          <w:szCs w:val="17"/>
          <w:color w:val="465361"/>
        </w:rPr>
      </w:pPr>
      <w:r>
        <w:rPr>
          <w:rFonts w:ascii="Arial" w:cs="Arial" w:eastAsia="Arial" w:hAnsi="Arial"/>
          <w:sz w:val="17"/>
          <w:szCs w:val="17"/>
          <w:color w:val="465361"/>
        </w:rPr>
        <w:t>2,023,215 shares of common stock issuable upon the vesting of restricted stock units outstanding as of September 30, 2018;</w:t>
      </w:r>
    </w:p>
    <w:p>
      <w:pPr>
        <w:spacing w:after="0" w:line="142" w:lineRule="exact"/>
        <w:rPr>
          <w:rFonts w:ascii="Arial" w:cs="Arial" w:eastAsia="Arial" w:hAnsi="Arial"/>
          <w:sz w:val="17"/>
          <w:szCs w:val="17"/>
          <w:color w:val="465361"/>
        </w:rPr>
      </w:pPr>
    </w:p>
    <w:p>
      <w:pPr>
        <w:ind w:left="1540" w:right="20" w:hanging="415"/>
        <w:spacing w:after="0" w:line="302" w:lineRule="auto"/>
        <w:tabs>
          <w:tab w:leader="none" w:pos="1540" w:val="left"/>
        </w:tabs>
        <w:numPr>
          <w:ilvl w:val="0"/>
          <w:numId w:val="1"/>
        </w:numPr>
        <w:rPr>
          <w:rFonts w:ascii="Arial" w:cs="Arial" w:eastAsia="Arial" w:hAnsi="Arial"/>
          <w:sz w:val="16"/>
          <w:szCs w:val="16"/>
          <w:color w:val="465361"/>
        </w:rPr>
      </w:pPr>
      <w:r>
        <w:rPr>
          <w:rFonts w:ascii="Arial" w:cs="Arial" w:eastAsia="Arial" w:hAnsi="Arial"/>
          <w:sz w:val="16"/>
          <w:szCs w:val="16"/>
          <w:color w:val="465361"/>
        </w:rPr>
        <w:t>4,805,858 shares of common stock reserved for future issuance under stock-based compensation plans, including 2,366,657 shares of common stock reserved for issuance under our 2011 Equity Incentive Plan and any future automatic increase in shares reserved for issuance under such plan, 1,607,968 shares of common stock reserved for issuance under our 2017 Inducement Award Plan, and 831,233 shares of common stock reserved for future issuance under our 2017 Employee Stock Purchase Plan; and</w:t>
      </w:r>
    </w:p>
    <w:p>
      <w:pPr>
        <w:spacing w:after="0" w:line="59" w:lineRule="exact"/>
        <w:rPr>
          <w:rFonts w:ascii="Arial" w:cs="Arial" w:eastAsia="Arial" w:hAnsi="Arial"/>
          <w:sz w:val="16"/>
          <w:szCs w:val="16"/>
          <w:color w:val="465361"/>
        </w:rPr>
      </w:pPr>
    </w:p>
    <w:p>
      <w:pPr>
        <w:ind w:left="1540" w:hanging="415"/>
        <w:spacing w:after="0"/>
        <w:tabs>
          <w:tab w:leader="none" w:pos="1540" w:val="left"/>
        </w:tabs>
        <w:numPr>
          <w:ilvl w:val="0"/>
          <w:numId w:val="1"/>
        </w:numPr>
        <w:rPr>
          <w:rFonts w:ascii="Arial" w:cs="Arial" w:eastAsia="Arial" w:hAnsi="Arial"/>
          <w:sz w:val="18"/>
          <w:szCs w:val="18"/>
          <w:color w:val="465361"/>
        </w:rPr>
      </w:pPr>
      <w:r>
        <w:rPr>
          <w:rFonts w:ascii="Arial" w:cs="Arial" w:eastAsia="Arial" w:hAnsi="Arial"/>
          <w:sz w:val="18"/>
          <w:szCs w:val="18"/>
          <w:color w:val="465361"/>
        </w:rPr>
        <w:t>shares of common stock issuable upon conversion of our outstanding convertible notes.</w:t>
      </w:r>
    </w:p>
    <w:p>
      <w:pPr>
        <w:spacing w:after="0" w:line="225" w:lineRule="exact"/>
        <w:rPr>
          <w:sz w:val="20"/>
          <w:szCs w:val="20"/>
          <w:color w:val="auto"/>
        </w:rPr>
      </w:pPr>
    </w:p>
    <w:p>
      <w:pPr>
        <w:ind w:left="380" w:right="380"/>
        <w:spacing w:after="0" w:line="277" w:lineRule="auto"/>
        <w:rPr>
          <w:sz w:val="20"/>
          <w:szCs w:val="20"/>
          <w:color w:val="auto"/>
        </w:rPr>
      </w:pPr>
      <w:r>
        <w:rPr>
          <w:rFonts w:ascii="Arial" w:cs="Arial" w:eastAsia="Arial" w:hAnsi="Arial"/>
          <w:sz w:val="18"/>
          <w:szCs w:val="18"/>
          <w:color w:val="465361"/>
        </w:rPr>
        <w:t>Except as otherwise indicated, all information in this prospectus supplement assumes no exercise by the underwriters of their option to acquire additional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142875</wp:posOffset>
            </wp:positionV>
            <wp:extent cx="6997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465361"/>
        </w:rPr>
        <w:t>S-3</w:t>
      </w:r>
    </w:p>
    <w:p>
      <w:pPr>
        <w:sectPr>
          <w:pgSz w:w="11900" w:h="16838" w:orient="portrait"/>
          <w:cols w:equalWidth="0" w:num="1">
            <w:col w:w="11040"/>
          </w:cols>
          <w:pgMar w:left="240" w:top="459" w:right="6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465361"/>
        </w:rPr>
        <w:t>SUMMARY CONSOLIDATED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-129540</wp:posOffset>
            </wp:positionV>
            <wp:extent cx="7002145" cy="5149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5149850"/>
                    </a:xfrm>
                    <a:prstGeom prst="rect">
                      <a:avLst/>
                    </a:prstGeom>
                    <a:noFill/>
                  </pic:spPr>
                </pic:pic>
              </a:graphicData>
            </a:graphic>
          </wp:anchor>
        </w:drawing>
      </w:r>
    </w:p>
    <w:p>
      <w:pPr>
        <w:spacing w:after="0" w:line="209" w:lineRule="exact"/>
        <w:rPr>
          <w:sz w:val="20"/>
          <w:szCs w:val="20"/>
          <w:color w:val="auto"/>
        </w:rPr>
      </w:pPr>
    </w:p>
    <w:p>
      <w:pPr>
        <w:ind w:left="220" w:right="80"/>
        <w:spacing w:after="0" w:line="253" w:lineRule="auto"/>
        <w:rPr>
          <w:sz w:val="20"/>
          <w:szCs w:val="20"/>
          <w:color w:val="auto"/>
        </w:rPr>
      </w:pPr>
      <w:r>
        <w:rPr>
          <w:rFonts w:ascii="Arial" w:cs="Arial" w:eastAsia="Arial" w:hAnsi="Arial"/>
          <w:sz w:val="18"/>
          <w:szCs w:val="18"/>
          <w:color w:val="465361"/>
        </w:rPr>
        <w:t>We have derived the summary consolidated statement of operations data for the years ended December 31, 2015, December 31, 2016 and December 31, 2017 from our audited consolidated financial statements incorporated by reference in this prospectus supplement and the accompanying prospectus. We have derived the summary consolidated statement of operations data for the nine months ended September 30, 2017 and 2018, and the consolidated balance sheet data as of September 30, 2018 from our unaudited condensed consolidated financial statements incorporated by reference in this prospectus supplement and the accompanying prospectus. Our historical results are not necessarily indicative of the results that may be expected in the future, and results from interim periods are not necessarily indicative of results that may be expected for the entire year. The following summary consolidated financial data should be read in conjunction with “Management’s Discussion and Analysis of Financial Condition and Results of Operations” and our consolidated financial statements and related notes incorporated by reference in this prospectus supplement and the accompanying prospectus.</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8"/>
            <w:vMerge w:val="restart"/>
          </w:tcPr>
          <w:p>
            <w:pPr>
              <w:jc w:val="right"/>
              <w:ind w:right="5"/>
              <w:spacing w:after="0"/>
              <w:rPr>
                <w:sz w:val="20"/>
                <w:szCs w:val="20"/>
                <w:color w:val="auto"/>
              </w:rPr>
            </w:pPr>
            <w:r>
              <w:rPr>
                <w:rFonts w:ascii="Arial" w:cs="Arial" w:eastAsia="Arial" w:hAnsi="Arial"/>
                <w:sz w:val="14"/>
                <w:szCs w:val="14"/>
                <w:b w:val="1"/>
                <w:bCs w:val="1"/>
                <w:color w:val="465361"/>
              </w:rPr>
              <w:t>Year Ended December 31,</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465361"/>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8"/>
            <w:vMerge w:val="continue"/>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465361"/>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465361"/>
              </w:rPr>
              <w:t>2015</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465361"/>
              </w:rPr>
              <w:t>2016</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465361"/>
              </w:rPr>
              <w:t>2017</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465361"/>
              </w:rPr>
              <w:t>2017</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465361"/>
              </w:rPr>
              <w:t>2018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gridSpan w:val="10"/>
          </w:tcPr>
          <w:p>
            <w:pPr>
              <w:jc w:val="right"/>
              <w:ind w:right="580"/>
              <w:spacing w:after="0" w:line="142" w:lineRule="exact"/>
              <w:rPr>
                <w:sz w:val="20"/>
                <w:szCs w:val="20"/>
                <w:color w:val="auto"/>
              </w:rPr>
            </w:pPr>
            <w:r>
              <w:rPr>
                <w:rFonts w:ascii="Arial" w:cs="Arial" w:eastAsia="Arial" w:hAnsi="Arial"/>
                <w:sz w:val="14"/>
                <w:szCs w:val="14"/>
                <w:b w:val="1"/>
                <w:bCs w:val="1"/>
                <w:color w:val="465361"/>
                <w:w w:val="99"/>
              </w:rPr>
              <w:t>(In thousands, except per share data)</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465361"/>
              </w:rPr>
              <w:t>Revenue: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465361"/>
              </w:rPr>
              <w:t>Product revenue</w:t>
            </w:r>
          </w:p>
        </w:tc>
        <w:tc>
          <w:tcPr>
            <w:tcW w:w="800" w:type="dxa"/>
            <w:vAlign w:val="bottom"/>
            <w:gridSpan w:val="2"/>
          </w:tcPr>
          <w:p>
            <w:pPr>
              <w:jc w:val="right"/>
              <w:spacing w:after="0"/>
              <w:rPr>
                <w:sz w:val="20"/>
                <w:szCs w:val="20"/>
                <w:color w:val="auto"/>
              </w:rPr>
            </w:pPr>
            <w:r>
              <w:rPr>
                <w:rFonts w:ascii="Arial" w:cs="Arial" w:eastAsia="Arial" w:hAnsi="Arial"/>
                <w:sz w:val="18"/>
                <w:szCs w:val="18"/>
                <w:color w:val="465361"/>
              </w:rPr>
              <w:t>$</w:t>
            </w:r>
          </w:p>
        </w:tc>
        <w:tc>
          <w:tcPr>
            <w:tcW w:w="600" w:type="dxa"/>
            <w:vAlign w:val="bottom"/>
          </w:tcPr>
          <w:p>
            <w:pPr>
              <w:jc w:val="right"/>
              <w:spacing w:after="0"/>
              <w:rPr>
                <w:sz w:val="20"/>
                <w:szCs w:val="20"/>
                <w:color w:val="auto"/>
              </w:rPr>
            </w:pPr>
            <w:r>
              <w:rPr>
                <w:rFonts w:ascii="Arial" w:cs="Arial" w:eastAsia="Arial" w:hAnsi="Arial"/>
                <w:sz w:val="18"/>
                <w:szCs w:val="18"/>
                <w:color w:val="465361"/>
                <w:w w:val="86"/>
              </w:rPr>
              <w:t>102,140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465361"/>
              </w:rPr>
              <w:t>$</w:t>
            </w:r>
          </w:p>
        </w:tc>
        <w:tc>
          <w:tcPr>
            <w:tcW w:w="600" w:type="dxa"/>
            <w:vAlign w:val="bottom"/>
          </w:tcPr>
          <w:p>
            <w:pPr>
              <w:jc w:val="right"/>
              <w:spacing w:after="0"/>
              <w:rPr>
                <w:sz w:val="20"/>
                <w:szCs w:val="20"/>
                <w:color w:val="auto"/>
              </w:rPr>
            </w:pPr>
            <w:r>
              <w:rPr>
                <w:rFonts w:ascii="Arial" w:cs="Arial" w:eastAsia="Arial" w:hAnsi="Arial"/>
                <w:sz w:val="18"/>
                <w:szCs w:val="18"/>
                <w:color w:val="465361"/>
              </w:rPr>
              <w:t>89,003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465361"/>
              </w:rPr>
              <w:t>$</w:t>
            </w:r>
          </w:p>
        </w:tc>
        <w:tc>
          <w:tcPr>
            <w:tcW w:w="600" w:type="dxa"/>
            <w:vAlign w:val="bottom"/>
          </w:tcPr>
          <w:p>
            <w:pPr>
              <w:jc w:val="right"/>
              <w:spacing w:after="0"/>
              <w:rPr>
                <w:sz w:val="20"/>
                <w:szCs w:val="20"/>
                <w:color w:val="auto"/>
              </w:rPr>
            </w:pPr>
            <w:r>
              <w:rPr>
                <w:rFonts w:ascii="Arial" w:cs="Arial" w:eastAsia="Arial" w:hAnsi="Arial"/>
                <w:sz w:val="18"/>
                <w:szCs w:val="18"/>
                <w:color w:val="465361"/>
              </w:rPr>
              <w:t>84,399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465361"/>
              </w:rPr>
              <w:t>$</w:t>
            </w:r>
          </w:p>
        </w:tc>
        <w:tc>
          <w:tcPr>
            <w:tcW w:w="600" w:type="dxa"/>
            <w:vAlign w:val="bottom"/>
          </w:tcPr>
          <w:p>
            <w:pPr>
              <w:jc w:val="right"/>
              <w:spacing w:after="0"/>
              <w:rPr>
                <w:sz w:val="20"/>
                <w:szCs w:val="20"/>
                <w:color w:val="auto"/>
              </w:rPr>
            </w:pPr>
            <w:r>
              <w:rPr>
                <w:rFonts w:ascii="Arial" w:cs="Arial" w:eastAsia="Arial" w:hAnsi="Arial"/>
                <w:sz w:val="18"/>
                <w:szCs w:val="18"/>
                <w:color w:val="465361"/>
              </w:rPr>
              <w:t>61,383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465361"/>
              </w:rPr>
              <w:t>$</w:t>
            </w:r>
          </w:p>
        </w:tc>
        <w:tc>
          <w:tcPr>
            <w:tcW w:w="600" w:type="dxa"/>
            <w:vAlign w:val="bottom"/>
          </w:tcPr>
          <w:p>
            <w:pPr>
              <w:jc w:val="right"/>
              <w:spacing w:after="0"/>
              <w:rPr>
                <w:sz w:val="20"/>
                <w:szCs w:val="20"/>
                <w:color w:val="auto"/>
              </w:rPr>
            </w:pPr>
            <w:r>
              <w:rPr>
                <w:rFonts w:ascii="Arial" w:cs="Arial" w:eastAsia="Arial" w:hAnsi="Arial"/>
                <w:sz w:val="18"/>
                <w:szCs w:val="18"/>
                <w:color w:val="465361"/>
              </w:rPr>
              <w:t>66,496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465361"/>
              </w:rPr>
              <w:t>Service Revenue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12,315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15,205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17,348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12,620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14,143</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465361"/>
              </w:rPr>
              <w:t>License revenue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257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238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190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190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465361"/>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465361"/>
              </w:rPr>
              <w:t>Total revenue</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86"/>
              </w:rPr>
              <w:t>114,712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86"/>
              </w:rPr>
              <w:t>104,446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86"/>
              </w:rPr>
              <w:t>101,937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74,193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80,639</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465361"/>
              </w:rPr>
              <w:t>Costs and expenses: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465361"/>
              </w:rPr>
              <w:t>Cost of product revenue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43,001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41,110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45,039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33,060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33,017</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465361"/>
              </w:rPr>
              <w:t>Cost of Service Revenue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3,629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4,899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4,916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3,437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4,784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465361"/>
              </w:rPr>
              <w:t>Research and development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39,264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38,415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30,826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23,668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22,072</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465361"/>
              </w:rPr>
              <w:t>Selling, general and administrative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82,959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93,212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79,516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63,653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57,812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465361"/>
              </w:rPr>
              <w:t>Gain on escrow settlement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rPr>
              <w:t>(3,986)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465361"/>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465361"/>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465361"/>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465361"/>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720"/>
              <w:spacing w:after="0"/>
              <w:rPr>
                <w:sz w:val="20"/>
                <w:szCs w:val="20"/>
                <w:color w:val="auto"/>
              </w:rPr>
            </w:pPr>
            <w:r>
              <w:rPr>
                <w:rFonts w:ascii="Arial" w:cs="Arial" w:eastAsia="Arial" w:hAnsi="Arial"/>
                <w:sz w:val="18"/>
                <w:szCs w:val="18"/>
                <w:color w:val="465361"/>
              </w:rPr>
              <w:t>Total costs and expenses</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w w:val="86"/>
              </w:rPr>
              <w:t>164,867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w w:val="86"/>
              </w:rPr>
              <w:t>177,636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w w:val="86"/>
              </w:rPr>
              <w:t>160,297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w w:val="86"/>
              </w:rPr>
              <w:t>123,818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w w:val="86"/>
              </w:rPr>
              <w:t>117,685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080"/>
              <w:spacing w:after="0"/>
              <w:rPr>
                <w:sz w:val="20"/>
                <w:szCs w:val="20"/>
                <w:color w:val="auto"/>
              </w:rPr>
            </w:pPr>
            <w:r>
              <w:rPr>
                <w:rFonts w:ascii="Arial" w:cs="Arial" w:eastAsia="Arial" w:hAnsi="Arial"/>
                <w:sz w:val="18"/>
                <w:szCs w:val="18"/>
                <w:color w:val="465361"/>
              </w:rPr>
              <w:t>Loss from operations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(50,155)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(73,190)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(58,360)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(49,625)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465361"/>
                <w:w w:val="92"/>
              </w:rPr>
              <w:t>(37,046)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465361"/>
              </w:rPr>
              <w:t>Interest expense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465361"/>
              </w:rPr>
              <w:t>(5,808)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465361"/>
              </w:rPr>
              <w:t>(5,820)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465361"/>
              </w:rPr>
              <w:t>(5,824)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465361"/>
              </w:rPr>
              <w:t>(4,367)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465361"/>
              </w:rPr>
              <w:t>(9,824)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465361"/>
              </w:rPr>
              <w:t>Gain from sale of investment in Verinata</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2,330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465361"/>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465361"/>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465361"/>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465361"/>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465361"/>
              </w:rPr>
              <w:t>Other income (expense),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465361"/>
              </w:rPr>
              <w:t>(1,157)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465361"/>
              </w:rPr>
              <w:t>(1,167)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385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571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465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465361"/>
              </w:rPr>
              <w:t>Loss before income taxes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(54,790)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(80,177)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(63,799)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(53,421)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465361"/>
                <w:w w:val="92"/>
              </w:rPr>
              <w:t>(46,405)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465361"/>
              </w:rPr>
              <w:t>Benefit from income taxes</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1,475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4,192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3,264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3,343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2,167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465361"/>
              </w:rPr>
              <w:t>Net loss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(53,315)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(75,985)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(60,535)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(50,078)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465361"/>
                <w:w w:val="92"/>
              </w:rPr>
              <w:t>(44,238)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spacing w:after="0"/>
              <w:rPr>
                <w:sz w:val="20"/>
                <w:szCs w:val="20"/>
                <w:color w:val="auto"/>
              </w:rPr>
            </w:pPr>
            <w:r>
              <w:rPr>
                <w:rFonts w:ascii="Arial" w:cs="Arial" w:eastAsia="Arial" w:hAnsi="Arial"/>
                <w:sz w:val="18"/>
                <w:szCs w:val="18"/>
                <w:color w:val="465361"/>
              </w:rPr>
              <w:t>Net loss per share, basic and diluted</w:t>
            </w:r>
            <w:r>
              <w:rPr>
                <w:rFonts w:ascii="Arial" w:cs="Arial" w:eastAsia="Arial" w:hAnsi="Arial"/>
                <w:sz w:val="15"/>
                <w:szCs w:val="15"/>
                <w:color w:val="465361"/>
              </w:rPr>
              <w:t>(1)</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65361"/>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(1.86)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65361"/>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(2.62)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65361"/>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(1.84)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65361"/>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(1.61)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(1.13)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465361"/>
                <w:w w:val="95"/>
              </w:rPr>
              <w:t>Shares used in computing net loss per share, basic and diluted</w:t>
            </w:r>
            <w:r>
              <w:rPr>
                <w:rFonts w:ascii="Arial" w:cs="Arial" w:eastAsia="Arial" w:hAnsi="Arial"/>
                <w:sz w:val="15"/>
                <w:szCs w:val="15"/>
                <w:color w:val="465361"/>
                <w:w w:val="95"/>
              </w:rPr>
              <w:t>(1)</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28,711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29,008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32,980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31,051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39,033</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Borders>
              <w:bottom w:val="single" w:sz="8" w:color="465361"/>
            </w:tcBorders>
          </w:tcPr>
          <w:p>
            <w:pPr>
              <w:spacing w:after="0" w:line="20" w:lineRule="exact"/>
              <w:rPr>
                <w:sz w:val="1"/>
                <w:szCs w:val="1"/>
                <w:color w:val="auto"/>
              </w:rPr>
            </w:pPr>
          </w:p>
        </w:tc>
        <w:tc>
          <w:tcPr>
            <w:tcW w:w="5000" w:type="dxa"/>
            <w:vAlign w:val="bottom"/>
            <w:tcBorders>
              <w:bottom w:val="single" w:sz="8" w:color="465361"/>
            </w:tcBorders>
          </w:tcPr>
          <w:p>
            <w:pPr>
              <w:spacing w:after="0" w:line="20" w:lineRule="exact"/>
              <w:rPr>
                <w:sz w:val="1"/>
                <w:szCs w:val="1"/>
                <w:color w:val="auto"/>
              </w:rPr>
            </w:pPr>
          </w:p>
        </w:tc>
        <w:tc>
          <w:tcPr>
            <w:tcW w:w="700" w:type="dxa"/>
            <w:vAlign w:val="bottom"/>
            <w:tcBorders>
              <w:bottom w:val="single" w:sz="8" w:color="465361"/>
            </w:tcBorders>
          </w:tcPr>
          <w:p>
            <w:pPr>
              <w:spacing w:after="0" w:line="20" w:lineRule="exact"/>
              <w:rPr>
                <w:sz w:val="1"/>
                <w:szCs w:val="1"/>
                <w:color w:val="auto"/>
              </w:rPr>
            </w:pPr>
          </w:p>
        </w:tc>
        <w:tc>
          <w:tcPr>
            <w:tcW w:w="100" w:type="dxa"/>
            <w:vAlign w:val="bottom"/>
            <w:tcBorders>
              <w:bottom w:val="single" w:sz="8" w:color="465361"/>
            </w:tcBorders>
          </w:tcPr>
          <w:p>
            <w:pPr>
              <w:spacing w:after="0" w:line="20" w:lineRule="exact"/>
              <w:rPr>
                <w:sz w:val="1"/>
                <w:szCs w:val="1"/>
                <w:color w:val="auto"/>
              </w:rPr>
            </w:pPr>
          </w:p>
        </w:tc>
        <w:tc>
          <w:tcPr>
            <w:tcW w:w="600" w:type="dxa"/>
            <w:vAlign w:val="bottom"/>
            <w:tcBorders>
              <w:bottom w:val="single" w:sz="8" w:color="465361"/>
            </w:tcBorders>
          </w:tcPr>
          <w:p>
            <w:pPr>
              <w:spacing w:after="0" w:line="20" w:lineRule="exact"/>
              <w:rPr>
                <w:sz w:val="1"/>
                <w:szCs w:val="1"/>
                <w:color w:val="auto"/>
              </w:rPr>
            </w:pPr>
          </w:p>
        </w:tc>
        <w:tc>
          <w:tcPr>
            <w:tcW w:w="240" w:type="dxa"/>
            <w:vAlign w:val="bottom"/>
            <w:tcBorders>
              <w:bottom w:val="single" w:sz="8" w:color="465361"/>
            </w:tcBorders>
          </w:tcPr>
          <w:p>
            <w:pPr>
              <w:spacing w:after="0" w:line="20" w:lineRule="exact"/>
              <w:rPr>
                <w:sz w:val="1"/>
                <w:szCs w:val="1"/>
                <w:color w:val="auto"/>
              </w:rPr>
            </w:pPr>
          </w:p>
        </w:tc>
        <w:tc>
          <w:tcPr>
            <w:tcW w:w="180" w:type="dxa"/>
            <w:vAlign w:val="bottom"/>
            <w:tcBorders>
              <w:bottom w:val="single" w:sz="8" w:color="465361"/>
            </w:tcBorders>
          </w:tcPr>
          <w:p>
            <w:pPr>
              <w:spacing w:after="0" w:line="20" w:lineRule="exact"/>
              <w:rPr>
                <w:sz w:val="1"/>
                <w:szCs w:val="1"/>
                <w:color w:val="auto"/>
              </w:rPr>
            </w:pPr>
          </w:p>
        </w:tc>
        <w:tc>
          <w:tcPr>
            <w:tcW w:w="100" w:type="dxa"/>
            <w:vAlign w:val="bottom"/>
            <w:tcBorders>
              <w:bottom w:val="single" w:sz="8" w:color="465361"/>
            </w:tcBorders>
          </w:tcPr>
          <w:p>
            <w:pPr>
              <w:spacing w:after="0" w:line="20" w:lineRule="exact"/>
              <w:rPr>
                <w:sz w:val="1"/>
                <w:szCs w:val="1"/>
                <w:color w:val="auto"/>
              </w:rPr>
            </w:pPr>
          </w:p>
        </w:tc>
        <w:tc>
          <w:tcPr>
            <w:tcW w:w="600" w:type="dxa"/>
            <w:vAlign w:val="bottom"/>
            <w:tcBorders>
              <w:bottom w:val="single" w:sz="8" w:color="465361"/>
            </w:tcBorders>
          </w:tcPr>
          <w:p>
            <w:pPr>
              <w:spacing w:after="0" w:line="20" w:lineRule="exact"/>
              <w:rPr>
                <w:sz w:val="1"/>
                <w:szCs w:val="1"/>
                <w:color w:val="auto"/>
              </w:rPr>
            </w:pPr>
          </w:p>
        </w:tc>
        <w:tc>
          <w:tcPr>
            <w:tcW w:w="240" w:type="dxa"/>
            <w:vAlign w:val="bottom"/>
            <w:tcBorders>
              <w:bottom w:val="single" w:sz="8" w:color="465361"/>
            </w:tcBorders>
          </w:tcPr>
          <w:p>
            <w:pPr>
              <w:spacing w:after="0" w:line="20" w:lineRule="exact"/>
              <w:rPr>
                <w:sz w:val="1"/>
                <w:szCs w:val="1"/>
                <w:color w:val="auto"/>
              </w:rPr>
            </w:pPr>
          </w:p>
        </w:tc>
        <w:tc>
          <w:tcPr>
            <w:tcW w:w="180" w:type="dxa"/>
            <w:vAlign w:val="bottom"/>
            <w:tcBorders>
              <w:bottom w:val="single" w:sz="8" w:color="465361"/>
            </w:tcBorders>
          </w:tcPr>
          <w:p>
            <w:pPr>
              <w:spacing w:after="0" w:line="20" w:lineRule="exact"/>
              <w:rPr>
                <w:sz w:val="1"/>
                <w:szCs w:val="1"/>
                <w:color w:val="auto"/>
              </w:rPr>
            </w:pPr>
          </w:p>
        </w:tc>
        <w:tc>
          <w:tcPr>
            <w:tcW w:w="100" w:type="dxa"/>
            <w:vAlign w:val="bottom"/>
            <w:tcBorders>
              <w:bottom w:val="single" w:sz="8" w:color="465361"/>
            </w:tcBorders>
          </w:tcPr>
          <w:p>
            <w:pPr>
              <w:spacing w:after="0" w:line="20" w:lineRule="exact"/>
              <w:rPr>
                <w:sz w:val="1"/>
                <w:szCs w:val="1"/>
                <w:color w:val="auto"/>
              </w:rPr>
            </w:pPr>
          </w:p>
        </w:tc>
        <w:tc>
          <w:tcPr>
            <w:tcW w:w="600" w:type="dxa"/>
            <w:vAlign w:val="bottom"/>
            <w:tcBorders>
              <w:bottom w:val="single" w:sz="8" w:color="465361"/>
            </w:tcBorders>
          </w:tcPr>
          <w:p>
            <w:pPr>
              <w:spacing w:after="0" w:line="20" w:lineRule="exact"/>
              <w:rPr>
                <w:sz w:val="1"/>
                <w:szCs w:val="1"/>
                <w:color w:val="auto"/>
              </w:rPr>
            </w:pPr>
          </w:p>
        </w:tc>
        <w:tc>
          <w:tcPr>
            <w:tcW w:w="240" w:type="dxa"/>
            <w:vAlign w:val="bottom"/>
            <w:tcBorders>
              <w:bottom w:val="single" w:sz="8" w:color="465361"/>
            </w:tcBorders>
          </w:tcPr>
          <w:p>
            <w:pPr>
              <w:spacing w:after="0" w:line="20" w:lineRule="exact"/>
              <w:rPr>
                <w:sz w:val="1"/>
                <w:szCs w:val="1"/>
                <w:color w:val="auto"/>
              </w:rPr>
            </w:pPr>
          </w:p>
        </w:tc>
        <w:tc>
          <w:tcPr>
            <w:tcW w:w="180" w:type="dxa"/>
            <w:vAlign w:val="bottom"/>
            <w:tcBorders>
              <w:bottom w:val="single" w:sz="8" w:color="465361"/>
            </w:tcBorders>
          </w:tcPr>
          <w:p>
            <w:pPr>
              <w:spacing w:after="0" w:line="20" w:lineRule="exact"/>
              <w:rPr>
                <w:sz w:val="1"/>
                <w:szCs w:val="1"/>
                <w:color w:val="auto"/>
              </w:rPr>
            </w:pPr>
          </w:p>
        </w:tc>
        <w:tc>
          <w:tcPr>
            <w:tcW w:w="100" w:type="dxa"/>
            <w:vAlign w:val="bottom"/>
            <w:tcBorders>
              <w:bottom w:val="single" w:sz="8" w:color="465361"/>
            </w:tcBorders>
          </w:tcPr>
          <w:p>
            <w:pPr>
              <w:spacing w:after="0" w:line="20" w:lineRule="exact"/>
              <w:rPr>
                <w:sz w:val="1"/>
                <w:szCs w:val="1"/>
                <w:color w:val="auto"/>
              </w:rPr>
            </w:pPr>
          </w:p>
        </w:tc>
        <w:tc>
          <w:tcPr>
            <w:tcW w:w="600" w:type="dxa"/>
            <w:vAlign w:val="bottom"/>
            <w:tcBorders>
              <w:bottom w:val="single" w:sz="8" w:color="465361"/>
            </w:tcBorders>
          </w:tcPr>
          <w:p>
            <w:pPr>
              <w:spacing w:after="0" w:line="20" w:lineRule="exact"/>
              <w:rPr>
                <w:sz w:val="1"/>
                <w:szCs w:val="1"/>
                <w:color w:val="auto"/>
              </w:rPr>
            </w:pPr>
          </w:p>
        </w:tc>
        <w:tc>
          <w:tcPr>
            <w:tcW w:w="240" w:type="dxa"/>
            <w:vAlign w:val="bottom"/>
            <w:tcBorders>
              <w:bottom w:val="single" w:sz="8" w:color="465361"/>
            </w:tcBorders>
          </w:tcPr>
          <w:p>
            <w:pPr>
              <w:spacing w:after="0" w:line="20" w:lineRule="exact"/>
              <w:rPr>
                <w:sz w:val="1"/>
                <w:szCs w:val="1"/>
                <w:color w:val="auto"/>
              </w:rPr>
            </w:pPr>
          </w:p>
        </w:tc>
        <w:tc>
          <w:tcPr>
            <w:tcW w:w="180" w:type="dxa"/>
            <w:vAlign w:val="bottom"/>
            <w:tcBorders>
              <w:bottom w:val="single" w:sz="8" w:color="465361"/>
            </w:tcBorders>
          </w:tcPr>
          <w:p>
            <w:pPr>
              <w:spacing w:after="0" w:line="20" w:lineRule="exact"/>
              <w:rPr>
                <w:sz w:val="1"/>
                <w:szCs w:val="1"/>
                <w:color w:val="auto"/>
              </w:rPr>
            </w:pPr>
          </w:p>
        </w:tc>
        <w:tc>
          <w:tcPr>
            <w:tcW w:w="100" w:type="dxa"/>
            <w:vAlign w:val="bottom"/>
            <w:tcBorders>
              <w:bottom w:val="single" w:sz="8" w:color="465361"/>
            </w:tcBorders>
          </w:tcPr>
          <w:p>
            <w:pPr>
              <w:spacing w:after="0" w:line="20" w:lineRule="exact"/>
              <w:rPr>
                <w:sz w:val="1"/>
                <w:szCs w:val="1"/>
                <w:color w:val="auto"/>
              </w:rPr>
            </w:pPr>
          </w:p>
        </w:tc>
        <w:tc>
          <w:tcPr>
            <w:tcW w:w="600" w:type="dxa"/>
            <w:vAlign w:val="bottom"/>
            <w:tcBorders>
              <w:bottom w:val="single" w:sz="8" w:color="465361"/>
            </w:tcBorders>
          </w:tcPr>
          <w:p>
            <w:pPr>
              <w:spacing w:after="0" w:line="20" w:lineRule="exact"/>
              <w:rPr>
                <w:sz w:val="1"/>
                <w:szCs w:val="1"/>
                <w:color w:val="auto"/>
              </w:rPr>
            </w:pPr>
          </w:p>
        </w:tc>
        <w:tc>
          <w:tcPr>
            <w:tcW w:w="120" w:type="dxa"/>
            <w:vAlign w:val="bottom"/>
            <w:tcBorders>
              <w:bottom w:val="single" w:sz="8" w:color="465361"/>
            </w:tcBorders>
          </w:tcPr>
          <w:p>
            <w:pPr>
              <w:spacing w:after="0" w:line="20" w:lineRule="exact"/>
              <w:rPr>
                <w:sz w:val="1"/>
                <w:szCs w:val="1"/>
                <w:color w:val="auto"/>
              </w:rPr>
            </w:pPr>
          </w:p>
        </w:tc>
        <w:tc>
          <w:tcPr>
            <w:tcW w:w="20" w:type="dxa"/>
            <w:vAlign w:val="bottom"/>
            <w:tcBorders>
              <w:bottom w:val="single" w:sz="8" w:color="46536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Borders>
              <w:bottom w:val="single" w:sz="8" w:color="465361"/>
            </w:tcBorders>
          </w:tcPr>
          <w:p>
            <w:pPr>
              <w:spacing w:after="0"/>
              <w:rPr>
                <w:sz w:val="18"/>
                <w:szCs w:val="18"/>
                <w:color w:val="auto"/>
              </w:rPr>
            </w:pPr>
          </w:p>
        </w:tc>
        <w:tc>
          <w:tcPr>
            <w:tcW w:w="5000" w:type="dxa"/>
            <w:vAlign w:val="bottom"/>
            <w:tcBorders>
              <w:bottom w:val="single" w:sz="8" w:color="465361"/>
            </w:tcBorders>
          </w:tcPr>
          <w:p>
            <w:pPr>
              <w:spacing w:after="0"/>
              <w:rPr>
                <w:sz w:val="18"/>
                <w:szCs w:val="18"/>
                <w:color w:val="auto"/>
              </w:rPr>
            </w:pPr>
          </w:p>
        </w:tc>
        <w:tc>
          <w:tcPr>
            <w:tcW w:w="800" w:type="dxa"/>
            <w:vAlign w:val="bottom"/>
            <w:tcBorders>
              <w:bottom w:val="single" w:sz="8" w:color="465361"/>
            </w:tcBorders>
            <w:gridSpan w:val="2"/>
          </w:tcPr>
          <w:p>
            <w:pPr>
              <w:spacing w:after="0"/>
              <w:rPr>
                <w:sz w:val="18"/>
                <w:szCs w:val="18"/>
                <w:color w:val="auto"/>
              </w:rPr>
            </w:pPr>
          </w:p>
        </w:tc>
        <w:tc>
          <w:tcPr>
            <w:tcW w:w="600" w:type="dxa"/>
            <w:vAlign w:val="bottom"/>
            <w:tcBorders>
              <w:bottom w:val="single" w:sz="8" w:color="465361"/>
            </w:tcBorders>
          </w:tcPr>
          <w:p>
            <w:pPr>
              <w:spacing w:after="0"/>
              <w:rPr>
                <w:sz w:val="18"/>
                <w:szCs w:val="18"/>
                <w:color w:val="auto"/>
              </w:rPr>
            </w:pPr>
          </w:p>
        </w:tc>
        <w:tc>
          <w:tcPr>
            <w:tcW w:w="240" w:type="dxa"/>
            <w:vAlign w:val="bottom"/>
            <w:tcBorders>
              <w:bottom w:val="single" w:sz="8" w:color="465361"/>
            </w:tcBorders>
          </w:tcPr>
          <w:p>
            <w:pPr>
              <w:spacing w:after="0"/>
              <w:rPr>
                <w:sz w:val="18"/>
                <w:szCs w:val="18"/>
                <w:color w:val="auto"/>
              </w:rPr>
            </w:pPr>
          </w:p>
        </w:tc>
        <w:tc>
          <w:tcPr>
            <w:tcW w:w="180" w:type="dxa"/>
            <w:vAlign w:val="bottom"/>
            <w:tcBorders>
              <w:bottom w:val="single" w:sz="8" w:color="465361"/>
            </w:tcBorders>
          </w:tcPr>
          <w:p>
            <w:pPr>
              <w:spacing w:after="0"/>
              <w:rPr>
                <w:sz w:val="18"/>
                <w:szCs w:val="18"/>
                <w:color w:val="auto"/>
              </w:rPr>
            </w:pPr>
          </w:p>
        </w:tc>
        <w:tc>
          <w:tcPr>
            <w:tcW w:w="100" w:type="dxa"/>
            <w:vAlign w:val="bottom"/>
            <w:tcBorders>
              <w:bottom w:val="single" w:sz="8" w:color="465361"/>
            </w:tcBorders>
          </w:tcPr>
          <w:p>
            <w:pPr>
              <w:spacing w:after="0"/>
              <w:rPr>
                <w:sz w:val="18"/>
                <w:szCs w:val="18"/>
                <w:color w:val="auto"/>
              </w:rPr>
            </w:pPr>
          </w:p>
        </w:tc>
        <w:tc>
          <w:tcPr>
            <w:tcW w:w="600" w:type="dxa"/>
            <w:vAlign w:val="bottom"/>
            <w:tcBorders>
              <w:bottom w:val="single" w:sz="8" w:color="465361"/>
            </w:tcBorders>
          </w:tcPr>
          <w:p>
            <w:pPr>
              <w:spacing w:after="0"/>
              <w:rPr>
                <w:sz w:val="18"/>
                <w:szCs w:val="18"/>
                <w:color w:val="auto"/>
              </w:rPr>
            </w:pPr>
          </w:p>
        </w:tc>
        <w:tc>
          <w:tcPr>
            <w:tcW w:w="240" w:type="dxa"/>
            <w:vAlign w:val="bottom"/>
            <w:tcBorders>
              <w:bottom w:val="single" w:sz="8" w:color="465361"/>
            </w:tcBorders>
          </w:tcPr>
          <w:p>
            <w:pPr>
              <w:spacing w:after="0"/>
              <w:rPr>
                <w:sz w:val="18"/>
                <w:szCs w:val="18"/>
                <w:color w:val="auto"/>
              </w:rPr>
            </w:pPr>
          </w:p>
        </w:tc>
        <w:tc>
          <w:tcPr>
            <w:tcW w:w="180" w:type="dxa"/>
            <w:vAlign w:val="bottom"/>
            <w:tcBorders>
              <w:bottom w:val="single" w:sz="8" w:color="465361"/>
            </w:tcBorders>
          </w:tcPr>
          <w:p>
            <w:pPr>
              <w:spacing w:after="0"/>
              <w:rPr>
                <w:sz w:val="18"/>
                <w:szCs w:val="18"/>
                <w:color w:val="auto"/>
              </w:rPr>
            </w:pPr>
          </w:p>
        </w:tc>
        <w:tc>
          <w:tcPr>
            <w:tcW w:w="100" w:type="dxa"/>
            <w:vAlign w:val="bottom"/>
            <w:tcBorders>
              <w:bottom w:val="single" w:sz="8" w:color="465361"/>
            </w:tcBorders>
          </w:tcPr>
          <w:p>
            <w:pPr>
              <w:spacing w:after="0"/>
              <w:rPr>
                <w:sz w:val="18"/>
                <w:szCs w:val="18"/>
                <w:color w:val="auto"/>
              </w:rPr>
            </w:pPr>
          </w:p>
        </w:tc>
        <w:tc>
          <w:tcPr>
            <w:tcW w:w="600" w:type="dxa"/>
            <w:vAlign w:val="bottom"/>
            <w:tcBorders>
              <w:bottom w:val="single" w:sz="8" w:color="465361"/>
            </w:tcBorders>
          </w:tcPr>
          <w:p>
            <w:pPr>
              <w:spacing w:after="0"/>
              <w:rPr>
                <w:sz w:val="18"/>
                <w:szCs w:val="18"/>
                <w:color w:val="auto"/>
              </w:rPr>
            </w:pPr>
          </w:p>
        </w:tc>
        <w:tc>
          <w:tcPr>
            <w:tcW w:w="240" w:type="dxa"/>
            <w:vAlign w:val="bottom"/>
            <w:tcBorders>
              <w:bottom w:val="single" w:sz="8" w:color="465361"/>
            </w:tcBorders>
          </w:tcPr>
          <w:p>
            <w:pPr>
              <w:spacing w:after="0"/>
              <w:rPr>
                <w:sz w:val="18"/>
                <w:szCs w:val="18"/>
                <w:color w:val="auto"/>
              </w:rPr>
            </w:pPr>
          </w:p>
        </w:tc>
        <w:tc>
          <w:tcPr>
            <w:tcW w:w="180" w:type="dxa"/>
            <w:vAlign w:val="bottom"/>
            <w:tcBorders>
              <w:bottom w:val="single" w:sz="8" w:color="465361"/>
            </w:tcBorders>
          </w:tcPr>
          <w:p>
            <w:pPr>
              <w:spacing w:after="0"/>
              <w:rPr>
                <w:sz w:val="18"/>
                <w:szCs w:val="18"/>
                <w:color w:val="auto"/>
              </w:rPr>
            </w:pPr>
          </w:p>
        </w:tc>
        <w:tc>
          <w:tcPr>
            <w:tcW w:w="100" w:type="dxa"/>
            <w:vAlign w:val="bottom"/>
            <w:tcBorders>
              <w:bottom w:val="single" w:sz="8" w:color="465361"/>
            </w:tcBorders>
          </w:tcPr>
          <w:p>
            <w:pPr>
              <w:spacing w:after="0"/>
              <w:rPr>
                <w:sz w:val="18"/>
                <w:szCs w:val="18"/>
                <w:color w:val="auto"/>
              </w:rPr>
            </w:pPr>
          </w:p>
        </w:tc>
        <w:tc>
          <w:tcPr>
            <w:tcW w:w="600" w:type="dxa"/>
            <w:vAlign w:val="bottom"/>
            <w:tcBorders>
              <w:bottom w:val="single" w:sz="8" w:color="465361"/>
            </w:tcBorders>
          </w:tcPr>
          <w:p>
            <w:pPr>
              <w:spacing w:after="0"/>
              <w:rPr>
                <w:sz w:val="18"/>
                <w:szCs w:val="18"/>
                <w:color w:val="auto"/>
              </w:rPr>
            </w:pPr>
          </w:p>
        </w:tc>
        <w:tc>
          <w:tcPr>
            <w:tcW w:w="240" w:type="dxa"/>
            <w:vAlign w:val="bottom"/>
            <w:tcBorders>
              <w:bottom w:val="single" w:sz="8" w:color="465361"/>
            </w:tcBorders>
          </w:tcPr>
          <w:p>
            <w:pPr>
              <w:spacing w:after="0"/>
              <w:rPr>
                <w:sz w:val="18"/>
                <w:szCs w:val="18"/>
                <w:color w:val="auto"/>
              </w:rPr>
            </w:pPr>
          </w:p>
        </w:tc>
        <w:tc>
          <w:tcPr>
            <w:tcW w:w="180" w:type="dxa"/>
            <w:vAlign w:val="bottom"/>
            <w:tcBorders>
              <w:bottom w:val="single" w:sz="8" w:color="465361"/>
            </w:tcBorders>
          </w:tcPr>
          <w:p>
            <w:pPr>
              <w:spacing w:after="0"/>
              <w:rPr>
                <w:sz w:val="18"/>
                <w:szCs w:val="18"/>
                <w:color w:val="auto"/>
              </w:rPr>
            </w:pPr>
          </w:p>
        </w:tc>
        <w:tc>
          <w:tcPr>
            <w:tcW w:w="100" w:type="dxa"/>
            <w:vAlign w:val="bottom"/>
            <w:tcBorders>
              <w:bottom w:val="single" w:sz="8" w:color="465361"/>
            </w:tcBorders>
          </w:tcPr>
          <w:p>
            <w:pPr>
              <w:spacing w:after="0"/>
              <w:rPr>
                <w:sz w:val="18"/>
                <w:szCs w:val="18"/>
                <w:color w:val="auto"/>
              </w:rPr>
            </w:pPr>
          </w:p>
        </w:tc>
        <w:tc>
          <w:tcPr>
            <w:tcW w:w="600" w:type="dxa"/>
            <w:vAlign w:val="bottom"/>
            <w:tcBorders>
              <w:bottom w:val="single" w:sz="8" w:color="465361"/>
            </w:tcBorders>
          </w:tcPr>
          <w:p>
            <w:pPr>
              <w:spacing w:after="0"/>
              <w:rPr>
                <w:sz w:val="18"/>
                <w:szCs w:val="18"/>
                <w:color w:val="auto"/>
              </w:rPr>
            </w:pPr>
          </w:p>
        </w:tc>
        <w:tc>
          <w:tcPr>
            <w:tcW w:w="120" w:type="dxa"/>
            <w:vAlign w:val="bottom"/>
            <w:tcBorders>
              <w:bottom w:val="single" w:sz="8" w:color="465361"/>
            </w:tcBorders>
          </w:tcPr>
          <w:p>
            <w:pPr>
              <w:spacing w:after="0"/>
              <w:rPr>
                <w:sz w:val="18"/>
                <w:szCs w:val="18"/>
                <w:color w:val="auto"/>
              </w:rPr>
            </w:pPr>
          </w:p>
        </w:tc>
        <w:tc>
          <w:tcPr>
            <w:tcW w:w="20" w:type="dxa"/>
            <w:vAlign w:val="bottom"/>
            <w:tcBorders>
              <w:bottom w:val="single" w:sz="8" w:color="465361"/>
            </w:tcBorders>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800" w:type="dxa"/>
            <w:vAlign w:val="bottom"/>
            <w:gridSpan w:val="2"/>
          </w:tcPr>
          <w:p>
            <w:pPr>
              <w:jc w:val="right"/>
              <w:ind w:right="105"/>
              <w:spacing w:after="0"/>
              <w:rPr>
                <w:sz w:val="20"/>
                <w:szCs w:val="20"/>
                <w:color w:val="auto"/>
              </w:rPr>
            </w:pPr>
            <w:r>
              <w:rPr>
                <w:rFonts w:ascii="Arial" w:cs="Arial" w:eastAsia="Arial" w:hAnsi="Arial"/>
                <w:sz w:val="18"/>
                <w:szCs w:val="18"/>
                <w:color w:val="465361"/>
              </w:rPr>
              <w:t>S-4</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213995</wp:posOffset>
            </wp:positionV>
            <wp:extent cx="7002145" cy="2171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217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0" w:right="60" w:hanging="183"/>
        <w:spacing w:after="0" w:line="251" w:lineRule="auto"/>
        <w:tabs>
          <w:tab w:leader="none" w:pos="400" w:val="left"/>
        </w:tabs>
        <w:numPr>
          <w:ilvl w:val="0"/>
          <w:numId w:val="2"/>
        </w:numPr>
        <w:rPr>
          <w:rFonts w:ascii="Arial" w:cs="Arial" w:eastAsia="Arial" w:hAnsi="Arial"/>
          <w:sz w:val="11"/>
          <w:szCs w:val="11"/>
          <w:color w:val="465361"/>
        </w:rPr>
      </w:pPr>
      <w:r>
        <w:rPr>
          <w:rFonts w:ascii="Arial" w:cs="Arial" w:eastAsia="Arial" w:hAnsi="Arial"/>
          <w:sz w:val="13"/>
          <w:szCs w:val="13"/>
          <w:color w:val="465361"/>
        </w:rPr>
        <w:t>Please see Note 2 to our audited consolidated financial statements incorporated into this prospectus supplement and the accompanying prospectus by reference from our Annual Report on Form 10-K for the year ended December 31, 2017 for an explanation of the method used to calculate basic and diluted net loss per share attributed to common stockholders for the years ended December 31, 2015, 2016 and 2017. Please see Note 2 to our unaudited condensed consolidated financial statements incorporated into this prospectus supplement and the accompanying prospectus by reference from our Quarterly Report on Form 10-Q for the quarter ended September 30, 2018 for an explanation of the method used to calculate basic and diluted net loss per share attributed to common stockholders for the nine months ended September 30, 2018.</w:t>
      </w:r>
    </w:p>
    <w:p>
      <w:pPr>
        <w:spacing w:after="0" w:line="200"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4920" w:type="dxa"/>
            <w:vAlign w:val="bottom"/>
            <w:gridSpan w:val="4"/>
          </w:tcPr>
          <w:p>
            <w:pPr>
              <w:ind w:left="3300"/>
              <w:spacing w:after="0"/>
              <w:rPr>
                <w:sz w:val="20"/>
                <w:szCs w:val="20"/>
                <w:color w:val="auto"/>
              </w:rPr>
            </w:pPr>
            <w:r>
              <w:rPr>
                <w:rFonts w:ascii="Arial" w:cs="Arial" w:eastAsia="Arial" w:hAnsi="Arial"/>
                <w:sz w:val="14"/>
                <w:szCs w:val="14"/>
                <w:b w:val="1"/>
                <w:bCs w:val="1"/>
                <w:color w:val="465361"/>
                <w:w w:val="94"/>
              </w:rPr>
              <w:t>As of September 30, 2018</w:t>
            </w:r>
          </w:p>
        </w:tc>
      </w:tr>
      <w:tr>
        <w:trPr>
          <w:trHeight w:val="142"/>
        </w:trPr>
        <w:tc>
          <w:tcPr>
            <w:tcW w:w="6080" w:type="dxa"/>
            <w:vAlign w:val="bottom"/>
            <w:tcBorders>
              <w:bottom w:val="single" w:sz="8" w:color="CCEEFF"/>
            </w:tcBorders>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465361"/>
              </w:rPr>
              <w:t>(In thousands)</w:t>
            </w:r>
          </w:p>
        </w:tc>
        <w:tc>
          <w:tcPr>
            <w:tcW w:w="60" w:type="dxa"/>
            <w:vAlign w:val="bottom"/>
            <w:tcBorders>
              <w:bottom w:val="single" w:sz="8" w:color="CCEEFF"/>
            </w:tcBorders>
          </w:tcPr>
          <w:p>
            <w:pPr>
              <w:spacing w:after="0"/>
              <w:rPr>
                <w:sz w:val="12"/>
                <w:szCs w:val="12"/>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465361"/>
              </w:rPr>
              <w:t>Consolidated Balance Sheet Data</w:t>
            </w:r>
            <w:r>
              <w:rPr>
                <w:rFonts w:ascii="Arial" w:cs="Arial" w:eastAsia="Arial" w:hAnsi="Arial"/>
                <w:sz w:val="15"/>
                <w:szCs w:val="15"/>
                <w:b w:val="1"/>
                <w:bCs w:val="1"/>
                <w:color w:val="465361"/>
              </w:rPr>
              <w:t>(1)</w:t>
            </w:r>
            <w:r>
              <w:rPr>
                <w:rFonts w:ascii="Arial" w:cs="Arial" w:eastAsia="Arial" w:hAnsi="Arial"/>
                <w:sz w:val="18"/>
                <w:szCs w:val="18"/>
                <w:b w:val="1"/>
                <w:bCs w:val="1"/>
                <w:color w:val="465361"/>
              </w:rPr>
              <w:t>:</w:t>
            </w:r>
          </w:p>
        </w:tc>
        <w:tc>
          <w:tcPr>
            <w:tcW w:w="3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465361"/>
              </w:rPr>
              <w:t>Working capital</w:t>
            </w:r>
          </w:p>
        </w:tc>
        <w:tc>
          <w:tcPr>
            <w:tcW w:w="3520" w:type="dxa"/>
            <w:vAlign w:val="bottom"/>
            <w:gridSpan w:val="2"/>
          </w:tcPr>
          <w:p>
            <w:pPr>
              <w:ind w:left="3300"/>
              <w:spacing w:after="0"/>
              <w:rPr>
                <w:sz w:val="20"/>
                <w:szCs w:val="20"/>
                <w:color w:val="auto"/>
              </w:rPr>
            </w:pPr>
            <w:r>
              <w:rPr>
                <w:rFonts w:ascii="Arial" w:cs="Arial" w:eastAsia="Arial" w:hAnsi="Arial"/>
                <w:sz w:val="18"/>
                <w:szCs w:val="18"/>
                <w:color w:val="465361"/>
              </w:rPr>
              <w:t>$</w:t>
            </w:r>
          </w:p>
        </w:tc>
        <w:tc>
          <w:tcPr>
            <w:tcW w:w="1340" w:type="dxa"/>
            <w:vAlign w:val="bottom"/>
          </w:tcPr>
          <w:p>
            <w:pPr>
              <w:jc w:val="right"/>
              <w:spacing w:after="0"/>
              <w:rPr>
                <w:sz w:val="20"/>
                <w:szCs w:val="20"/>
                <w:color w:val="auto"/>
              </w:rPr>
            </w:pPr>
            <w:r>
              <w:rPr>
                <w:rFonts w:ascii="Arial" w:cs="Arial" w:eastAsia="Arial" w:hAnsi="Arial"/>
                <w:sz w:val="18"/>
                <w:szCs w:val="18"/>
                <w:color w:val="465361"/>
              </w:rPr>
              <w:t>32,995</w:t>
            </w: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465361"/>
              </w:rPr>
              <w:t>Total assets</w:t>
            </w: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252,290</w:t>
            </w: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465361"/>
              </w:rPr>
              <w:t>Convertible notes, net</w:t>
            </w: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465361"/>
              </w:rPr>
              <w:t>169,345</w:t>
            </w: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465361"/>
              </w:rPr>
              <w:t>Total stockholders’ equity</w:t>
            </w: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22,412</w:t>
            </w:r>
          </w:p>
        </w:tc>
        <w:tc>
          <w:tcPr>
            <w:tcW w:w="60" w:type="dxa"/>
            <w:vAlign w:val="bottom"/>
            <w:shd w:val="clear" w:color="auto" w:fill="CCEEFF"/>
          </w:tcPr>
          <w:p>
            <w:pPr>
              <w:spacing w:after="0"/>
              <w:rPr>
                <w:sz w:val="18"/>
                <w:szCs w:val="18"/>
                <w:color w:val="auto"/>
              </w:rPr>
            </w:pPr>
          </w:p>
        </w:tc>
      </w:tr>
    </w:tbl>
    <w:p>
      <w:pPr>
        <w:spacing w:after="0" w:line="157" w:lineRule="exact"/>
        <w:rPr>
          <w:sz w:val="20"/>
          <w:szCs w:val="20"/>
          <w:color w:val="auto"/>
        </w:rPr>
      </w:pPr>
    </w:p>
    <w:p>
      <w:pPr>
        <w:ind w:left="400" w:right="20" w:hanging="183"/>
        <w:spacing w:after="0" w:line="238" w:lineRule="auto"/>
        <w:tabs>
          <w:tab w:leader="none" w:pos="400" w:val="left"/>
        </w:tabs>
        <w:numPr>
          <w:ilvl w:val="0"/>
          <w:numId w:val="3"/>
        </w:numPr>
        <w:rPr>
          <w:rFonts w:ascii="Arial" w:cs="Arial" w:eastAsia="Arial" w:hAnsi="Arial"/>
          <w:sz w:val="12"/>
          <w:szCs w:val="12"/>
          <w:color w:val="465361"/>
        </w:rPr>
      </w:pPr>
      <w:r>
        <w:rPr>
          <w:rFonts w:ascii="Arial" w:cs="Arial" w:eastAsia="Arial" w:hAnsi="Arial"/>
          <w:sz w:val="14"/>
          <w:szCs w:val="14"/>
          <w:color w:val="465361"/>
        </w:rPr>
        <w:t>The Company has also entered into a revolving credit facility with Silicon Valley Bank in an aggregate principal amount of up to the lesser of (i) $15.0 million or (ii) the sum of (a) 85% of our eligible receivables and (b) 50% of our eligible inventory, in each case, subject to certain limitations. As of September 30, 2018, availability under the revolving credit facility was $12.8 million. There were no borrowings outstanding under the revolving credit facility at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153670</wp:posOffset>
            </wp:positionV>
            <wp:extent cx="6997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465361"/>
        </w:rPr>
        <w:t>S-5</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465361"/>
        </w:rPr>
        <w:t>RISK FACTORS</w:t>
      </w:r>
    </w:p>
    <w:p>
      <w:pPr>
        <w:spacing w:after="0" w:line="229"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i w:val="1"/>
          <w:iCs w:val="1"/>
          <w:color w:val="465361"/>
        </w:rPr>
        <w:t>Investors should carefully consider the risks described below and in the filings incorporated by reference before deciding whether to invest in our securities. The risks described below and those described in the filings incorporated by reference are not the only ones we face. If any of the following risks actually occurs, our business, financial condition or results of operations could be adversely affected. In such case, the trading price of our common stock could decline and you could lose all or part of your investment. Our actual results could differ materially from those anticipated in the forward-looking statements made throughout this prospectus supplement and in the documents incorporated by reference as a result of different factors, including the risks we face described below and those described in the filings incorporated by reference.</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Risks Related to our Business and Strategy</w:t>
      </w:r>
    </w:p>
    <w:p>
      <w:pPr>
        <w:spacing w:after="0" w:line="12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b w:val="1"/>
          <w:bCs w:val="1"/>
          <w:i w:val="1"/>
          <w:iCs w:val="1"/>
          <w:color w:val="465361"/>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16"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465361"/>
        </w:rPr>
        <w:t>Our total revenue was $101.9 million in 2017, $104.4 million in 2016, and $114.7 million in 2015. The decrease in overall revenue over this period was due in significant part to decreasing sales of single-cell genomics instruments, driven by a combination of factors including changes in customer demand, increased competition, and performance issues in certain IFCs used in our C1 systems.</w:t>
      </w:r>
    </w:p>
    <w:p>
      <w:pPr>
        <w:spacing w:after="0" w:line="181" w:lineRule="exact"/>
        <w:rPr>
          <w:sz w:val="20"/>
          <w:szCs w:val="20"/>
          <w:color w:val="auto"/>
        </w:rPr>
      </w:pPr>
    </w:p>
    <w:p>
      <w:pPr>
        <w:ind w:left="200" w:right="20"/>
        <w:spacing w:after="0" w:line="284" w:lineRule="auto"/>
        <w:rPr>
          <w:sz w:val="20"/>
          <w:szCs w:val="20"/>
          <w:color w:val="auto"/>
        </w:rPr>
      </w:pPr>
      <w:r>
        <w:rPr>
          <w:rFonts w:ascii="Arial" w:cs="Arial" w:eastAsia="Arial" w:hAnsi="Arial"/>
          <w:sz w:val="16"/>
          <w:szCs w:val="16"/>
          <w:color w:val="465361"/>
        </w:rPr>
        <w:t>Our revenue, results of operations, and revenue growth rates have varied in the past and may continue to vary significantly from quarter-to-quarter or year-to-year. For example, in 2011, 2012, 2014 and 2015, we experienced higher sales in the fourth quarter than in the first quarter of the next fiscal year. Although this was not the case in the fourth quarter of 2013 compared to the first quarter of 2014, this seasonal historical trend continued in 2014 and 2015 with a decrease in revenue in the first quarters of 2015 and 2016, respectively. However, sales increased slightly in the first quarter of 2017 compared to the fourth quarter of 2016. Additionally, for the quarters ended March 31, 2015 and September 30, 2015, we experienced year-over-year revenue growth rates that were substantially lower than revenue growth rates experienced in other periods since our initial public offering, and we experienced a year-over-year decline in revenue for the quarters ended September 30, 2017, June 30, 2017, March 31, 2017, September 30, 2016, June 30, 2016 and September 30, 2015, and for the years ended December 31, 2017, 2016 and 2015. We may experience substantial variability in our product mix from period-to-period as revenue from sales of our instruments relative to sales of our consumables may fluctuate or deviate significantly from expectations.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particularly our proteomics systems; changes in our pricing and sales policies or the pricing and sales policies of our competitors; our ability to design, manufacture, market, sell, and deliver products to our customers in a timely and cost-effective manner; fluctuations or reductions in revenue from sales of legacy instruments that may have contributed significant revenue in prior periods;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465361"/>
        </w:rPr>
        <w:t>S-6</w:t>
      </w:r>
    </w:p>
    <w:p>
      <w:pPr>
        <w:sectPr>
          <w:pgSz w:w="11900" w:h="16838" w:orient="portrait"/>
          <w:cols w:equalWidth="0" w:num="1">
            <w:col w:w="11140"/>
          </w:cols>
          <w:pgMar w:left="24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color w:val="465361"/>
        </w:rPr>
        <w:t>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124" w:lineRule="exact"/>
        <w:rPr>
          <w:sz w:val="20"/>
          <w:szCs w:val="20"/>
          <w:color w:val="auto"/>
        </w:rPr>
      </w:pPr>
    </w:p>
    <w:p>
      <w:pPr>
        <w:ind w:left="200" w:right="100"/>
        <w:spacing w:after="0" w:line="290" w:lineRule="auto"/>
        <w:rPr>
          <w:sz w:val="20"/>
          <w:szCs w:val="20"/>
          <w:color w:val="auto"/>
        </w:rPr>
      </w:pPr>
      <w:r>
        <w:rPr>
          <w:rFonts w:ascii="Arial" w:cs="Arial" w:eastAsia="Arial" w:hAnsi="Arial"/>
          <w:sz w:val="16"/>
          <w:szCs w:val="16"/>
          <w:color w:val="465361"/>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return to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We have incurred losses since inception, and we may continue to incur substantial losses for the foreseeable future.</w:t>
      </w:r>
    </w:p>
    <w:p>
      <w:pPr>
        <w:spacing w:after="0" w:line="117" w:lineRule="exact"/>
        <w:rPr>
          <w:sz w:val="20"/>
          <w:szCs w:val="20"/>
          <w:color w:val="auto"/>
        </w:rPr>
      </w:pPr>
    </w:p>
    <w:p>
      <w:pPr>
        <w:ind w:left="200" w:right="140"/>
        <w:spacing w:after="0" w:line="297" w:lineRule="auto"/>
        <w:rPr>
          <w:sz w:val="20"/>
          <w:szCs w:val="20"/>
          <w:color w:val="auto"/>
        </w:rPr>
      </w:pPr>
      <w:r>
        <w:rPr>
          <w:rFonts w:ascii="Arial" w:cs="Arial" w:eastAsia="Arial" w:hAnsi="Arial"/>
          <w:sz w:val="16"/>
          <w:szCs w:val="16"/>
          <w:color w:val="465361"/>
        </w:rPr>
        <w:t>We have incurred significant losses in each fiscal year since our inception, including net losses of $14.8 million and $44.2 million during the three and nine months ended September 30, 2018, and net losses of $60.5 million and $76.0 million for the years ended December 31, 2017 and 2016, respectively. As of September 30, 2018, we had an accumulated deficit of $544.1 million. These losses have resulted principally from costs incurred in our research and development programs, and from our manufacturing costs and selling, general, and administrative expenses. We believe that our continued investment in research and development, sales, and marketing is essential to our long-term competitive position and future revenue growth.</w:t>
      </w:r>
    </w:p>
    <w:p>
      <w:pPr>
        <w:spacing w:after="0" w:line="158"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465361"/>
        </w:rPr>
        <w:t>Due to our negative revenue growth in 2016 and 2015, we implemented certain operational efficiency and cost-savings initiatives beginning in the first quarter of 2017 intended to align our resources with our product strategy, reduce our operating expenses, and manage our cash flows. These cost efficiency initiatives have included targeted workforce reductions, optimizing our facilities, and reducing excess space. Further actions such as these may be required on an ongoing basis to optimize our organization. For example, we may need to decrease or defer capital expenditures and development activities or implement further operating expense reduction measures. Such measures may impair our ability to invest in developing, marketing and selling new and existing products. Furthermore, if such efficiency and cost reduction efforts are unsuccessful, our cash position could be negatively impacted and we may, among other things, be required to seek additional sources of financing. Until we are able to generate additional revenue to support our level of operating expenses, we will continue to incur operating and net losses and negative cash flow from operations.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69" w:lineRule="exact"/>
        <w:rPr>
          <w:sz w:val="20"/>
          <w:szCs w:val="20"/>
          <w:color w:val="auto"/>
        </w:rPr>
      </w:pPr>
    </w:p>
    <w:p>
      <w:pPr>
        <w:ind w:left="200" w:right="140"/>
        <w:spacing w:after="0" w:line="297" w:lineRule="auto"/>
        <w:rPr>
          <w:sz w:val="20"/>
          <w:szCs w:val="20"/>
          <w:color w:val="auto"/>
        </w:rPr>
      </w:pPr>
      <w:r>
        <w:rPr>
          <w:rFonts w:ascii="Arial" w:cs="Arial" w:eastAsia="Arial" w:hAnsi="Arial"/>
          <w:sz w:val="16"/>
          <w:szCs w:val="16"/>
          <w:color w:val="465361"/>
        </w:rPr>
        <w:t>If we require additional funds in the future, we may not be able to obtain such funds on acceptable terms, or at all. If we raise funds by issuing equity securities,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may also</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S-7</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465361"/>
        </w:rPr>
        <w:t>have to reduce marketing, customer support, research and development or other resources devoted to our products.</w:t>
      </w:r>
    </w:p>
    <w:p>
      <w:pPr>
        <w:spacing w:after="0" w:line="225"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465361"/>
        </w:rPr>
        <w:t>We have significant outstanding convertible debt, and may be required to repay, refinance or restructure a portion of such debt before 2021. In February 2014, we issued $201.3 million aggregate principal amount of our 2.75% Senior Convertible Notes due 2034 (2014 Notes), pursuant to an underwriting agreement, dated January 29, 2014. In March 2018, we entered into separate privately negotiated transactions with certain holders of our 2014 Notes to exchange $150.0 million in aggregate principal amount of the 2014 Notes for new convertible notes (the 2018 Notes). Following the exchange, approximately $51.3 million aggregate principal amount of the 2014 Notes remain outstanding in addition to $150.0 million in aggregate principal amount of the 2018 Notes (collectively, the Convertible Notes). The Convertible Notes accrue interest at a rate of 2.75% per year, payable semi-annually in arrears on February 1 and August 1 of each year. The Convertible Notes will mature on February 1, 2034, unless earlier converted, redeemed, or repurchased in accordance with the terms of the respective Notes. Holders of the 2014 Notes may require us to repurchase all or a portion of their 2014 Notes on each of February 6, 2021, February 6, 2024, and February 6, 2029 at a repurchase price in cash equal to 100% of the principal amount of the Notes plus accrued and unpaid interest. Holders of the 2018 Notes may require us to repurchase all or a portion of their 2018 Notes on each of February 6, 2023, February 6, 2026, and February 6, 2029 at a repurchase price in cash equal to 100% of the accreted principal amount (i.e., up to 120% of the outstanding principal amount) of the 2018 Notes plus accrued and unpaid interest. If we undergo a fundamental change, as defined in the terms of each of the applicable series of Notes, (i) holders of the 2014 Notes may require us to repurchase the 2014 Notes in whole or in part for cash at a repurchase price equal to 100% of the principal amount of the 2014 Notes plus accrued and unpaid interest and (ii) holders of the 2018 Notes may require us to repurchase the 2018 Notes in whole or in part for cash at a repurchase price equal to 100% of the accreted principal amount (i.e., up to 120% of the outstanding principal amount) of the 2018 Notes plus accrued and unpaid interest. If we refinance the debt owed under the 2014 Notes and the 2018 Notes, we may issue additional convertible notes or other debt, which could include additional company obligations and represent more dilution to existing stockholders and noteholders.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465361"/>
        </w:rPr>
        <w:t>The life science markets are highly competitive and subject to rapid technological change, and we may not be able to successfully compete.</w:t>
      </w:r>
    </w:p>
    <w:p>
      <w:pPr>
        <w:spacing w:after="0" w:line="140" w:lineRule="exact"/>
        <w:rPr>
          <w:sz w:val="20"/>
          <w:szCs w:val="20"/>
          <w:color w:val="auto"/>
        </w:rPr>
      </w:pPr>
    </w:p>
    <w:p>
      <w:pPr>
        <w:ind w:left="200" w:right="80"/>
        <w:spacing w:after="0" w:line="286" w:lineRule="auto"/>
        <w:rPr>
          <w:sz w:val="20"/>
          <w:szCs w:val="20"/>
          <w:color w:val="auto"/>
        </w:rPr>
      </w:pPr>
      <w:r>
        <w:rPr>
          <w:rFonts w:ascii="Arial" w:cs="Arial" w:eastAsia="Arial" w:hAnsi="Arial"/>
          <w:sz w:val="16"/>
          <w:szCs w:val="16"/>
          <w:color w:val="465361"/>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10X Genomics, Inc., Affymetrix, Inc. (now part of Thermo Fisher Scientific Inc.), Agena Bioscience, Inc., Agilent Technologies, Inc., Becton, Dickinson and Company, Bio-Rad Laboratories, Inc., Cellular Research, Inc. (now a part of Becton, Dickinson and Company),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(acquisition by Bio-Rad</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S-8</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465361"/>
        </w:rPr>
        <w:t>Laboratories, Inc. pending), Roche Diagnostics Corporation, Sony Corporation, Thermo Fisher Scientific Inc., WaferGen Bio-systems, Inc., Cytek Biosciences, Inc., Akoya Biosciences, Inc., Innova Biosciences Ltd., QIAGEN N.V., 1CellBio, Inc., Berkeley Lights, Inc., and Mission Bio, Inc. have products that compete in certain segments of the market in which we sell our products. In addition, we have in recent quarters experienced increased competition in the single-cell genomics market, including new product releases from 10X Genomics, Inc. and WaferGen Bio-systems, Inc. (recently acquired by Takara Bio Inc.), as well as the acquisition of Cellular Research by Becton Dickinson and Company and an announced exclusive partnership between Illumina, Inc. and Bio-Rad Laboratories, Inc. In addition, due to the release of our Hyperion imaging mass cytometry system, we now are exposed to competition from companies offering imaging-based systems, specialized reagents and/or services including Carl Zeiss Inc., Leica Biosystems, Nikon Corporation, Olympus America Inc., Roche Diagnostics Corporation, PerkinElmer, Inc., Agilent Technologies, Inc., IonPath Inc., Zellwerk GmbH, Bruker Corporation, Shimadzu Corporation, NanoString Technologies, Inc., and Neogenomics (Multiomyx).</w:t>
      </w:r>
    </w:p>
    <w:p>
      <w:pPr>
        <w:spacing w:after="0" w:line="182" w:lineRule="exact"/>
        <w:rPr>
          <w:sz w:val="20"/>
          <w:szCs w:val="20"/>
          <w:color w:val="auto"/>
        </w:rPr>
      </w:pPr>
    </w:p>
    <w:p>
      <w:pPr>
        <w:ind w:left="200" w:right="220"/>
        <w:spacing w:after="0" w:line="254" w:lineRule="auto"/>
        <w:rPr>
          <w:sz w:val="20"/>
          <w:szCs w:val="20"/>
          <w:color w:val="auto"/>
        </w:rPr>
      </w:pPr>
      <w:r>
        <w:rPr>
          <w:rFonts w:ascii="Arial" w:cs="Arial" w:eastAsia="Arial" w:hAnsi="Arial"/>
          <w:sz w:val="18"/>
          <w:szCs w:val="18"/>
          <w:color w:val="465361"/>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92"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465361"/>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62" w:lineRule="exact"/>
        <w:rPr>
          <w:sz w:val="20"/>
          <w:szCs w:val="20"/>
          <w:color w:val="auto"/>
        </w:rPr>
      </w:pPr>
    </w:p>
    <w:p>
      <w:pPr>
        <w:ind w:left="200" w:right="80"/>
        <w:spacing w:after="0" w:line="270" w:lineRule="auto"/>
        <w:rPr>
          <w:sz w:val="20"/>
          <w:szCs w:val="20"/>
          <w:color w:val="auto"/>
        </w:rPr>
      </w:pPr>
      <w:r>
        <w:rPr>
          <w:rFonts w:ascii="Arial" w:cs="Arial" w:eastAsia="Arial" w:hAnsi="Arial"/>
          <w:sz w:val="17"/>
          <w:szCs w:val="17"/>
          <w:color w:val="465361"/>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Our commercial organization has undergone significant changes in 2016 and 2017, and we are in the early stages of establishing sales of our products for many key applications. If we are not able to successfully market and sell our products, or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If our products fail to achieve and sustain sufficient market acceptance, our revenue will be adversely affected.</w:t>
      </w:r>
    </w:p>
    <w:p>
      <w:pPr>
        <w:spacing w:after="0" w:line="11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465361"/>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S-9</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465361"/>
        </w:rPr>
        <w:t>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47"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465361"/>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465361"/>
        </w:rPr>
        <w:t>We may experience development or manufacturing problems or delays that could limit the potential growth of our revenue or increase our losses.</w:t>
      </w:r>
    </w:p>
    <w:p>
      <w:pPr>
        <w:spacing w:after="0" w:line="152" w:lineRule="exact"/>
        <w:rPr>
          <w:sz w:val="20"/>
          <w:szCs w:val="20"/>
          <w:color w:val="auto"/>
        </w:rPr>
      </w:pPr>
    </w:p>
    <w:p>
      <w:pPr>
        <w:ind w:left="200" w:right="200"/>
        <w:spacing w:after="0" w:line="255" w:lineRule="auto"/>
        <w:rPr>
          <w:sz w:val="20"/>
          <w:szCs w:val="20"/>
          <w:color w:val="auto"/>
        </w:rPr>
      </w:pPr>
      <w:r>
        <w:rPr>
          <w:rFonts w:ascii="Arial" w:cs="Arial" w:eastAsia="Arial" w:hAnsi="Arial"/>
          <w:sz w:val="18"/>
          <w:szCs w:val="18"/>
          <w:color w:val="465361"/>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193"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465361"/>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93" w:lineRule="exact"/>
        <w:rPr>
          <w:sz w:val="20"/>
          <w:szCs w:val="20"/>
          <w:color w:val="auto"/>
        </w:rPr>
      </w:pPr>
    </w:p>
    <w:p>
      <w:pPr>
        <w:jc w:val="both"/>
        <w:ind w:left="200" w:right="140"/>
        <w:spacing w:after="0" w:line="286" w:lineRule="auto"/>
        <w:rPr>
          <w:sz w:val="20"/>
          <w:szCs w:val="20"/>
          <w:color w:val="auto"/>
        </w:rPr>
      </w:pPr>
      <w:r>
        <w:rPr>
          <w:rFonts w:ascii="Arial" w:cs="Arial" w:eastAsia="Arial" w:hAnsi="Arial"/>
          <w:sz w:val="17"/>
          <w:szCs w:val="17"/>
          <w:color w:val="465361"/>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6"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465361"/>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8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465361"/>
        </w:rPr>
        <w:t>If our research and product development efforts do not result in commercially viable products within anticipated timelines, if at all, our business and results of operations will be adversely affected.</w:t>
      </w:r>
    </w:p>
    <w:p>
      <w:pPr>
        <w:spacing w:after="0" w:line="62" w:lineRule="exact"/>
        <w:rPr>
          <w:sz w:val="20"/>
          <w:szCs w:val="20"/>
          <w:color w:val="auto"/>
        </w:rPr>
      </w:pPr>
    </w:p>
    <w:p>
      <w:pPr>
        <w:ind w:left="200" w:right="460"/>
        <w:spacing w:after="0" w:line="286" w:lineRule="auto"/>
        <w:rPr>
          <w:sz w:val="20"/>
          <w:szCs w:val="20"/>
          <w:color w:val="auto"/>
        </w:rPr>
      </w:pPr>
      <w:r>
        <w:rPr>
          <w:rFonts w:ascii="Arial" w:cs="Arial" w:eastAsia="Arial" w:hAnsi="Arial"/>
          <w:sz w:val="17"/>
          <w:szCs w:val="17"/>
          <w:color w:val="465361"/>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S-10</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465361"/>
        </w:rPr>
        <w:t>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66"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465361"/>
        </w:rPr>
        <w:t>Our products could have defects or errors, which may give rise to claims against us, adversely affect market adoption of our systems, and adversely affect our business, financial condition, and results of operations.</w:t>
      </w:r>
    </w:p>
    <w:p>
      <w:pPr>
        <w:spacing w:after="0" w:line="62"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465361"/>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65"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465361"/>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465361"/>
        </w:rPr>
        <w:t>If our products contain defects, we may experience:</w:t>
      </w:r>
    </w:p>
    <w:p>
      <w:pPr>
        <w:spacing w:after="0" w:line="131" w:lineRule="exact"/>
        <w:rPr>
          <w:sz w:val="20"/>
          <w:szCs w:val="20"/>
          <w:color w:val="auto"/>
        </w:rPr>
      </w:pPr>
    </w:p>
    <w:p>
      <w:pPr>
        <w:ind w:left="1400" w:hanging="426"/>
        <w:spacing w:after="0"/>
        <w:tabs>
          <w:tab w:leader="none" w:pos="140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a failure to achieve market acceptance or expansion of our product sales;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loss of customer orders and delay in order fulfillment;</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damage to our brand reputation;</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increased cost of our warranty program due to product repair or replacement;</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product recalls or replacements;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inability to attract new customers;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4"/>
        </w:numPr>
        <w:rPr>
          <w:rFonts w:ascii="Arial" w:cs="Arial" w:eastAsia="Arial" w:hAnsi="Arial"/>
          <w:sz w:val="17"/>
          <w:szCs w:val="17"/>
          <w:color w:val="465361"/>
        </w:rPr>
      </w:pPr>
      <w:r>
        <w:rPr>
          <w:rFonts w:ascii="Arial" w:cs="Arial" w:eastAsia="Arial" w:hAnsi="Arial"/>
          <w:sz w:val="17"/>
          <w:szCs w:val="17"/>
          <w:color w:val="465361"/>
        </w:rPr>
        <w:t>diversion of resources from our manufacturing and research and development departments into our service department; and</w:t>
      </w:r>
    </w:p>
    <w:p>
      <w:pPr>
        <w:spacing w:after="0" w:line="142" w:lineRule="exact"/>
        <w:rPr>
          <w:rFonts w:ascii="Arial" w:cs="Arial" w:eastAsia="Arial" w:hAnsi="Arial"/>
          <w:sz w:val="17"/>
          <w:szCs w:val="17"/>
          <w:color w:val="465361"/>
        </w:rPr>
      </w:pPr>
    </w:p>
    <w:p>
      <w:pPr>
        <w:ind w:left="1400" w:right="40" w:hanging="426"/>
        <w:spacing w:after="0" w:line="277" w:lineRule="auto"/>
        <w:tabs>
          <w:tab w:leader="none" w:pos="140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legal claims against us, including product liability claims, which could be costly and time consuming to defend and result in substantial damages.</w:t>
      </w:r>
    </w:p>
    <w:p>
      <w:pPr>
        <w:spacing w:after="0" w:line="17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465361"/>
        </w:rPr>
        <w:t>In addition, certain of our products are marketed for use with products sold by third parties. For example, certain of our systems are marketed as compatible with major next-generation DNA sequencing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S-11</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308" w:lineRule="auto"/>
        <w:rPr>
          <w:sz w:val="20"/>
          <w:szCs w:val="20"/>
          <w:color w:val="auto"/>
        </w:rPr>
      </w:pPr>
      <w:r>
        <w:rPr>
          <w:rFonts w:ascii="Arial" w:cs="Arial" w:eastAsia="Arial" w:hAnsi="Arial"/>
          <w:sz w:val="17"/>
          <w:szCs w:val="17"/>
          <w:color w:val="465361"/>
        </w:rPr>
        <w:t>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465361"/>
        </w:rPr>
        <w:t>The occurrence of any one or more of the foregoing could negatively affect our business, financial condition, and results of operations.</w:t>
      </w:r>
    </w:p>
    <w:p>
      <w:pPr>
        <w:spacing w:after="0" w:line="225"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b w:val="1"/>
          <w:bCs w:val="1"/>
          <w:i w:val="1"/>
          <w:iCs w:val="1"/>
          <w:color w:val="465361"/>
        </w:rPr>
        <w:t>Our business depends on research and development spending levels of academic, clinical, and governmental research institutions, biopharmaceutical, biotechnology, and Ag-Bio companies, and CROs, a reduction in which could limit our ability to sell our products and adversely affect our business.</w:t>
      </w:r>
    </w:p>
    <w:p>
      <w:pPr>
        <w:spacing w:after="0" w:line="73"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465361"/>
        </w:rPr>
        <w:t>We expect that our revenue in the foreseeable future will be derived primarily from sales of our systems, IFCs, assays, and reagents to academic institutions, clinical research laboratories that use our technology to develop tests, and biopharmaceutical, biotechnology, Ag-Bio companies and CROs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IFCs, assays, and reagents. These reductions and delays may result from factors that are not within our control, such as:</w:t>
      </w:r>
    </w:p>
    <w:p>
      <w:pPr>
        <w:spacing w:after="0" w:line="88" w:lineRule="exact"/>
        <w:rPr>
          <w:sz w:val="20"/>
          <w:szCs w:val="20"/>
          <w:color w:val="auto"/>
        </w:rPr>
      </w:pPr>
    </w:p>
    <w:p>
      <w:pPr>
        <w:ind w:left="1400" w:hanging="426"/>
        <w:spacing w:after="0"/>
        <w:tabs>
          <w:tab w:leader="none" w:pos="140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changes in economic conditions;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natural disasters;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changes in government programs that provide funding to research institutions and companies;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5"/>
        </w:numPr>
        <w:rPr>
          <w:rFonts w:ascii="Arial" w:cs="Arial" w:eastAsia="Arial" w:hAnsi="Arial"/>
          <w:sz w:val="17"/>
          <w:szCs w:val="17"/>
          <w:color w:val="465361"/>
        </w:rPr>
      </w:pPr>
      <w:r>
        <w:rPr>
          <w:rFonts w:ascii="Arial" w:cs="Arial" w:eastAsia="Arial" w:hAnsi="Arial"/>
          <w:sz w:val="17"/>
          <w:szCs w:val="17"/>
          <w:color w:val="465361"/>
        </w:rPr>
        <w:t>changes in the regulatory environment affecting life science and Ag-Bio companies engaged in research and commercial activities;</w:t>
      </w:r>
    </w:p>
    <w:p>
      <w:pPr>
        <w:spacing w:after="0" w:line="142" w:lineRule="exact"/>
        <w:rPr>
          <w:rFonts w:ascii="Arial" w:cs="Arial" w:eastAsia="Arial" w:hAnsi="Arial"/>
          <w:sz w:val="17"/>
          <w:szCs w:val="17"/>
          <w:color w:val="465361"/>
        </w:rPr>
      </w:pPr>
    </w:p>
    <w:p>
      <w:pPr>
        <w:ind w:left="1400" w:hanging="426"/>
        <w:spacing w:after="0"/>
        <w:tabs>
          <w:tab w:leader="none" w:pos="140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differences in budget cycles across various geographies and industries;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market-driven pressures on companies to consolidate operations and reduce costs;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mergers and acquisitions in the life science and Ag-Bio industries; and</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other factors affecting research and development spending.</w:t>
      </w:r>
    </w:p>
    <w:p>
      <w:pPr>
        <w:spacing w:after="0" w:line="225"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465361"/>
        </w:rPr>
        <w:t>Any decrease in our customers’ budgets or expenditures, or in the size, scope, or frequency of capital or operating expenditures, could materially and adversely affect our operations or financial condition.</w:t>
      </w:r>
    </w:p>
    <w:p>
      <w:pPr>
        <w:spacing w:after="0" w:line="170" w:lineRule="exact"/>
        <w:rPr>
          <w:sz w:val="20"/>
          <w:szCs w:val="20"/>
          <w:color w:val="auto"/>
        </w:rPr>
      </w:pPr>
    </w:p>
    <w:p>
      <w:pPr>
        <w:ind w:left="200" w:right="340"/>
        <w:spacing w:after="0" w:line="308" w:lineRule="auto"/>
        <w:rPr>
          <w:sz w:val="20"/>
          <w:szCs w:val="20"/>
          <w:color w:val="auto"/>
        </w:rPr>
      </w:pPr>
      <w:r>
        <w:rPr>
          <w:rFonts w:ascii="Arial" w:cs="Arial" w:eastAsia="Arial" w:hAnsi="Arial"/>
          <w:sz w:val="17"/>
          <w:szCs w:val="17"/>
          <w:b w:val="1"/>
          <w:bCs w:val="1"/>
          <w:i w:val="1"/>
          <w:iCs w:val="1"/>
          <w:color w:val="465361"/>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38"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465361"/>
        </w:rPr>
        <w:t>We manufacture our genomics analytical and preparatory instruments and IFCs for commercial sale at our facility in Singapore, our mass cytometry instruments for commercial sale at our facility in Canada, and our assays and reagents for commercial sale at our headquarters in the United States. No other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465361"/>
        </w:rPr>
        <w:t>S-12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465361"/>
        </w:rPr>
        <w:t>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167" w:lineRule="exact"/>
        <w:rPr>
          <w:sz w:val="20"/>
          <w:szCs w:val="20"/>
          <w:color w:val="auto"/>
        </w:rPr>
      </w:pPr>
    </w:p>
    <w:p>
      <w:pPr>
        <w:jc w:val="both"/>
        <w:ind w:left="200" w:right="420"/>
        <w:spacing w:after="0" w:line="312" w:lineRule="auto"/>
        <w:rPr>
          <w:sz w:val="20"/>
          <w:szCs w:val="20"/>
          <w:color w:val="auto"/>
        </w:rPr>
      </w:pPr>
      <w:r>
        <w:rPr>
          <w:rFonts w:ascii="Arial" w:cs="Arial" w:eastAsia="Arial" w:hAnsi="Arial"/>
          <w:sz w:val="16"/>
          <w:szCs w:val="16"/>
          <w:b w:val="1"/>
          <w:bCs w:val="1"/>
          <w:i w:val="1"/>
          <w:iCs w:val="1"/>
          <w:color w:val="465361"/>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39"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465361"/>
        </w:rPr>
        <w:t>During the nine months ended September 30, 2018, and 2017, and the years ended December 31, 2017, and 2016, approximately 56%, 53%, 55% and 49%, respectively, of our product and service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77" w:lineRule="exact"/>
        <w:rPr>
          <w:sz w:val="20"/>
          <w:szCs w:val="20"/>
          <w:color w:val="auto"/>
        </w:rPr>
      </w:pPr>
    </w:p>
    <w:p>
      <w:pPr>
        <w:ind w:left="1400" w:right="60" w:hanging="426"/>
        <w:spacing w:after="0" w:line="264" w:lineRule="auto"/>
        <w:tabs>
          <w:tab w:leader="none" w:pos="140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required compliance with existing and changing foreign regulatory requirements and laws that are or may be applicable to our business in the future, such as the RoHS and WEEE directives, which regulate the use of certain hazardous substances in, and require the collection, reuse, and recycling of waste from, products we manufacture;</w:t>
      </w:r>
    </w:p>
    <w:p>
      <w:pPr>
        <w:spacing w:after="0" w:line="86" w:lineRule="exact"/>
        <w:rPr>
          <w:rFonts w:ascii="Arial" w:cs="Arial" w:eastAsia="Arial" w:hAnsi="Arial"/>
          <w:sz w:val="18"/>
          <w:szCs w:val="18"/>
          <w:color w:val="465361"/>
        </w:rPr>
      </w:pPr>
    </w:p>
    <w:p>
      <w:pPr>
        <w:ind w:left="1400" w:right="660" w:hanging="426"/>
        <w:spacing w:after="0" w:line="277" w:lineRule="auto"/>
        <w:tabs>
          <w:tab w:leader="none" w:pos="140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required compliance with anti-bribery laws, such as the U.S. Foreign Corrupt Practices Act and U.K. Bribery Act, data privacy requirements, labor laws, and anti-competition regulations;</w:t>
      </w:r>
    </w:p>
    <w:p>
      <w:pPr>
        <w:spacing w:after="0" w:line="75" w:lineRule="exact"/>
        <w:rPr>
          <w:rFonts w:ascii="Arial" w:cs="Arial" w:eastAsia="Arial" w:hAnsi="Arial"/>
          <w:sz w:val="18"/>
          <w:szCs w:val="18"/>
          <w:color w:val="465361"/>
        </w:rPr>
      </w:pPr>
    </w:p>
    <w:p>
      <w:pPr>
        <w:ind w:left="1400" w:hanging="426"/>
        <w:spacing w:after="0"/>
        <w:tabs>
          <w:tab w:leader="none" w:pos="140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export or import restrictions;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laws and business practices favoring local companies;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6"/>
        </w:numPr>
        <w:rPr>
          <w:rFonts w:ascii="Arial" w:cs="Arial" w:eastAsia="Arial" w:hAnsi="Arial"/>
          <w:sz w:val="17"/>
          <w:szCs w:val="17"/>
          <w:color w:val="465361"/>
        </w:rPr>
      </w:pPr>
      <w:r>
        <w:rPr>
          <w:rFonts w:ascii="Arial" w:cs="Arial" w:eastAsia="Arial" w:hAnsi="Arial"/>
          <w:sz w:val="17"/>
          <w:szCs w:val="17"/>
          <w:color w:val="465361"/>
        </w:rPr>
        <w:t>longer payment cycles and difficulties in enforcing agreements and collecting receivables through certain foreign legal systems;</w:t>
      </w:r>
    </w:p>
    <w:p>
      <w:pPr>
        <w:spacing w:after="0" w:line="142" w:lineRule="exact"/>
        <w:rPr>
          <w:rFonts w:ascii="Arial" w:cs="Arial" w:eastAsia="Arial" w:hAnsi="Arial"/>
          <w:sz w:val="17"/>
          <w:szCs w:val="17"/>
          <w:color w:val="465361"/>
        </w:rPr>
      </w:pPr>
    </w:p>
    <w:p>
      <w:pPr>
        <w:ind w:left="1400" w:hanging="426"/>
        <w:spacing w:after="0"/>
        <w:tabs>
          <w:tab w:leader="none" w:pos="140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unstable economic, political, and regulatory conditions;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potentially adverse tax consequences, tariffs, customs charges, bureaucratic requirements, and other trade barriers;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difficulties and costs of staffing and managing foreign operations; and</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difficulties protecting or procuring intellectual property rights.</w:t>
      </w:r>
    </w:p>
    <w:p>
      <w:pPr>
        <w:spacing w:after="0" w:line="22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465361"/>
        </w:rPr>
        <w:t>If one or more of these risks occurs, it could require us to dedicate significant resources to remedy, and if we are unsuccessful in finding a solution, our financial results will suffer.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S-13</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465361"/>
        </w:rPr>
        <w:t>During June 2016, the referendum by British voters to exit the European Union (“Brexit”) adversely impacted global markets and resulted in a sharp decline of the British pound sterling against the US dollar. In February 2017, the British Parliament voted in favor of allowing the British government to begin the formal process of Brexit, and the United Kingdom submitted its required notice under the applicable treaties that it intended to leave the European Union in March 2017, which initiated a negotiation process between the United Kingdom and the European Union that could last up to two years. In the short-term, volatility in the British pound sterling could continue as the United Kingdom negotiates its anticipated exit from the European Union. In the longer term, any impact from Brexit on our United Kingdom operations will depend, in part, on the outcome of tariff, trade, regulatory, and other negotiations.</w:t>
      </w:r>
    </w:p>
    <w:p>
      <w:pPr>
        <w:spacing w:after="0" w:line="189" w:lineRule="exact"/>
        <w:rPr>
          <w:sz w:val="20"/>
          <w:szCs w:val="20"/>
          <w:color w:val="auto"/>
        </w:rPr>
      </w:pPr>
    </w:p>
    <w:p>
      <w:pPr>
        <w:ind w:left="200" w:right="40"/>
        <w:spacing w:after="0" w:line="283" w:lineRule="auto"/>
        <w:rPr>
          <w:sz w:val="20"/>
          <w:szCs w:val="20"/>
          <w:color w:val="auto"/>
        </w:rPr>
      </w:pPr>
      <w:r>
        <w:rPr>
          <w:rFonts w:ascii="Arial" w:cs="Arial" w:eastAsia="Arial" w:hAnsi="Arial"/>
          <w:sz w:val="16"/>
          <w:szCs w:val="16"/>
          <w:color w:val="465361"/>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example, we experienced foreign currency gain of $0.4 million during the nine months ended September 30, 2018, and losses of</w:t>
      </w:r>
    </w:p>
    <w:p>
      <w:pPr>
        <w:spacing w:after="0" w:line="5" w:lineRule="exact"/>
        <w:rPr>
          <w:sz w:val="20"/>
          <w:szCs w:val="20"/>
          <w:color w:val="auto"/>
        </w:rPr>
      </w:pPr>
    </w:p>
    <w:p>
      <w:pPr>
        <w:ind w:left="200" w:right="120"/>
        <w:spacing w:after="0" w:line="261" w:lineRule="auto"/>
        <w:rPr>
          <w:sz w:val="20"/>
          <w:szCs w:val="20"/>
          <w:color w:val="auto"/>
        </w:rPr>
      </w:pPr>
      <w:r>
        <w:rPr>
          <w:rFonts w:ascii="Arial" w:cs="Arial" w:eastAsia="Arial" w:hAnsi="Arial"/>
          <w:sz w:val="18"/>
          <w:szCs w:val="18"/>
          <w:color w:val="465361"/>
        </w:rPr>
        <w:t>$0.1 million and $1.5 million during the years ended December 31, 2017 and 2016, respectively. Fluctuations in currency exchange rates could have an adverse impact on our financial results in the future.</w:t>
      </w:r>
    </w:p>
    <w:p>
      <w:pPr>
        <w:spacing w:after="0" w:line="184"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465361"/>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54"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465361"/>
        </w:rPr>
        <w:t>We are dependent on single and sole source suppliers for some of the components and materials used in our products, and the loss of any of these suppliers could harm our business.</w:t>
      </w:r>
    </w:p>
    <w:p>
      <w:pPr>
        <w:spacing w:after="0" w:line="62" w:lineRule="exact"/>
        <w:rPr>
          <w:sz w:val="20"/>
          <w:szCs w:val="20"/>
          <w:color w:val="auto"/>
        </w:rPr>
      </w:pPr>
    </w:p>
    <w:p>
      <w:pPr>
        <w:jc w:val="both"/>
        <w:ind w:left="200" w:right="400"/>
        <w:spacing w:after="0" w:line="279" w:lineRule="auto"/>
        <w:rPr>
          <w:sz w:val="20"/>
          <w:szCs w:val="20"/>
          <w:color w:val="auto"/>
        </w:rPr>
      </w:pPr>
      <w:r>
        <w:rPr>
          <w:rFonts w:ascii="Arial" w:cs="Arial" w:eastAsia="Arial" w:hAnsi="Arial"/>
          <w:sz w:val="17"/>
          <w:szCs w:val="17"/>
          <w:color w:val="465361"/>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77" w:lineRule="exact"/>
        <w:rPr>
          <w:sz w:val="20"/>
          <w:szCs w:val="20"/>
          <w:color w:val="auto"/>
        </w:rPr>
      </w:pPr>
    </w:p>
    <w:p>
      <w:pPr>
        <w:jc w:val="both"/>
        <w:ind w:left="1400" w:hanging="426"/>
        <w:spacing w:after="0" w:line="264" w:lineRule="auto"/>
        <w:tabs>
          <w:tab w:leader="none" w:pos="1400" w:val="left"/>
        </w:tabs>
        <w:numPr>
          <w:ilvl w:val="0"/>
          <w:numId w:val="7"/>
        </w:numPr>
        <w:rPr>
          <w:rFonts w:ascii="Arial" w:cs="Arial" w:eastAsia="Arial" w:hAnsi="Arial"/>
          <w:sz w:val="18"/>
          <w:szCs w:val="18"/>
          <w:color w:val="465361"/>
        </w:rPr>
      </w:pPr>
      <w:r>
        <w:rPr>
          <w:rFonts w:ascii="Arial" w:cs="Arial" w:eastAsia="Arial" w:hAnsi="Arial"/>
          <w:sz w:val="18"/>
          <w:szCs w:val="18"/>
          <w:color w:val="465361"/>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hanging="426"/>
        <w:spacing w:after="0" w:line="277" w:lineRule="auto"/>
        <w:tabs>
          <w:tab w:leader="none" w:pos="140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Specialized pneumatic and electronic components for our C1, Callisto, Juno, and Polaris systems are available from a limited number of sources.</w:t>
      </w:r>
    </w:p>
    <w:p>
      <w:pPr>
        <w:spacing w:after="0" w:line="75" w:lineRule="exact"/>
        <w:rPr>
          <w:rFonts w:ascii="Arial" w:cs="Arial" w:eastAsia="Arial" w:hAnsi="Arial"/>
          <w:sz w:val="18"/>
          <w:szCs w:val="18"/>
          <w:color w:val="465361"/>
        </w:rPr>
      </w:pPr>
    </w:p>
    <w:p>
      <w:pPr>
        <w:ind w:left="1400" w:right="380" w:hanging="426"/>
        <w:spacing w:after="0" w:line="277" w:lineRule="auto"/>
        <w:tabs>
          <w:tab w:leader="none" w:pos="140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The electron multiplier detector included in the Hyperion/Helios systems and certain metal isotopes used with the Hyperion/Helios systems are purchased from sole source suppliers.</w:t>
      </w:r>
    </w:p>
    <w:p>
      <w:pPr>
        <w:spacing w:after="0" w:line="75" w:lineRule="exact"/>
        <w:rPr>
          <w:rFonts w:ascii="Arial" w:cs="Arial" w:eastAsia="Arial" w:hAnsi="Arial"/>
          <w:sz w:val="18"/>
          <w:szCs w:val="18"/>
          <w:color w:val="465361"/>
        </w:rPr>
      </w:pPr>
    </w:p>
    <w:p>
      <w:pPr>
        <w:ind w:left="1400" w:hanging="426"/>
        <w:spacing w:after="0"/>
        <w:tabs>
          <w:tab w:leader="none" w:pos="140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The movement stage included in the Hyperion imaging mass cytometer system is purchased from a sole source supplier.</w:t>
      </w:r>
    </w:p>
    <w:p>
      <w:pPr>
        <w:spacing w:after="0" w:line="130" w:lineRule="exact"/>
        <w:rPr>
          <w:rFonts w:ascii="Arial" w:cs="Arial" w:eastAsia="Arial" w:hAnsi="Arial"/>
          <w:sz w:val="18"/>
          <w:szCs w:val="18"/>
          <w:color w:val="465361"/>
        </w:rPr>
      </w:pPr>
    </w:p>
    <w:p>
      <w:pPr>
        <w:ind w:left="1400" w:right="480" w:hanging="426"/>
        <w:spacing w:after="0" w:line="277" w:lineRule="auto"/>
        <w:tabs>
          <w:tab w:leader="none" w:pos="140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The nickel sampler cone used with the Hyperion/Helios systems is purchased from single source suppliers and is available from a limited number of sources.</w:t>
      </w:r>
    </w:p>
    <w:p>
      <w:pPr>
        <w:spacing w:after="0" w:line="75" w:lineRule="exact"/>
        <w:rPr>
          <w:rFonts w:ascii="Arial" w:cs="Arial" w:eastAsia="Arial" w:hAnsi="Arial"/>
          <w:sz w:val="18"/>
          <w:szCs w:val="18"/>
          <w:color w:val="465361"/>
        </w:rPr>
      </w:pPr>
    </w:p>
    <w:p>
      <w:pPr>
        <w:ind w:left="1400" w:right="500" w:hanging="426"/>
        <w:spacing w:after="0" w:line="277" w:lineRule="auto"/>
        <w:tabs>
          <w:tab w:leader="none" w:pos="140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The raw materials for our Delta Gene and SNP Type assays and Access Array target-specific primers are available from a limited number of sources.</w:t>
      </w:r>
    </w:p>
    <w:p>
      <w:pPr>
        <w:spacing w:after="0" w:line="17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465361"/>
        </w:rPr>
        <w:t>Our reliance on single and sole source suppliers and assembly service providers also subjects us to other risks that could harm our business, including the following:</w:t>
      </w:r>
    </w:p>
    <w:p>
      <w:pPr>
        <w:spacing w:after="0" w:line="76" w:lineRule="exact"/>
        <w:rPr>
          <w:sz w:val="20"/>
          <w:szCs w:val="20"/>
          <w:color w:val="auto"/>
        </w:rPr>
      </w:pPr>
    </w:p>
    <w:p>
      <w:pPr>
        <w:ind w:left="1400" w:hanging="426"/>
        <w:spacing w:after="0"/>
        <w:tabs>
          <w:tab w:leader="none" w:pos="140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we may be subject to increased component or assembly costs;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we may not be able to obtain adequate supply or services in a timely manner or on commercially reasonable terms;</w:t>
      </w:r>
    </w:p>
    <w:p>
      <w:pPr>
        <w:spacing w:after="0" w:line="130" w:lineRule="exact"/>
        <w:rPr>
          <w:rFonts w:ascii="Arial" w:cs="Arial" w:eastAsia="Arial" w:hAnsi="Arial"/>
          <w:sz w:val="18"/>
          <w:szCs w:val="18"/>
          <w:color w:val="465361"/>
        </w:rPr>
      </w:pPr>
    </w:p>
    <w:p>
      <w:pPr>
        <w:ind w:left="1400" w:right="580" w:hanging="426"/>
        <w:spacing w:after="0" w:line="277" w:lineRule="auto"/>
        <w:tabs>
          <w:tab w:leader="none" w:pos="140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our suppliers or service providers may make errors in manufacturing or assembly of components that could negatively affect the efficacy of our products or cause delays in shipment of our products; and</w:t>
      </w:r>
    </w:p>
    <w:p>
      <w:pPr>
        <w:spacing w:after="0" w:line="75" w:lineRule="exact"/>
        <w:rPr>
          <w:rFonts w:ascii="Arial" w:cs="Arial" w:eastAsia="Arial" w:hAnsi="Arial"/>
          <w:sz w:val="18"/>
          <w:szCs w:val="18"/>
          <w:color w:val="465361"/>
        </w:rPr>
      </w:pPr>
    </w:p>
    <w:p>
      <w:pPr>
        <w:ind w:left="1400" w:right="60" w:hanging="426"/>
        <w:spacing w:after="0" w:line="277" w:lineRule="auto"/>
        <w:tabs>
          <w:tab w:leader="none" w:pos="140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our suppliers or service providers may encounter capacity constraints or financial hardships unrelated to our demand for components or services, which could inhibit their ability to fulfill our orders and meet our requirements.</w:t>
      </w:r>
    </w:p>
    <w:p>
      <w:pPr>
        <w:spacing w:after="0" w:line="17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465361"/>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Our future success is dependent upon our ability to expand our customer base and introduce new applications.</w:t>
      </w:r>
    </w:p>
    <w:p>
      <w:pPr>
        <w:spacing w:after="0" w:line="117"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465361"/>
        </w:rPr>
        <w:t>Our customer base is primarily composed of academic institutions, clinical research laboratories that use our technology to develop tests, and biopharmaceutical, biotechnology, and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375" w:lineRule="auto"/>
        <w:rPr>
          <w:sz w:val="20"/>
          <w:szCs w:val="20"/>
          <w:color w:val="auto"/>
        </w:rPr>
      </w:pPr>
      <w:r>
        <w:rPr>
          <w:rFonts w:ascii="Arial" w:cs="Arial" w:eastAsia="Arial" w:hAnsi="Arial"/>
          <w:sz w:val="15"/>
          <w:szCs w:val="15"/>
          <w:b w:val="1"/>
          <w:bCs w:val="1"/>
          <w:i w:val="1"/>
          <w:iCs w:val="1"/>
          <w:color w:val="465361"/>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465361"/>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465361"/>
        </w:rPr>
        <w:t>Impairment of our goodwill or other intangible assets could materially and adversely affect our business, operating results, and financial condition.</w:t>
      </w:r>
    </w:p>
    <w:p>
      <w:pPr>
        <w:spacing w:after="0" w:line="152"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465361"/>
        </w:rPr>
        <w:t>As of September 30, 2018, we had approximately $169.0 million of goodwill and net intangible assets, including approximately $104.1 million of goodwill and approximately $64.9 million of net intangible assets. These assets represent a significant portion of the assets recorded on our consolidated balance sheet and relate primarily to our acquisition of DVS Sciences, Inc., or DVS, in February 2014. In addition, if in the future we acquire additional businesses, technologies, or other intangible assets, a substantial portion of the value of such assets may be recorded as goodwill or intangible assets.</w:t>
      </w:r>
    </w:p>
    <w:p>
      <w:pPr>
        <w:spacing w:after="0" w:line="154" w:lineRule="exact"/>
        <w:rPr>
          <w:sz w:val="20"/>
          <w:szCs w:val="20"/>
          <w:color w:val="auto"/>
        </w:rPr>
      </w:pPr>
    </w:p>
    <w:p>
      <w:pPr>
        <w:ind w:left="200" w:right="140"/>
        <w:spacing w:after="0" w:line="269" w:lineRule="auto"/>
        <w:rPr>
          <w:sz w:val="20"/>
          <w:szCs w:val="20"/>
          <w:color w:val="auto"/>
        </w:rPr>
      </w:pPr>
      <w:r>
        <w:rPr>
          <w:rFonts w:ascii="Arial" w:cs="Arial" w:eastAsia="Arial" w:hAnsi="Arial"/>
          <w:sz w:val="17"/>
          <w:szCs w:val="17"/>
          <w:color w:val="465361"/>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We have recently experienced substantial declines in our stock price, and continued weakness or further declines in our stock price increase the likelihood that we may be required to recognize impairment charges. 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465361"/>
        </w:rPr>
        <w:t>Our business operations are dependent upon our new senior management team and the ability of our other new employees to learn their new roles.</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465361"/>
        </w:rPr>
        <w:t>If we are unable to recruit and retain key executives, scientists, and technical support personnel, we may be unable to achieve our goals.</w:t>
      </w:r>
    </w:p>
    <w:p>
      <w:pPr>
        <w:spacing w:after="0" w:line="126"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465361"/>
        </w:rPr>
        <w:t>Our performance is substantially dependent on the performance of our senior management, which has substantially changed over the last few years, including, for example, a change in our chief executive officer in October 2016. In addition to our chief executive officer, several other members of our senior management team have started at Fluidigm since mid-2016. As new employees gain experience in their roles, we could experience inefficiencies or a lack of business continuity due to loss of historical knowledge and a lack of familiarity of new employees with business processes, operating requirements, policies and procedures, and we may experience additional costs as new employees learn their roles and gain necessary experience. It is important to our success that these key employees quickly adapt to and excel in their new roles. If they are unable to do so, our business and financial results could be materially adversely affected. In addition, 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80"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465361"/>
        </w:rPr>
        <w:t>Additionally, to expand our research and product development efforts, we need to retain and recruit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67" w:lineRule="exact"/>
        <w:rPr>
          <w:sz w:val="20"/>
          <w:szCs w:val="20"/>
          <w:color w:val="auto"/>
        </w:rPr>
      </w:pPr>
    </w:p>
    <w:p>
      <w:pPr>
        <w:ind w:left="200" w:right="720"/>
        <w:spacing w:after="0" w:line="375" w:lineRule="auto"/>
        <w:rPr>
          <w:sz w:val="20"/>
          <w:szCs w:val="20"/>
          <w:color w:val="auto"/>
        </w:rPr>
      </w:pPr>
      <w:r>
        <w:rPr>
          <w:rFonts w:ascii="Arial" w:cs="Arial" w:eastAsia="Arial" w:hAnsi="Arial"/>
          <w:sz w:val="15"/>
          <w:szCs w:val="15"/>
          <w:b w:val="1"/>
          <w:bCs w:val="1"/>
          <w:i w:val="1"/>
          <w:iCs w:val="1"/>
          <w:color w:val="465361"/>
        </w:rPr>
        <w:t>Our efficiency and cost-savings initiatives could be disruptive to our operations and adversely affect our results of operations and financial condition, and we may not realize some or all of the anticipated benefits of these initiatives in the time frame anticipated or at all.</w:t>
      </w:r>
    </w:p>
    <w:p>
      <w:pPr>
        <w:spacing w:after="0" w:line="1" w:lineRule="exact"/>
        <w:rPr>
          <w:sz w:val="20"/>
          <w:szCs w:val="20"/>
          <w:color w:val="auto"/>
        </w:rPr>
      </w:pPr>
    </w:p>
    <w:p>
      <w:pPr>
        <w:ind w:left="200" w:right="60"/>
        <w:spacing w:after="0" w:line="289" w:lineRule="auto"/>
        <w:rPr>
          <w:sz w:val="20"/>
          <w:szCs w:val="20"/>
          <w:color w:val="auto"/>
        </w:rPr>
      </w:pPr>
      <w:r>
        <w:rPr>
          <w:rFonts w:ascii="Arial" w:cs="Arial" w:eastAsia="Arial" w:hAnsi="Arial"/>
          <w:sz w:val="16"/>
          <w:szCs w:val="16"/>
          <w:color w:val="465361"/>
        </w:rPr>
        <w:t>Beginning in the first quarter of 2017, we implemented efficiency and cost-savings initiatives intended to stabilize our business operations and return to growth. We identified areas for cost efficiencies including targeted workforce reductions and optimizing our facilities, and reducing excess space. Other initiatives may also include decreasing or deferring capital expenditures and development activities. The implementation of these efficiency and cost-savings initiatives,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efficiency and cost-savings initiatives and achieve the anticipated benefits within the expected time frame is subject to estimates and assumptions and may vary materially from our expectations, including as a result of factors that are beyond our control. Furthermore, our efforts to stabilize our business and return to growth may not be successful.</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465361"/>
        </w:rPr>
        <w:t>S-17</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08" w:lineRule="auto"/>
        <w:rPr>
          <w:sz w:val="20"/>
          <w:szCs w:val="20"/>
          <w:color w:val="auto"/>
        </w:rPr>
      </w:pPr>
      <w:r>
        <w:rPr>
          <w:rFonts w:ascii="Arial" w:cs="Arial" w:eastAsia="Arial" w:hAnsi="Arial"/>
          <w:sz w:val="17"/>
          <w:szCs w:val="17"/>
          <w:b w:val="1"/>
          <w:bCs w:val="1"/>
          <w:i w:val="1"/>
          <w:iCs w:val="1"/>
          <w:color w:val="465361"/>
        </w:rPr>
        <w:t>To use our products, our Biomark, EP1, and Helios/CyTOF 2 systems in particular, customers typically need to purchase specialized reagents. Any interruption in the availability of these reagents for use in our products could limit our ability to market our products.</w:t>
      </w:r>
    </w:p>
    <w:p>
      <w:pPr>
        <w:spacing w:after="0" w:line="38" w:lineRule="exact"/>
        <w:rPr>
          <w:sz w:val="20"/>
          <w:szCs w:val="20"/>
          <w:color w:val="auto"/>
        </w:rPr>
      </w:pPr>
    </w:p>
    <w:p>
      <w:pPr>
        <w:ind w:left="200" w:right="140"/>
        <w:spacing w:after="0" w:line="291" w:lineRule="auto"/>
        <w:rPr>
          <w:sz w:val="20"/>
          <w:szCs w:val="20"/>
          <w:color w:val="auto"/>
        </w:rPr>
      </w:pPr>
      <w:r>
        <w:rPr>
          <w:rFonts w:ascii="Arial" w:cs="Arial" w:eastAsia="Arial" w:hAnsi="Arial"/>
          <w:sz w:val="16"/>
          <w:szCs w:val="16"/>
          <w:color w:val="465361"/>
        </w:rPr>
        <w:t>Our products, our Biomark, EP1, and Helios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67"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465361"/>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73"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b w:val="1"/>
          <w:bCs w:val="1"/>
          <w:i w:val="1"/>
          <w:iCs w:val="1"/>
          <w:color w:val="465361"/>
        </w:rPr>
        <w:t>If we seek to be regulated as a medical device manufacturer by the U.S. Food and Drug Administration, or FDA, and foreign regulatory authorities, and seek approval and/or clearance for our products, the regulatory approval process would take significant time and expense and could fail to result in FDA clearance or approval for the intended uses we believe are commercially attractive. If our products were successfully approved and/or cleared, we would be subject to ongoing and extensive regulatory requirements, which would increase our costs and divert resources away from other projects. If we obtained FDA clearance or approval and we failed to comply with these requirements, our business and financial condition could be adversely impacted.</w:t>
      </w:r>
    </w:p>
    <w:p>
      <w:pPr>
        <w:spacing w:after="0" w:line="7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465361"/>
        </w:rPr>
        <w:t>Our products are currently labeled, promoted and sold to academic institutions, life sciences laboratories, biopharmaceutical, biotechnology, Ag-Bio companies and CRO’s for research use only, or RUO, and are not designed for, or intended to be used for,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(PMA) from the FDA, unless an exception applies.</w:t>
      </w:r>
    </w:p>
    <w:p>
      <w:pPr>
        <w:spacing w:after="0" w:line="188"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465361"/>
        </w:rPr>
        <w:t>We may in the future register with the FDA as a medical device manufacturer and list some of our products with the FDA pursuant to an FDA Class I listing for general purpose laboratory equipment. We are currently assessing whether and when to make an initial registration. While this regulatory classification is exempt from certain FDA requirements, such as the need to submit a premarket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465361"/>
        </w:rPr>
        <w:t>S-18</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465361"/>
        </w:rPr>
        <w:t>notification commonly known as a 510(k), and some of the requirements of the FDA’s Quality System Regulations, or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87" w:lineRule="exact"/>
        <w:rPr>
          <w:sz w:val="20"/>
          <w:szCs w:val="20"/>
          <w:color w:val="auto"/>
        </w:rPr>
      </w:pPr>
    </w:p>
    <w:p>
      <w:pPr>
        <w:ind w:left="200" w:right="340"/>
        <w:spacing w:after="0" w:line="290" w:lineRule="auto"/>
        <w:rPr>
          <w:sz w:val="20"/>
          <w:szCs w:val="20"/>
          <w:color w:val="auto"/>
        </w:rPr>
      </w:pPr>
      <w:r>
        <w:rPr>
          <w:rFonts w:ascii="Arial" w:cs="Arial" w:eastAsia="Arial" w:hAnsi="Arial"/>
          <w:sz w:val="16"/>
          <w:szCs w:val="16"/>
          <w:color w:val="465361"/>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166"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465361"/>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92"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465361"/>
        </w:rPr>
        <w:t>In addition, we could decide to seek similar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Europe, we would need to comply with the Medical Device Directive 93/42 EEC and/or the In Vitro Diagnostics Directive 98/79/EC, which are required to market medical devices in the European Union. These directives have been replaced by Medical Device Regulation 2017/745 and In Vitro Diagnostic Regulation 2017/746, with official entry into force in May 26, 2017 and date of applications of May 26,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S-19</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465361"/>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73"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465361"/>
        </w:rPr>
        <w:t>As products that are currently labeled, promoted and intended for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marketing and promotional efforts as being inconsistent with research use only products. For example, our customers may independently elect to use our research use only labeled products in their own laboratory developed tests, or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LDT manufacturers, but would seek further public discussion on an appropriate oversight approach, and give Congress an opportunity to develop a legislative solution.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172" w:lineRule="exact"/>
        <w:rPr>
          <w:sz w:val="20"/>
          <w:szCs w:val="20"/>
          <w:color w:val="auto"/>
        </w:rPr>
      </w:pPr>
    </w:p>
    <w:p>
      <w:pPr>
        <w:ind w:left="200" w:right="160"/>
        <w:spacing w:after="0" w:line="272" w:lineRule="auto"/>
        <w:rPr>
          <w:sz w:val="20"/>
          <w:szCs w:val="20"/>
          <w:color w:val="auto"/>
        </w:rPr>
      </w:pPr>
      <w:r>
        <w:rPr>
          <w:rFonts w:ascii="Arial" w:cs="Arial" w:eastAsia="Arial" w:hAnsi="Arial"/>
          <w:sz w:val="17"/>
          <w:szCs w:val="17"/>
          <w:color w:val="465361"/>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used for clinical diagnostic purposes. These circumstances may include written or verbal marketing claims or links to articles regarding a product’s performance in clinical applications and a manufacturer’s provision of technical support for clinical applications.</w:t>
      </w:r>
    </w:p>
    <w:p>
      <w:pPr>
        <w:spacing w:after="0" w:line="178"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465361"/>
        </w:rPr>
        <w:t>If the FDA modifies its approach to our products labeled and intended for RUO, or otherwise determines our products or related applications should be subject to additional regulation as in vitro diagnostic devices based upon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for 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375" w:lineRule="auto"/>
        <w:rPr>
          <w:sz w:val="20"/>
          <w:szCs w:val="20"/>
          <w:color w:val="auto"/>
        </w:rPr>
      </w:pPr>
      <w:r>
        <w:rPr>
          <w:rFonts w:ascii="Arial" w:cs="Arial" w:eastAsia="Arial" w:hAnsi="Arial"/>
          <w:sz w:val="15"/>
          <w:szCs w:val="15"/>
          <w:b w:val="1"/>
          <w:bCs w:val="1"/>
          <w:i w:val="1"/>
          <w:iCs w:val="1"/>
          <w:color w:val="465361"/>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1"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465361"/>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WEEE and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69"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465361"/>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88"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465361"/>
        </w:rPr>
        <w:t>If we fail to maintain effective internal control over financial reporting in the future, the accuracy and timing of our financial reporting may be impaired, which could adversely affect our business and our stock price.</w:t>
      </w:r>
    </w:p>
    <w:p>
      <w:pPr>
        <w:spacing w:after="0" w:line="62"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465361"/>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54"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465361"/>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or NASDAQ, the SEC or other regulatory authorities, which would require additional financial and management resources.</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465361"/>
        </w:rPr>
        <w:t>S-21</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465361"/>
        </w:rPr>
        <w:t>Our future capital needs are uncertain and we may need to raise additional funds in the future, which may cause dilution to stockholders or may be upon terms that are not favorable to us.</w:t>
      </w:r>
    </w:p>
    <w:p>
      <w:pPr>
        <w:spacing w:after="0" w:line="62"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465361"/>
        </w:rPr>
        <w:t>We believe that our existing cash and cash equivalents and availability under the Revolving Credit Facility will be sufficient to meet our anticipated cash requirements for at least the next 18 months. We have continued to experience losses and, if that trend continues, we may need to seek additional sources of financing. In addition, we may need to raise substantial additional capital for various purposes, including:</w:t>
      </w:r>
    </w:p>
    <w:p>
      <w:pPr>
        <w:spacing w:after="0" w:line="71" w:lineRule="exact"/>
        <w:rPr>
          <w:sz w:val="20"/>
          <w:szCs w:val="20"/>
          <w:color w:val="auto"/>
        </w:rPr>
      </w:pPr>
    </w:p>
    <w:p>
      <w:pPr>
        <w:ind w:left="1400" w:hanging="426"/>
        <w:spacing w:after="0"/>
        <w:tabs>
          <w:tab w:leader="none" w:pos="140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expanding the commercialization of our products;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funding our operations;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furthering our research and development; and</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acquiring other businesses or assets and licensing technologies.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465361"/>
        </w:rPr>
        <w:t>Our future funding requirements will depend on many factors, including:</w:t>
      </w:r>
    </w:p>
    <w:p>
      <w:pPr>
        <w:spacing w:after="0" w:line="131" w:lineRule="exact"/>
        <w:rPr>
          <w:sz w:val="20"/>
          <w:szCs w:val="20"/>
          <w:color w:val="auto"/>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market acceptance of our products;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the cost of our research and development activities;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the cost of filing and prosecuting patent applications;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the cost of defending any litigation including intellectual property, employment, contractual or other litigation;</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the cost and timing of regulatory clearances or approvals, if any;</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the cost and timing of establishing additional sales, marketing, and distribution capabilities;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the cost and timing of establishing additional technical support capabilities;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fluctuations in cash demands (e.g., due to interest payments or payouts under existing cash compensation plans);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sales variability through the year and timing of related cash collections;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the effectiveness of our recent efficiency and cost-savings initiatives;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the effect of competing technological and market developments; and</w:t>
      </w:r>
    </w:p>
    <w:p>
      <w:pPr>
        <w:spacing w:after="0" w:line="130" w:lineRule="exact"/>
        <w:rPr>
          <w:rFonts w:ascii="Arial" w:cs="Arial" w:eastAsia="Arial" w:hAnsi="Arial"/>
          <w:sz w:val="18"/>
          <w:szCs w:val="18"/>
          <w:color w:val="465361"/>
        </w:rPr>
      </w:pPr>
    </w:p>
    <w:p>
      <w:pPr>
        <w:ind w:left="1400" w:right="420" w:hanging="426"/>
        <w:spacing w:after="0" w:line="277" w:lineRule="auto"/>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ind w:left="200" w:right="40"/>
        <w:spacing w:after="0" w:line="289" w:lineRule="auto"/>
        <w:rPr>
          <w:sz w:val="20"/>
          <w:szCs w:val="20"/>
          <w:color w:val="auto"/>
        </w:rPr>
      </w:pPr>
      <w:r>
        <w:rPr>
          <w:rFonts w:ascii="Arial" w:cs="Arial" w:eastAsia="Arial" w:hAnsi="Arial"/>
          <w:sz w:val="16"/>
          <w:szCs w:val="16"/>
          <w:color w:val="465361"/>
        </w:rPr>
        <w:t>To the extent we draw on our $15.0 million revolving senior credit facility (the “2018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If we raise additional funds by issuing equity securities, our stockholders may experience dilution. Debt financing in addition to the 2018 Facility, if available, may involve covenants restricting our operations or our ability to incur additional debt. Any additional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S-22</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465361"/>
        </w:rPr>
        <w:t>technologies that we would otherwise seek to commercialize. We also may have to reduce marketing, customer support, or other resources devoted to our products, or cease operations. Any of these factors could harm our operating results.</w:t>
      </w:r>
    </w:p>
    <w:p>
      <w:pPr>
        <w:spacing w:after="0" w:line="17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465361"/>
        </w:rPr>
        <w:t>If we fail to comply with the covenants and other obligations under our credit facility, the lenders may be able to accelerate amounts owed under the facilities and may foreclose upon the assets securing our obligations.</w:t>
      </w:r>
    </w:p>
    <w:p>
      <w:pPr>
        <w:spacing w:after="0" w:line="62"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465361"/>
        </w:rPr>
        <w:t>In August 2018, we entered into the Revolving Credit Facility. The Revolving Credit Facility provides for secured revolving loans in an aggregate amount of up to $15.0 million. The Revolving Credit Facility is secured by substantially all of the Company’s assets, other than intellectual property. The Revolving Credit Facility contains customary affirmative and negative covenants which, unless waived by the bank, limit the Company’s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If we fail to comply with the covenants and our other obligations under the 2018 Facility, the lenders would be able to accelerate the required repayment of amounts due under the 2018 Credit Agreement and, if they are not repaid, could foreclose upon the assets securing our obligations under the 2018 Facility.</w:t>
      </w:r>
    </w:p>
    <w:p>
      <w:pPr>
        <w:spacing w:after="0" w:line="192"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b w:val="1"/>
          <w:bCs w:val="1"/>
          <w:i w:val="1"/>
          <w:iCs w:val="1"/>
          <w:color w:val="465361"/>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38"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465361"/>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From time to time, we may review our 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Legislation commonly referred to as the 2017 Tax Cuts and Jobs Act was enacted in the United States on December 22, 2017 and introduced a number of changes to U.S. federal income tax laws. Based on our current assessment, we do not believe the impact of this legislation would be material, but our assumptions may prove to be wrong. Payment of additional amounts as a result of changes in applicable tax law or upon final adjudication of any disputes could have a material impact on our results of operations and financial position.</w:t>
      </w:r>
    </w:p>
    <w:p>
      <w:pPr>
        <w:spacing w:after="0" w:line="172"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465361"/>
        </w:rPr>
        <w:t>Adverse conditions in the global economy and disruption of financial markets may significantly harm our revenue, profitability, and results of operations.</w:t>
      </w:r>
    </w:p>
    <w:p>
      <w:pPr>
        <w:spacing w:after="0" w:line="62"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465361"/>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S-23</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465361"/>
        </w:rPr>
        <w:t>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78"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465361"/>
        </w:rPr>
        <w:t>We may pursue acquisitions of complementary businesses, products of technologies to grow our business. If we are unable to identify, finance, or integrate future acquisitions successfully, our operating results and prospects could be harmed.</w:t>
      </w:r>
    </w:p>
    <w:p>
      <w:pPr>
        <w:spacing w:after="0" w:line="62"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465361"/>
        </w:rPr>
        <w:t>In order to grow our business, we may make acquisitions to improve our product offerings and technologies or to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To date, we have completed only one material acquisition, the acquisition of DVS in 2014, and there can be no assurances that we will be able to source, negotiate, or complete acquisitions that are complementary to our business. In addition, we may be required to finance future acquisitions through debt financings, which may not be available on terms our board of directors believes to be commercially reasonable, or we may fund acquisitions through the issuance of equity securities, which could be dilutive to existing stockholders. Any merger or acquisition we may pursue would involve numerous risks, including but not limited to the following:</w:t>
      </w:r>
    </w:p>
    <w:p>
      <w:pPr>
        <w:spacing w:after="0" w:line="84" w:lineRule="exact"/>
        <w:rPr>
          <w:sz w:val="20"/>
          <w:szCs w:val="20"/>
          <w:color w:val="auto"/>
        </w:rPr>
      </w:pPr>
    </w:p>
    <w:p>
      <w:pPr>
        <w:ind w:left="1400" w:hanging="426"/>
        <w:spacing w:after="0"/>
        <w:tabs>
          <w:tab w:leader="none" w:pos="140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difficulties in integrating and managing the operations, technologies, and products of the companies we acquire;</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diversion of our management’s attention from normal daily operation of our business;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our inability to maintain the key business relationships and the reputations of the businesses we acquire;</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our inability to retain key personnel of the acquired company;</w:t>
      </w:r>
    </w:p>
    <w:p>
      <w:pPr>
        <w:spacing w:after="0" w:line="130" w:lineRule="exact"/>
        <w:rPr>
          <w:rFonts w:ascii="Arial" w:cs="Arial" w:eastAsia="Arial" w:hAnsi="Arial"/>
          <w:sz w:val="18"/>
          <w:szCs w:val="18"/>
          <w:color w:val="465361"/>
        </w:rPr>
      </w:pPr>
    </w:p>
    <w:p>
      <w:pPr>
        <w:ind w:left="1400" w:right="500" w:hanging="426"/>
        <w:spacing w:after="0" w:line="277" w:lineRule="auto"/>
        <w:tabs>
          <w:tab w:leader="none" w:pos="140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uncertainty of entry into markets in which we have limited or no prior experience and in which competitors have stronger market positions;</w:t>
      </w:r>
    </w:p>
    <w:p>
      <w:pPr>
        <w:spacing w:after="0" w:line="75" w:lineRule="exact"/>
        <w:rPr>
          <w:rFonts w:ascii="Arial" w:cs="Arial" w:eastAsia="Arial" w:hAnsi="Arial"/>
          <w:sz w:val="18"/>
          <w:szCs w:val="18"/>
          <w:color w:val="465361"/>
        </w:rPr>
      </w:pPr>
    </w:p>
    <w:p>
      <w:pPr>
        <w:ind w:left="1400" w:hanging="426"/>
        <w:spacing w:after="0"/>
        <w:tabs>
          <w:tab w:leader="none" w:pos="140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our dependence on unfamiliar affiliates and customers of the companies we acquire;</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insufficient revenue to offset our increased expenses associated with acquisitions;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our responsibility for the liabilities of the businesses we acquire, including those which we may not anticipate; and</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our inability to maintain internal standards, controls, procedures, and policies.</w:t>
      </w:r>
    </w:p>
    <w:p>
      <w:pPr>
        <w:spacing w:after="0" w:line="22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465361"/>
        </w:rPr>
        <w:t>Furthermore, market reaction to any proposed or completed acquisition may be negative which may materially and adversely affect the market price of our common stock.</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465361"/>
        </w:rPr>
        <w:t>If we are unable to expand our direct sales and marketing force or distribution capabilities to adequately address our customers’ needs, our business may be adversely affected.</w:t>
      </w:r>
    </w:p>
    <w:p>
      <w:pPr>
        <w:spacing w:after="0" w:line="62"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465361"/>
        </w:rPr>
        <w:t>We may not be able to market, sell, and, distribute our products effectively enough to support our planned growth. We sell our products primarily through our own sales force and through distributors 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S-24</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465361"/>
        </w:rPr>
        <w:t>certain territories. Our future sales will depend in large part on our ability to continue to develop and substantially expand our direct sales force and to increase the scope of our marketing efforts.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 Competition for such employees is intense. In addition, we have experienced significant changes in our sales organization in recent quarters due to reorganizations and changes in leadership. We may not be able to attract and retain personnel or be able to build an efficient and effective sales and marketing force, which would negatively impact sales of our products and reduce our revenue and profitability.</w:t>
      </w:r>
    </w:p>
    <w:p>
      <w:pPr>
        <w:spacing w:after="0" w:line="165"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465361"/>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88"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b w:val="1"/>
          <w:bCs w:val="1"/>
          <w:i w:val="1"/>
          <w:iCs w:val="1"/>
          <w:color w:val="465361"/>
        </w:rPr>
        <w:t>If we seek to implement a company-wide implementation of an enterprise resource planning, or ERP, system, such implementation could adversely affect our business and results of operations or the effectiveness of internal control over financial reporting.</w:t>
      </w:r>
    </w:p>
    <w:p>
      <w:pPr>
        <w:spacing w:after="0" w:line="38"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465361"/>
        </w:rPr>
        <w:t>We have considered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 implement a company-wide ERP system, our business and results of operations could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465361"/>
        </w:rPr>
        <w:t>Changes in accounting principles, or interpretations thereof, could have a significant impact on our financial position and results of operations.</w:t>
      </w:r>
    </w:p>
    <w:p>
      <w:pPr>
        <w:spacing w:after="0" w:line="14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465361"/>
        </w:rPr>
        <w:t>We prepare our consolidated financial statements in accordance with accounting principles generally accepted in the United States of America, referred to as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88" w:lineRule="exact"/>
        <w:rPr>
          <w:sz w:val="20"/>
          <w:szCs w:val="20"/>
          <w:color w:val="auto"/>
        </w:rPr>
      </w:pPr>
    </w:p>
    <w:p>
      <w:pPr>
        <w:ind w:left="200" w:right="220"/>
        <w:spacing w:after="0" w:line="273" w:lineRule="auto"/>
        <w:rPr>
          <w:sz w:val="20"/>
          <w:szCs w:val="20"/>
          <w:color w:val="auto"/>
        </w:rPr>
      </w:pPr>
      <w:r>
        <w:rPr>
          <w:rFonts w:ascii="Arial" w:cs="Arial" w:eastAsia="Arial" w:hAnsi="Arial"/>
          <w:sz w:val="17"/>
          <w:szCs w:val="17"/>
          <w:color w:val="465361"/>
        </w:rPr>
        <w:t>For example, the U.S.-based Financial Accounting Standards Board, referred to as FASB, is currently working together with the International Accounting Standards Board, referred to IASB, on several projects to further align accounting principles and facilitate more comparable financial reporting between companies who are required to follow U.S. GAAP under SEC regulations and those who are required to follow International Financial Reporting Standards outside of the United States. These efforts by the FASB and IASB may result in different accounting principles under U.S. GAAP that may result in materially different financial results for us in areas including, but not limited to, principles for recognizing revenue and lease accounting. Additionally, significant changes to U.S. GAAP resulting from</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S-25</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465361"/>
        </w:rPr>
        <w:t>the FASB’s and IASB’s efforts may require that we change how we process, analyze and report financial information and that we change financial reporting controls. Additionally, the FASB issued new guidance (ASU 2014-09) relating to Revenue from Contracts with Customers which supersedes nearly all existing U.S. GAAP revenue recognition guidance. The new guidance is effective for our fiscal year 2018. We adopted ASU 2014-09 in the first quarter of 2018 using the modified retrospective method. The adoption is not expected to have a material impact on our consolidated financial statements. Under the modified retrospective method, periods prior to the adoption of ASU 2014-09 are not restated and the cumulative effect of initially applying the new standard is reflected in the opening balance of retained earnings as of January 1, 2018. Additional disclosures are required for significant differences between the reported results under the new standard and those that would have been reported under the legacy standard. While we continue to evaluate the effect of the new standard on our ongoing financial reporting, we currently do not expect the cumulative effect of the new standard to be material. We continue to identify the appropriate changes to our business processes, systems, and controls to support revenue recognition and disclosure under the new standard.</w:t>
      </w:r>
    </w:p>
    <w:p>
      <w:pPr>
        <w:spacing w:after="0" w:line="178" w:lineRule="exact"/>
        <w:rPr>
          <w:sz w:val="20"/>
          <w:szCs w:val="20"/>
          <w:color w:val="auto"/>
        </w:rPr>
      </w:pPr>
    </w:p>
    <w:p>
      <w:pPr>
        <w:ind w:left="200" w:right="340"/>
        <w:spacing w:after="0" w:line="342" w:lineRule="auto"/>
        <w:rPr>
          <w:sz w:val="20"/>
          <w:szCs w:val="20"/>
          <w:color w:val="auto"/>
        </w:rPr>
      </w:pPr>
      <w:r>
        <w:rPr>
          <w:rFonts w:ascii="Arial" w:cs="Arial" w:eastAsia="Arial" w:hAnsi="Arial"/>
          <w:sz w:val="16"/>
          <w:szCs w:val="16"/>
          <w:color w:val="465361"/>
        </w:rPr>
        <w:t>It is not clear if or when these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24"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465361"/>
        </w:rPr>
        <w:t>Our ability to use net operating loss carryforwards to offset future taxable income for U.S. federal income tax purposes and other tax benefits may be limited.</w:t>
      </w:r>
    </w:p>
    <w:p>
      <w:pPr>
        <w:spacing w:after="0" w:line="62"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465361"/>
        </w:rPr>
        <w:t>Section 382 of the Internal Revenue Code of 1986, as amended, referred to as the “Code,” imposes an annual limitation on the amount of taxable income 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referred to as our NOL’s, following an ownership change.</w:t>
      </w:r>
    </w:p>
    <w:p>
      <w:pPr>
        <w:spacing w:after="0" w:line="188"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465361"/>
        </w:rPr>
        <w:t>If we experience an ownership change, our ability to use our NOLs, any loss or deduction attributable to a “net unrealized built-in loss” and other tax attributes, which we refer to as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results of operations.</w:t>
      </w:r>
    </w:p>
    <w:p>
      <w:pPr>
        <w:spacing w:after="0" w:line="188"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465361"/>
        </w:rPr>
        <w:t>We believe that these tax benefits are a valuable asset for us. However, legislation commonly known as the 2017 Tax Cuts and Jobs Act includes a decrease in the U.S. federal corporate income tax rate from 35% to 21%, and our tax benefits were revalued at the newly enacted rate. We do not expect this to have a material impact on our financial statements because we currently maintain a full valuation allowance on our U.S. deferred tax assets; however, this reduction in the U.S. federal corporate income tax rate results in a corresponding reduction in the value of our tax benefits. We believe our NOLs are not at material risk of limitation based on an ownership change pursuant to Section 382 and we will continue to monitor our NOLs and any needs for tax benefit preservation plans. Any future tax benefit preservation plan could make it more difficult for a third party to acquire, or could discourage a third party from acquiring, us or a large block of our common stock.</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465361"/>
        </w:rPr>
        <w:t>S-26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465361"/>
        </w:rPr>
        <w:t>We have a significant amount of outstanding indebtedness, and our financial condition and results of operations could be adversely affected if we do not efficiently manage our liabilities.</w:t>
      </w:r>
    </w:p>
    <w:p>
      <w:pPr>
        <w:spacing w:after="0" w:line="62"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465361"/>
        </w:rPr>
        <w:t>As of September 30, 2018, we had outstanding $150.0 million aggregate principal amount of our 2018 Notes and $51.3 million aggregate principal amount of our 2014 Notes. This significant amount of debt has important risks to us and our investors, including:</w:t>
      </w:r>
    </w:p>
    <w:p>
      <w:pPr>
        <w:spacing w:after="0" w:line="76" w:lineRule="exact"/>
        <w:rPr>
          <w:sz w:val="20"/>
          <w:szCs w:val="20"/>
          <w:color w:val="auto"/>
        </w:rPr>
      </w:pPr>
    </w:p>
    <w:p>
      <w:pPr>
        <w:ind w:left="1400" w:hanging="426"/>
        <w:spacing w:after="0"/>
        <w:tabs>
          <w:tab w:leader="none" w:pos="140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requiring a portion of our cash flow from operations to make interest payments on this debt;</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increasing our vulnerability to general adverse economic and industry conditions;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reducing the cash flow available to fund capital expenditures and other corporate purposes and to grow our business;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limiting our flexibility in planning for, or reacting to, changes in our business and the industry; and</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limiting our ability to borrow additional funds as needed or take advantage of business opportunities as they arise.</w:t>
      </w:r>
    </w:p>
    <w:p>
      <w:pPr>
        <w:spacing w:after="0" w:line="225"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465361"/>
        </w:rPr>
        <w:t>In addition, 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Risks Related to Intellectual Property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Our ability to protect our intellectual property and proprietary technology through patents and other means is uncertain.</w:t>
      </w:r>
    </w:p>
    <w:p>
      <w:pPr>
        <w:spacing w:after="0" w:line="117" w:lineRule="exact"/>
        <w:rPr>
          <w:sz w:val="20"/>
          <w:szCs w:val="20"/>
          <w:color w:val="auto"/>
        </w:rPr>
      </w:pPr>
    </w:p>
    <w:p>
      <w:pPr>
        <w:ind w:left="200" w:right="80"/>
        <w:spacing w:after="0" w:line="288" w:lineRule="auto"/>
        <w:rPr>
          <w:sz w:val="20"/>
          <w:szCs w:val="20"/>
          <w:color w:val="auto"/>
        </w:rPr>
      </w:pPr>
      <w:r>
        <w:rPr>
          <w:rFonts w:ascii="Arial" w:cs="Arial" w:eastAsia="Arial" w:hAnsi="Arial"/>
          <w:sz w:val="16"/>
          <w:szCs w:val="16"/>
          <w:color w:val="465361"/>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69" w:lineRule="exact"/>
        <w:rPr>
          <w:sz w:val="20"/>
          <w:szCs w:val="20"/>
          <w:color w:val="auto"/>
        </w:rPr>
      </w:pPr>
    </w:p>
    <w:p>
      <w:pPr>
        <w:ind w:left="200" w:right="80"/>
        <w:spacing w:after="0" w:line="297" w:lineRule="auto"/>
        <w:rPr>
          <w:sz w:val="20"/>
          <w:szCs w:val="20"/>
          <w:color w:val="auto"/>
        </w:rPr>
      </w:pPr>
      <w:r>
        <w:rPr>
          <w:rFonts w:ascii="Arial" w:cs="Arial" w:eastAsia="Arial" w:hAnsi="Arial"/>
          <w:sz w:val="16"/>
          <w:szCs w:val="16"/>
          <w:color w:val="465361"/>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64" w:lineRule="exact"/>
        <w:rPr>
          <w:sz w:val="20"/>
          <w:szCs w:val="20"/>
          <w:color w:val="auto"/>
        </w:rPr>
      </w:pPr>
    </w:p>
    <w:p>
      <w:pPr>
        <w:ind w:left="5540" w:right="2000" w:hanging="4566"/>
        <w:spacing w:after="0" w:line="449" w:lineRule="auto"/>
        <w:tabs>
          <w:tab w:leader="none" w:pos="1402"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We might not have been the first to make the inventions covered by each of our pending patent applications; S-27</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hanging="426"/>
        <w:spacing w:after="0"/>
        <w:tabs>
          <w:tab w:leader="none" w:pos="1400" w:val="left"/>
        </w:tabs>
        <w:numPr>
          <w:ilvl w:val="0"/>
          <w:numId w:val="15"/>
        </w:numPr>
        <w:rPr>
          <w:rFonts w:ascii="Arial" w:cs="Arial" w:eastAsia="Arial" w:hAnsi="Arial"/>
          <w:sz w:val="18"/>
          <w:szCs w:val="18"/>
          <w:color w:val="465361"/>
        </w:rPr>
      </w:pPr>
      <w:r>
        <w:rPr>
          <w:rFonts w:ascii="Arial" w:cs="Arial" w:eastAsia="Arial" w:hAnsi="Arial"/>
          <w:sz w:val="18"/>
          <w:szCs w:val="18"/>
          <w:color w:val="465361"/>
        </w:rPr>
        <w:t>We might not have been the first to file patent applications for these inventions;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5"/>
        </w:numPr>
        <w:rPr>
          <w:rFonts w:ascii="Arial" w:cs="Arial" w:eastAsia="Arial" w:hAnsi="Arial"/>
          <w:sz w:val="18"/>
          <w:szCs w:val="18"/>
          <w:color w:val="465361"/>
        </w:rPr>
      </w:pPr>
      <w:r>
        <w:rPr>
          <w:rFonts w:ascii="Arial" w:cs="Arial" w:eastAsia="Arial" w:hAnsi="Arial"/>
          <w:sz w:val="18"/>
          <w:szCs w:val="18"/>
          <w:color w:val="465361"/>
        </w:rPr>
        <w:t>The patents of others may have an adverse effect on our business; and</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5"/>
        </w:numPr>
        <w:rPr>
          <w:rFonts w:ascii="Arial" w:cs="Arial" w:eastAsia="Arial" w:hAnsi="Arial"/>
          <w:sz w:val="16"/>
          <w:szCs w:val="16"/>
          <w:color w:val="465361"/>
        </w:rPr>
      </w:pPr>
      <w:r>
        <w:rPr>
          <w:rFonts w:ascii="Arial" w:cs="Arial" w:eastAsia="Arial" w:hAnsi="Arial"/>
          <w:sz w:val="16"/>
          <w:szCs w:val="16"/>
          <w:color w:val="465361"/>
        </w:rPr>
        <w:t>Others may independently develop similar or alternative products and technologies or duplicate any of our products and technologies.</w:t>
      </w:r>
    </w:p>
    <w:p>
      <w:pPr>
        <w:spacing w:after="0" w:line="248"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465361"/>
        </w:rPr>
        <w:t>To the extent our intellectual property, including licensed intellectual property, offers inadequate protection, or is found to be invalid or unenforceable, our competitive position and our business could be adversely affected.</w:t>
      </w:r>
    </w:p>
    <w:p>
      <w:pPr>
        <w:spacing w:after="0" w:line="17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b w:val="1"/>
          <w:bCs w:val="1"/>
          <w:i w:val="1"/>
          <w:iCs w:val="1"/>
          <w:color w:val="465361"/>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73"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465361"/>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67"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465361"/>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78"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465361"/>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465361"/>
        </w:rPr>
        <w:t>significant costs and expenses that could adversely affect our business, operating results, or financial condition.</w:t>
      </w:r>
    </w:p>
    <w:p>
      <w:pPr>
        <w:spacing w:after="0" w:line="225" w:lineRule="exact"/>
        <w:rPr>
          <w:sz w:val="20"/>
          <w:szCs w:val="20"/>
          <w:color w:val="auto"/>
        </w:rPr>
      </w:pPr>
    </w:p>
    <w:p>
      <w:pPr>
        <w:ind w:left="200" w:right="620"/>
        <w:spacing w:after="0" w:line="375" w:lineRule="auto"/>
        <w:rPr>
          <w:sz w:val="20"/>
          <w:szCs w:val="20"/>
          <w:color w:val="auto"/>
        </w:rPr>
      </w:pPr>
      <w:r>
        <w:rPr>
          <w:rFonts w:ascii="Arial" w:cs="Arial" w:eastAsia="Arial" w:hAnsi="Arial"/>
          <w:sz w:val="15"/>
          <w:szCs w:val="15"/>
          <w:b w:val="1"/>
          <w:bCs w:val="1"/>
          <w:i w:val="1"/>
          <w:iCs w:val="1"/>
          <w:color w:val="465361"/>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 w:lineRule="exact"/>
        <w:rPr>
          <w:sz w:val="20"/>
          <w:szCs w:val="20"/>
          <w:color w:val="auto"/>
        </w:rPr>
      </w:pPr>
    </w:p>
    <w:p>
      <w:pPr>
        <w:ind w:left="200" w:right="120"/>
        <w:spacing w:after="0" w:line="288" w:lineRule="auto"/>
        <w:rPr>
          <w:sz w:val="20"/>
          <w:szCs w:val="20"/>
          <w:color w:val="auto"/>
        </w:rPr>
      </w:pPr>
      <w:r>
        <w:rPr>
          <w:rFonts w:ascii="Arial" w:cs="Arial" w:eastAsia="Arial" w:hAnsi="Arial"/>
          <w:sz w:val="16"/>
          <w:szCs w:val="16"/>
          <w:color w:val="465361"/>
        </w:rPr>
        <w:t>Many of our employees were previously employed at universities or other life science or Ag-Bio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we were a defendant in litigation brought against us and one of our non-executive employees by Thermo Fisher Scientific Inc. (Thermo) alleging, among other claims, misappropriation of proprietary information and breach of contractual and fiduciary obligations. While we resolved our dispute with Thermo in July 2017, if we fail in defending against similar claims brought in the future we could be subject to injunctive relief against us. A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similar claims brought in the future, litigation could result in substantial costs and be a distraction to management.</w:t>
      </w:r>
    </w:p>
    <w:p>
      <w:pPr>
        <w:spacing w:after="0" w:line="169"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465361"/>
        </w:rPr>
        <w:t>We depend on certain technologies that are licensed to us. We do not control these technologies and any loss of our rights to them could prevent us from selling our products, which would have an adverse effect on our business.</w:t>
      </w:r>
    </w:p>
    <w:p>
      <w:pPr>
        <w:spacing w:after="0" w:line="62"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465361"/>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182" w:lineRule="exact"/>
        <w:rPr>
          <w:sz w:val="20"/>
          <w:szCs w:val="20"/>
          <w:color w:val="auto"/>
        </w:rPr>
      </w:pPr>
    </w:p>
    <w:p>
      <w:pPr>
        <w:jc w:val="both"/>
        <w:ind w:left="200" w:right="100"/>
        <w:spacing w:after="0" w:line="286" w:lineRule="auto"/>
        <w:rPr>
          <w:sz w:val="20"/>
          <w:szCs w:val="20"/>
          <w:color w:val="auto"/>
        </w:rPr>
      </w:pPr>
      <w:r>
        <w:rPr>
          <w:rFonts w:ascii="Arial" w:cs="Arial" w:eastAsia="Arial" w:hAnsi="Arial"/>
          <w:sz w:val="17"/>
          <w:szCs w:val="17"/>
          <w:color w:val="465361"/>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66"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465361"/>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465361"/>
        </w:rPr>
        <w:t>S-29</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7" w:lineRule="auto"/>
        <w:rPr>
          <w:sz w:val="20"/>
          <w:szCs w:val="20"/>
          <w:color w:val="auto"/>
        </w:rPr>
      </w:pPr>
      <w:r>
        <w:rPr>
          <w:rFonts w:ascii="Arial" w:cs="Arial" w:eastAsia="Arial" w:hAnsi="Arial"/>
          <w:sz w:val="16"/>
          <w:szCs w:val="16"/>
          <w:color w:val="465361"/>
        </w:rPr>
        <w:t>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465361"/>
        </w:rPr>
        <w:t>We are subject to certain manufacturing restrictions related to licensed technologies that were developed with the financial assistance of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governmental grants.</w:t>
      </w:r>
    </w:p>
    <w:p>
      <w:pPr>
        <w:spacing w:after="0" w:line="103"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465361"/>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S-30</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465361"/>
        </w:rPr>
        <w:t>We may be subject to information technology failures, including data protection breaches and cyber-attacks, that could disrupt our operations, damage our reputation and adversely affect our business, operations, and financial results.</w:t>
      </w:r>
    </w:p>
    <w:p>
      <w:pPr>
        <w:spacing w:after="0" w:line="62"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465361"/>
        </w:rPr>
        <w:t>We rely on our information technology systems for the effective operation of our business and for the secure maintenance and storage of confidential data relating to our business and third-party businesses. Although we have implemented security controls to protect our information technology systems, experienced programmers or hackers may be able to penetrate our security controls, and develop and deploy viruses, worms, and other malicious software programs that compromise our confidential information or that of third parties and cause a disruption or failure of our information technology systems. Any such compromise of our information technology systems could result in the unauthorized publication of our confidential business or proprietary information, result in the unauthorized release of customer, supplier or employee data, result in a violation of privacy or other laws, expose us to a risk of litigation, or damage our reputation.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69" w:lineRule="exact"/>
        <w:rPr>
          <w:sz w:val="20"/>
          <w:szCs w:val="20"/>
          <w:color w:val="auto"/>
        </w:rPr>
      </w:pPr>
    </w:p>
    <w:p>
      <w:pPr>
        <w:ind w:left="200" w:right="220"/>
        <w:spacing w:after="0" w:line="308" w:lineRule="auto"/>
        <w:rPr>
          <w:sz w:val="20"/>
          <w:szCs w:val="20"/>
          <w:color w:val="auto"/>
        </w:rPr>
      </w:pPr>
      <w:r>
        <w:rPr>
          <w:rFonts w:ascii="Arial" w:cs="Arial" w:eastAsia="Arial" w:hAnsi="Arial"/>
          <w:sz w:val="17"/>
          <w:szCs w:val="17"/>
          <w:color w:val="465361"/>
        </w:rPr>
        <w:t>Third parties with which we conduct business have access to certain portions of our sensitive data. In the event that these third parties do not properly safeguard our data that they hold, security breaches could result and negatively impact our business, operations, and financial results.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465361"/>
        </w:rPr>
        <w:t>We are subject to certain obligations and restrictions relating to technologies developed in cooperation with Canadian government agencies.</w:t>
      </w:r>
    </w:p>
    <w:p>
      <w:pPr>
        <w:spacing w:after="0" w:line="140"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465361"/>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S-31</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Risks Related to Our Outstanding Convertible Notes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Our outstanding convertible notes are effectively subordinated to our secured debt and any liabilities of our subsidiaries.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465361"/>
        </w:rPr>
        <w:t>Our outstanding 2014 Notes and 2018 Notes, which, collectively, we refer to as our “Notes”, rank:</w:t>
      </w:r>
    </w:p>
    <w:p>
      <w:pPr>
        <w:spacing w:after="0" w:line="131" w:lineRule="exact"/>
        <w:rPr>
          <w:sz w:val="20"/>
          <w:szCs w:val="20"/>
          <w:color w:val="auto"/>
        </w:rPr>
      </w:pPr>
    </w:p>
    <w:p>
      <w:pPr>
        <w:ind w:left="1400" w:hanging="426"/>
        <w:spacing w:after="0"/>
        <w:tabs>
          <w:tab w:leader="none" w:pos="1400" w:val="left"/>
        </w:tabs>
        <w:numPr>
          <w:ilvl w:val="0"/>
          <w:numId w:val="16"/>
        </w:numPr>
        <w:rPr>
          <w:rFonts w:ascii="Arial" w:cs="Arial" w:eastAsia="Arial" w:hAnsi="Arial"/>
          <w:sz w:val="18"/>
          <w:szCs w:val="18"/>
          <w:color w:val="465361"/>
        </w:rPr>
      </w:pPr>
      <w:r>
        <w:rPr>
          <w:rFonts w:ascii="Arial" w:cs="Arial" w:eastAsia="Arial" w:hAnsi="Arial"/>
          <w:sz w:val="18"/>
          <w:szCs w:val="18"/>
          <w:color w:val="465361"/>
        </w:rPr>
        <w:t>senior in right of payment to any of our indebtedness that is expressly subordinated in right of payment to the Notes;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6"/>
        </w:numPr>
        <w:rPr>
          <w:rFonts w:ascii="Arial" w:cs="Arial" w:eastAsia="Arial" w:hAnsi="Arial"/>
          <w:sz w:val="18"/>
          <w:szCs w:val="18"/>
          <w:color w:val="465361"/>
        </w:rPr>
      </w:pPr>
      <w:r>
        <w:rPr>
          <w:rFonts w:ascii="Arial" w:cs="Arial" w:eastAsia="Arial" w:hAnsi="Arial"/>
          <w:sz w:val="18"/>
          <w:szCs w:val="18"/>
          <w:color w:val="465361"/>
        </w:rPr>
        <w:t>equal in right of payment to all of our liabilities that are not so subordinated;</w:t>
      </w:r>
    </w:p>
    <w:p>
      <w:pPr>
        <w:spacing w:after="0" w:line="130" w:lineRule="exact"/>
        <w:rPr>
          <w:rFonts w:ascii="Arial" w:cs="Arial" w:eastAsia="Arial" w:hAnsi="Arial"/>
          <w:sz w:val="18"/>
          <w:szCs w:val="18"/>
          <w:color w:val="465361"/>
        </w:rPr>
      </w:pPr>
    </w:p>
    <w:p>
      <w:pPr>
        <w:ind w:left="1400" w:right="420" w:hanging="426"/>
        <w:spacing w:after="0" w:line="308" w:lineRule="auto"/>
        <w:tabs>
          <w:tab w:leader="none" w:pos="1400" w:val="left"/>
        </w:tabs>
        <w:numPr>
          <w:ilvl w:val="0"/>
          <w:numId w:val="16"/>
        </w:numPr>
        <w:rPr>
          <w:rFonts w:ascii="Arial" w:cs="Arial" w:eastAsia="Arial" w:hAnsi="Arial"/>
          <w:sz w:val="17"/>
          <w:szCs w:val="17"/>
          <w:color w:val="465361"/>
        </w:rPr>
      </w:pPr>
      <w:r>
        <w:rPr>
          <w:rFonts w:ascii="Arial" w:cs="Arial" w:eastAsia="Arial" w:hAnsi="Arial"/>
          <w:sz w:val="17"/>
          <w:szCs w:val="17"/>
          <w:color w:val="465361"/>
        </w:rPr>
        <w:t>effectively junior in right of payment to any of our secured indebtedness, including, but not limited to, any indebtedness under the Revolving Credit Facility, to the extent of the value of the assets securing such indebtedness; and</w:t>
      </w:r>
    </w:p>
    <w:p>
      <w:pPr>
        <w:spacing w:after="0" w:line="51" w:lineRule="exact"/>
        <w:rPr>
          <w:rFonts w:ascii="Arial" w:cs="Arial" w:eastAsia="Arial" w:hAnsi="Arial"/>
          <w:sz w:val="17"/>
          <w:szCs w:val="17"/>
          <w:color w:val="465361"/>
        </w:rPr>
      </w:pPr>
    </w:p>
    <w:p>
      <w:pPr>
        <w:ind w:left="1400" w:hanging="426"/>
        <w:spacing w:after="0"/>
        <w:tabs>
          <w:tab w:leader="none" w:pos="1400" w:val="left"/>
        </w:tabs>
        <w:numPr>
          <w:ilvl w:val="0"/>
          <w:numId w:val="16"/>
        </w:numPr>
        <w:rPr>
          <w:rFonts w:ascii="Arial" w:cs="Arial" w:eastAsia="Arial" w:hAnsi="Arial"/>
          <w:sz w:val="18"/>
          <w:szCs w:val="18"/>
          <w:color w:val="465361"/>
        </w:rPr>
      </w:pPr>
      <w:r>
        <w:rPr>
          <w:rFonts w:ascii="Arial" w:cs="Arial" w:eastAsia="Arial" w:hAnsi="Arial"/>
          <w:sz w:val="18"/>
          <w:szCs w:val="18"/>
          <w:color w:val="465361"/>
        </w:rPr>
        <w:t>structurally junior to all indebtedness and other liabilities (including trade payables) of our subsidiaries.</w:t>
      </w:r>
    </w:p>
    <w:p>
      <w:pPr>
        <w:spacing w:after="0" w:line="225"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465361"/>
        </w:rPr>
        <w:t>In February 2014, we completed the offering of our 2014 Notes with an aggregate outstanding principal amount of $201.3 million. In March 2018, we completed an exchange of $150.0 million in aggregate principal amount of our 2014 Notes for $150.0 million in aggregate principal amount of our 2018 Notes, leaving approximately $51.3 million in aggregate principal amount of 2014 Notes outstanding. In the event of our bankruptcy, liquidation, reorganization, or other winding up, our assets that secure debt ranks senior in right of payment to Notes will be available to pay obligations on the Notes only after the secured debt, including, but not limited to, any indebtedness under the Revolving Credit Facility,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indentures governing the Notes do not prohibit us from incurring additional senior debt or secured debt, nor do they prohibit our subsidiaries from incurring additional liabilities.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465361"/>
        </w:rPr>
        <w:t>We have incurred additional debt and may still incur substantially more debt or take other actions which would intensify the risks discussed above.</w:t>
      </w:r>
    </w:p>
    <w:p>
      <w:pPr>
        <w:spacing w:after="0" w:line="152"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465361"/>
        </w:rPr>
        <w:t>We are not restricted under the terms of the indentures governing the Notes from incurring additional debt, securing existing or future debt, recapitalizing our debt, or taking a number of other actions that are not limited by the terms of the indentures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applicable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65"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465361"/>
        </w:rPr>
        <w:t>In August 2018, we entered into the Revolving Credit Facility with Silicon Valley Bank, which matures on August 2, 2020. Amounts drawn under the Revolving Credit Facility will be used for working capital and general corporate purposes. While we currently have no outstanding debt under the Revolving Credit Facility, we may incur up to $15.0 million of secured debt pursuant to the Revolving Credit Facility . See Note 4 to the Condensed Consolidated Financial Statements included in our quarterly report on Form 10-Q for the quarter ended September 30, 2018 for more information about the Revolving Credit Facility.</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465361"/>
        </w:rPr>
        <w:t>S-32</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465361"/>
        </w:rPr>
        <w:t>We may not have the ability to raise the funds necessary to repurchase the Notes upon specified dates or upon a fundamental change, and our future debt may contain limitations on our ability to repurchase the Notes.</w:t>
      </w:r>
    </w:p>
    <w:p>
      <w:pPr>
        <w:spacing w:after="0" w:line="62"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465361"/>
        </w:rPr>
        <w:t>Holders of the Notes have the right to require us to repurchase all or a portion of their Notes on certain dates or upon the occurrence of a fundamental change at a repurchase price equal to, for the 2014 Notes, 100% of the principal amount of the 2014 Notes to be repurchased or, for 2018 Notes, 100% of the accreted principal amount (i.e., up to 120% of the outstanding principal amount) of the 2018 Notes to be repurchased, plus, in each case, accrued and unpaid interest, if any. We may not have enough available cash or be able to obtain financing at the time we are required to make repurchases of Notes surrendered therefor.</w:t>
      </w:r>
    </w:p>
    <w:p>
      <w:pPr>
        <w:spacing w:after="0" w:line="188"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465361"/>
        </w:rPr>
        <w:t>In addition, our ability to repurchase the Notes may be limited by law, regulatory authority, or agreements governing our future indebtedness. Our failure to repurchase Notes at a time when the repurchase is required by the applicable indenture would constitute a default under the applicable indenture. A default under the applicable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173"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465361"/>
        </w:rPr>
        <w:t>Any conversions of the Notes will dilute the ownership interest of our existing stockholders, including holders who had previously converted their notes.</w:t>
      </w:r>
    </w:p>
    <w:p>
      <w:pPr>
        <w:spacing w:after="0" w:line="62" w:lineRule="exact"/>
        <w:rPr>
          <w:sz w:val="20"/>
          <w:szCs w:val="20"/>
          <w:color w:val="auto"/>
        </w:rPr>
      </w:pPr>
    </w:p>
    <w:p>
      <w:pPr>
        <w:ind w:left="200" w:right="100"/>
        <w:spacing w:after="0" w:line="288" w:lineRule="auto"/>
        <w:rPr>
          <w:sz w:val="20"/>
          <w:szCs w:val="20"/>
          <w:color w:val="auto"/>
        </w:rPr>
      </w:pPr>
      <w:r>
        <w:rPr>
          <w:rFonts w:ascii="Arial" w:cs="Arial" w:eastAsia="Arial" w:hAnsi="Arial"/>
          <w:sz w:val="16"/>
          <w:szCs w:val="16"/>
          <w:color w:val="465361"/>
        </w:rPr>
        <w:t>Any conversion of some or all of the notes will dilute the ownership interests of our existing stockholders. The initial conversion price under the 2018 Notes is approximately $7.8775 as compared to approximately $55.94 under the 2014 Notes. As a result, each of the outstanding 2018 Notes is initially convertible into 126.9438 shares of our common stock per $1,000 principal amount while our outstanding 2014 Notes are initially convertible into</w:t>
      </w:r>
    </w:p>
    <w:p>
      <w:pPr>
        <w:jc w:val="both"/>
        <w:ind w:left="200" w:right="20"/>
        <w:spacing w:after="0" w:line="302" w:lineRule="auto"/>
        <w:rPr>
          <w:sz w:val="20"/>
          <w:szCs w:val="20"/>
          <w:color w:val="auto"/>
        </w:rPr>
      </w:pPr>
      <w:r>
        <w:rPr>
          <w:rFonts w:ascii="Arial" w:cs="Arial" w:eastAsia="Arial" w:hAnsi="Arial"/>
          <w:sz w:val="16"/>
          <w:szCs w:val="16"/>
          <w:color w:val="465361"/>
        </w:rPr>
        <w:t>17.8750 shares of our common stock per $1,000 principal amount. Issuances of shares of common stock upon conversion of our Notes could depress the market price of our common stock and impair our ability to raise capital through the sale of additional equity securities. In addition, the existence of the Notes may encourage short selling by market participants because the conversion of the Notes could depress the price of our common stock.</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Risks Relating to this Offering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We have broad discretion in the use of the net proceeds from this offering and may not use them effectively.</w:t>
      </w:r>
    </w:p>
    <w:p>
      <w:pPr>
        <w:spacing w:after="0" w:line="117" w:lineRule="exact"/>
        <w:rPr>
          <w:sz w:val="20"/>
          <w:szCs w:val="20"/>
          <w:color w:val="auto"/>
        </w:rPr>
      </w:pPr>
    </w:p>
    <w:p>
      <w:pPr>
        <w:jc w:val="both"/>
        <w:ind w:left="200" w:right="40"/>
        <w:spacing w:after="0" w:line="290" w:lineRule="auto"/>
        <w:rPr>
          <w:sz w:val="20"/>
          <w:szCs w:val="20"/>
          <w:color w:val="auto"/>
        </w:rPr>
      </w:pPr>
      <w:r>
        <w:rPr>
          <w:rFonts w:ascii="Arial" w:cs="Arial" w:eastAsia="Arial" w:hAnsi="Arial"/>
          <w:sz w:val="16"/>
          <w:szCs w:val="16"/>
          <w:color w:val="465361"/>
        </w:rPr>
        <w:t>We have broad discretion in the application of the net proceeds from this offering and could spend the proceeds in ways that do not improve our results of operations or enhance the value of our common stock. We intend to use the net proceeds from this offering for general corporate purposes, including working capital, capital expenditures, and continued research and development with respect to products and technologies. We may also use a portion of the net proceeds of this offering to fund possible investments in or acquisitions of complementary businesses, products, or technologies. As of the date of this prospectus supplement, we have no agreements or commitments to complete any such transaction. We have not allocated these net proceeds for any specific purposes. We might not be able to yield a significant return, if any, on any investment of these net proceeds. Stockholders will not have the opportunity to influence our management’s decisions on how to use the net proceeds, and our failure to apply the funds effectively could have a material adverse effect on our business, delay the development of our product candidates and cause the price of our common stock to decline.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465361"/>
        </w:rPr>
        <w:t>You may experience immediate and substantial dilution in the net tangible book value per share of the common stock you purchase.</w:t>
      </w:r>
    </w:p>
    <w:p>
      <w:pPr>
        <w:spacing w:after="0" w:line="129"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465361"/>
        </w:rPr>
        <w:t>The price per share of our common stock being offered may be higher than the net tangible book value per share of our common stock outstanding prior to this offering. Assuming that an aggregate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S-33</w:t>
      </w:r>
    </w:p>
    <w:p>
      <w:pPr>
        <w:sectPr>
          <w:pgSz w:w="11900" w:h="16838" w:orient="portrait"/>
          <w:cols w:equalWidth="0" w:num="1">
            <w:col w:w="11220"/>
          </w:cols>
          <w:pgMar w:left="240" w:top="459" w:right="4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0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519"/>
        </w:trPr>
        <w:tc>
          <w:tcPr>
            <w:tcW w:w="760" w:type="dxa"/>
            <w:vAlign w:val="bottom"/>
          </w:tcPr>
          <w:p>
            <w:pPr>
              <w:ind w:left="200"/>
              <w:spacing w:after="0"/>
              <w:rPr>
                <w:sz w:val="20"/>
                <w:szCs w:val="20"/>
                <w:color w:val="auto"/>
              </w:rPr>
            </w:pPr>
            <w:r>
              <w:rPr>
                <w:rFonts w:ascii="Arial" w:cs="Arial" w:eastAsia="Arial" w:hAnsi="Arial"/>
                <w:sz w:val="18"/>
                <w:szCs w:val="18"/>
                <w:color w:val="465361"/>
              </w:rPr>
              <w:t>of</w:t>
            </w:r>
          </w:p>
        </w:tc>
        <w:tc>
          <w:tcPr>
            <w:tcW w:w="2680" w:type="dxa"/>
            <w:vAlign w:val="bottom"/>
            <w:gridSpan w:val="2"/>
          </w:tcPr>
          <w:p>
            <w:pPr>
              <w:ind w:left="400"/>
              <w:spacing w:after="0"/>
              <w:rPr>
                <w:sz w:val="20"/>
                <w:szCs w:val="20"/>
                <w:color w:val="auto"/>
              </w:rPr>
            </w:pPr>
            <w:r>
              <w:rPr>
                <w:rFonts w:ascii="Arial" w:cs="Arial" w:eastAsia="Arial" w:hAnsi="Arial"/>
                <w:sz w:val="18"/>
                <w:szCs w:val="18"/>
                <w:color w:val="465361"/>
                <w:w w:val="95"/>
              </w:rPr>
              <w:t>shares are sold at a price of $</w:t>
            </w:r>
          </w:p>
        </w:tc>
        <w:tc>
          <w:tcPr>
            <w:tcW w:w="3340" w:type="dxa"/>
            <w:vAlign w:val="bottom"/>
          </w:tcPr>
          <w:p>
            <w:pPr>
              <w:ind w:left="180"/>
              <w:spacing w:after="0"/>
              <w:rPr>
                <w:sz w:val="20"/>
                <w:szCs w:val="20"/>
                <w:color w:val="auto"/>
              </w:rPr>
            </w:pPr>
            <w:r>
              <w:rPr>
                <w:rFonts w:ascii="Arial" w:cs="Arial" w:eastAsia="Arial" w:hAnsi="Arial"/>
                <w:sz w:val="18"/>
                <w:szCs w:val="18"/>
                <w:color w:val="465361"/>
                <w:w w:val="93"/>
              </w:rPr>
              <w:t>per share, for aggregate net proceeds of $</w:t>
            </w:r>
          </w:p>
        </w:tc>
        <w:tc>
          <w:tcPr>
            <w:tcW w:w="3960" w:type="dxa"/>
            <w:vAlign w:val="bottom"/>
            <w:gridSpan w:val="2"/>
          </w:tcPr>
          <w:p>
            <w:pPr>
              <w:ind w:left="180"/>
              <w:spacing w:after="0"/>
              <w:rPr>
                <w:sz w:val="20"/>
                <w:szCs w:val="20"/>
                <w:color w:val="auto"/>
              </w:rPr>
            </w:pPr>
            <w:r>
              <w:rPr>
                <w:rFonts w:ascii="Arial" w:cs="Arial" w:eastAsia="Arial" w:hAnsi="Arial"/>
                <w:sz w:val="18"/>
                <w:szCs w:val="18"/>
                <w:color w:val="465361"/>
                <w:w w:val="91"/>
              </w:rPr>
              <w:t>in this offering, and after deducting the underwriting</w:t>
            </w:r>
          </w:p>
        </w:tc>
      </w:tr>
      <w:tr>
        <w:trPr>
          <w:trHeight w:val="230"/>
        </w:trPr>
        <w:tc>
          <w:tcPr>
            <w:tcW w:w="8400" w:type="dxa"/>
            <w:vAlign w:val="bottom"/>
            <w:gridSpan w:val="5"/>
          </w:tcPr>
          <w:p>
            <w:pPr>
              <w:ind w:left="200"/>
              <w:spacing w:after="0"/>
              <w:rPr>
                <w:sz w:val="20"/>
                <w:szCs w:val="20"/>
                <w:color w:val="auto"/>
              </w:rPr>
            </w:pPr>
            <w:r>
              <w:rPr>
                <w:rFonts w:ascii="Arial" w:cs="Arial" w:eastAsia="Arial" w:hAnsi="Arial"/>
                <w:sz w:val="18"/>
                <w:szCs w:val="18"/>
                <w:color w:val="465361"/>
                <w:w w:val="93"/>
              </w:rPr>
              <w:t>discount and estimated offering expenses payable by us, you will suffer immediate and substantial dilution of $</w:t>
            </w:r>
          </w:p>
        </w:tc>
        <w:tc>
          <w:tcPr>
            <w:tcW w:w="2340" w:type="dxa"/>
            <w:vAlign w:val="bottom"/>
          </w:tcPr>
          <w:p>
            <w:pPr>
              <w:ind w:left="180"/>
              <w:spacing w:after="0"/>
              <w:rPr>
                <w:sz w:val="20"/>
                <w:szCs w:val="20"/>
                <w:color w:val="auto"/>
              </w:rPr>
            </w:pPr>
            <w:r>
              <w:rPr>
                <w:rFonts w:ascii="Arial" w:cs="Arial" w:eastAsia="Arial" w:hAnsi="Arial"/>
                <w:sz w:val="18"/>
                <w:szCs w:val="18"/>
                <w:color w:val="465361"/>
                <w:w w:val="99"/>
              </w:rPr>
              <w:t>per share, representing the</w:t>
            </w:r>
          </w:p>
        </w:tc>
      </w:tr>
    </w:tbl>
    <w:p>
      <w:pPr>
        <w:ind w:left="200" w:right="160"/>
        <w:spacing w:after="0" w:line="261" w:lineRule="auto"/>
        <w:rPr>
          <w:sz w:val="20"/>
          <w:szCs w:val="20"/>
          <w:color w:val="auto"/>
        </w:rPr>
      </w:pPr>
      <w:r>
        <w:rPr>
          <w:rFonts w:ascii="Arial" w:cs="Arial" w:eastAsia="Arial" w:hAnsi="Arial"/>
          <w:sz w:val="18"/>
          <w:szCs w:val="18"/>
          <w:color w:val="46536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difference between the as adjusted net tangible book value per share of our common stock as of September 30, 2018 after giving effect to this offering and the assumed offering price.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You may experience future dilution as a result of future equity offerings.</w:t>
      </w:r>
    </w:p>
    <w:p>
      <w:pPr>
        <w:spacing w:after="0" w:line="11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465361"/>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15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465361"/>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73"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465361"/>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September 30, 2018, we had 39,315,785 shares of common stock outstanding, and stockholders holding at least 5% of our stock, individually or with affiliated persons or entities, collectively beneficially owned or controlled approximately 70.4% of such shares and one stockholder beneficially owned 32.4% of our outstanding common stock.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 In addition, the concentration of ownership of our outstanding common stock (approximately 70.4% held by our top five stockholders as of September 30, 2018) means that a relatively small number of stockholders have significant control over the outcomes of stockholder voting.</w:t>
      </w:r>
    </w:p>
    <w:p>
      <w:pPr>
        <w:spacing w:after="0" w:line="183"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465361"/>
        </w:rPr>
        <w:t>In addition, the trading price of our common stock may be highly volatile and could be subject to wide fluctuations in response to various factors, some of which are beyond our control. These factors include:</w:t>
      </w:r>
    </w:p>
    <w:p>
      <w:pPr>
        <w:spacing w:after="0" w:line="76" w:lineRule="exact"/>
        <w:rPr>
          <w:sz w:val="20"/>
          <w:szCs w:val="20"/>
          <w:color w:val="auto"/>
        </w:rPr>
      </w:pPr>
    </w:p>
    <w:p>
      <w:pPr>
        <w:ind w:left="1400" w:hanging="426"/>
        <w:spacing w:after="0"/>
        <w:tabs>
          <w:tab w:leader="none" w:pos="140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actual or anticipated quarterly variation in our results of operations or the results of our competitors;</w:t>
      </w:r>
    </w:p>
    <w:p>
      <w:pPr>
        <w:spacing w:after="0" w:line="130" w:lineRule="exact"/>
        <w:rPr>
          <w:rFonts w:ascii="Arial" w:cs="Arial" w:eastAsia="Arial" w:hAnsi="Arial"/>
          <w:sz w:val="18"/>
          <w:szCs w:val="18"/>
          <w:color w:val="465361"/>
        </w:rPr>
      </w:pPr>
    </w:p>
    <w:p>
      <w:pPr>
        <w:ind w:left="1400" w:right="160" w:hanging="426"/>
        <w:spacing w:after="0" w:line="264" w:lineRule="auto"/>
        <w:tabs>
          <w:tab w:leader="none" w:pos="140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86" w:lineRule="exact"/>
        <w:rPr>
          <w:rFonts w:ascii="Arial" w:cs="Arial" w:eastAsia="Arial" w:hAnsi="Arial"/>
          <w:sz w:val="18"/>
          <w:szCs w:val="18"/>
          <w:color w:val="465361"/>
        </w:rPr>
      </w:pPr>
    </w:p>
    <w:p>
      <w:pPr>
        <w:ind w:left="1400" w:hanging="426"/>
        <w:spacing w:after="0"/>
        <w:tabs>
          <w:tab w:leader="none" w:pos="140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issuance of new or changed securities analysts’ reports or recommendations for our stock;</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developments or disputes concerning our intellectual property or other proprietary rights;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commencement of, or our involvement in, litigation;</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465361"/>
        </w:rPr>
        <w:t>S-34</w:t>
      </w:r>
    </w:p>
    <w:p>
      <w:pPr>
        <w:sectPr>
          <w:pgSz w:w="11900" w:h="16838" w:orient="portrait"/>
          <w:cols w:equalWidth="0" w:num="1">
            <w:col w:w="11180"/>
          </w:cols>
          <w:pgMar w:left="240" w:top="446"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hanging="426"/>
        <w:spacing w:after="0"/>
        <w:tabs>
          <w:tab w:leader="none" w:pos="140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market conditions in the life science, Ag-Bio, and CRO sectors;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failure to complete significant sales;</w:t>
      </w:r>
    </w:p>
    <w:p>
      <w:pPr>
        <w:spacing w:after="0" w:line="130" w:lineRule="exact"/>
        <w:rPr>
          <w:rFonts w:ascii="Arial" w:cs="Arial" w:eastAsia="Arial" w:hAnsi="Arial"/>
          <w:sz w:val="18"/>
          <w:szCs w:val="18"/>
          <w:color w:val="465361"/>
        </w:rPr>
      </w:pPr>
    </w:p>
    <w:p>
      <w:pPr>
        <w:ind w:left="1400" w:right="320" w:hanging="426"/>
        <w:spacing w:after="0" w:line="277" w:lineRule="auto"/>
        <w:tabs>
          <w:tab w:leader="none" w:pos="140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manufacturing disruptions that could occur if we were unable to successfully expand our production in our current or an alternative facility;</w:t>
      </w:r>
    </w:p>
    <w:p>
      <w:pPr>
        <w:spacing w:after="0" w:line="75" w:lineRule="exact"/>
        <w:rPr>
          <w:rFonts w:ascii="Arial" w:cs="Arial" w:eastAsia="Arial" w:hAnsi="Arial"/>
          <w:sz w:val="18"/>
          <w:szCs w:val="18"/>
          <w:color w:val="465361"/>
        </w:rPr>
      </w:pPr>
    </w:p>
    <w:p>
      <w:pPr>
        <w:ind w:left="1400" w:hanging="426"/>
        <w:spacing w:after="0"/>
        <w:tabs>
          <w:tab w:leader="none" w:pos="140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any future sales of our common stock or other securities in connection with raising additional capital or otherwise;</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any major change to the composition of our board of directors or management; and</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general economic conditions and slow or negative growth of our markets.</w:t>
      </w:r>
    </w:p>
    <w:p>
      <w:pPr>
        <w:spacing w:after="0" w:line="225"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465361"/>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93"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465361"/>
        </w:rPr>
        <w:t>If securities or industry analysts publish unfavorable research about our business or cease to cover our business, our stock price and/or trading volume could decline.</w:t>
      </w:r>
    </w:p>
    <w:p>
      <w:pPr>
        <w:spacing w:after="0" w:line="62"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465361"/>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8"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465361"/>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73" w:lineRule="exact"/>
        <w:rPr>
          <w:sz w:val="20"/>
          <w:szCs w:val="20"/>
          <w:color w:val="auto"/>
        </w:rPr>
      </w:pPr>
    </w:p>
    <w:p>
      <w:pPr>
        <w:ind w:left="200" w:right="860"/>
        <w:spacing w:after="0" w:line="277" w:lineRule="auto"/>
        <w:rPr>
          <w:sz w:val="20"/>
          <w:szCs w:val="20"/>
          <w:color w:val="auto"/>
        </w:rPr>
      </w:pPr>
      <w:r>
        <w:rPr>
          <w:rFonts w:ascii="Arial" w:cs="Arial" w:eastAsia="Arial" w:hAnsi="Arial"/>
          <w:sz w:val="18"/>
          <w:szCs w:val="18"/>
          <w:color w:val="465361"/>
        </w:rPr>
        <w:t>Provisions in our certificate of incorporation and bylaws may have the effect of delaying or preventing a change of control or changes in our management, including provisions that:</w:t>
      </w:r>
    </w:p>
    <w:p>
      <w:pPr>
        <w:spacing w:after="0" w:line="76" w:lineRule="exact"/>
        <w:rPr>
          <w:sz w:val="20"/>
          <w:szCs w:val="20"/>
          <w:color w:val="auto"/>
        </w:rPr>
      </w:pPr>
    </w:p>
    <w:p>
      <w:pPr>
        <w:ind w:left="1400" w:right="100" w:hanging="426"/>
        <w:spacing w:after="0" w:line="277" w:lineRule="auto"/>
        <w:tabs>
          <w:tab w:leader="none" w:pos="140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authorize our board of directors to issue, without further action by the stockholders, up to 10,000,000 shares of undesignated preferred stock;</w:t>
      </w:r>
    </w:p>
    <w:p>
      <w:pPr>
        <w:spacing w:after="0" w:line="75" w:lineRule="exact"/>
        <w:rPr>
          <w:rFonts w:ascii="Arial" w:cs="Arial" w:eastAsia="Arial" w:hAnsi="Arial"/>
          <w:sz w:val="18"/>
          <w:szCs w:val="18"/>
          <w:color w:val="465361"/>
        </w:rPr>
      </w:pPr>
    </w:p>
    <w:p>
      <w:pPr>
        <w:ind w:left="1400" w:hanging="426"/>
        <w:spacing w:after="0"/>
        <w:tabs>
          <w:tab w:leader="none" w:pos="1400" w:val="left"/>
        </w:tabs>
        <w:numPr>
          <w:ilvl w:val="0"/>
          <w:numId w:val="19"/>
        </w:numPr>
        <w:rPr>
          <w:rFonts w:ascii="Arial" w:cs="Arial" w:eastAsia="Arial" w:hAnsi="Arial"/>
          <w:sz w:val="16"/>
          <w:szCs w:val="16"/>
          <w:color w:val="465361"/>
        </w:rPr>
      </w:pPr>
      <w:r>
        <w:rPr>
          <w:rFonts w:ascii="Arial" w:cs="Arial" w:eastAsia="Arial" w:hAnsi="Arial"/>
          <w:sz w:val="16"/>
          <w:szCs w:val="16"/>
          <w:color w:val="465361"/>
        </w:rPr>
        <w:t>require that any action to be taken by our stockholders be effected at a duly called annual or special meeting and not by written consent;</w:t>
      </w:r>
    </w:p>
    <w:p>
      <w:pPr>
        <w:spacing w:after="0" w:line="153" w:lineRule="exact"/>
        <w:rPr>
          <w:rFonts w:ascii="Arial" w:cs="Arial" w:eastAsia="Arial" w:hAnsi="Arial"/>
          <w:sz w:val="16"/>
          <w:szCs w:val="16"/>
          <w:color w:val="465361"/>
        </w:rPr>
      </w:pPr>
    </w:p>
    <w:p>
      <w:pPr>
        <w:ind w:left="1400" w:right="420" w:hanging="426"/>
        <w:spacing w:after="0" w:line="277" w:lineRule="auto"/>
        <w:tabs>
          <w:tab w:leader="none" w:pos="140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specify that special meetings of our stockholders can be called only by our board of directors, the chairman of the board, the chief executive officer or the president;</w:t>
      </w:r>
    </w:p>
    <w:p>
      <w:pPr>
        <w:spacing w:after="0" w:line="75" w:lineRule="exact"/>
        <w:rPr>
          <w:rFonts w:ascii="Arial" w:cs="Arial" w:eastAsia="Arial" w:hAnsi="Arial"/>
          <w:sz w:val="18"/>
          <w:szCs w:val="18"/>
          <w:color w:val="465361"/>
        </w:rPr>
      </w:pPr>
    </w:p>
    <w:p>
      <w:pPr>
        <w:ind w:left="1400" w:right="80" w:hanging="426"/>
        <w:spacing w:after="0" w:line="277" w:lineRule="auto"/>
        <w:tabs>
          <w:tab w:leader="none" w:pos="140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465361"/>
        </w:rPr>
      </w:pPr>
    </w:p>
    <w:p>
      <w:pPr>
        <w:ind w:left="1400" w:right="60" w:hanging="426"/>
        <w:spacing w:after="0" w:line="277" w:lineRule="auto"/>
        <w:tabs>
          <w:tab w:leader="none" w:pos="140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establish that our board of directors is divided into three classes, Class I, Class II, and Class III, with each class serving staggered three year terms;</w:t>
      </w:r>
    </w:p>
    <w:p>
      <w:pPr>
        <w:spacing w:after="0" w:line="75" w:lineRule="exact"/>
        <w:rPr>
          <w:rFonts w:ascii="Arial" w:cs="Arial" w:eastAsia="Arial" w:hAnsi="Arial"/>
          <w:sz w:val="18"/>
          <w:szCs w:val="18"/>
          <w:color w:val="465361"/>
        </w:rPr>
      </w:pPr>
    </w:p>
    <w:p>
      <w:pPr>
        <w:ind w:left="1400" w:hanging="426"/>
        <w:spacing w:after="0"/>
        <w:tabs>
          <w:tab w:leader="none" w:pos="140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provide that our directors may be removed only for cause;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465361"/>
        </w:rPr>
        <w:t>S-35</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right="360" w:hanging="426"/>
        <w:spacing w:after="0" w:line="277" w:lineRule="auto"/>
        <w:tabs>
          <w:tab w:leader="none" w:pos="140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provide that vacancies on our board of directors may be filled only by a majority of directors then in office, even though less than a quorum;</w:t>
      </w:r>
    </w:p>
    <w:p>
      <w:pPr>
        <w:spacing w:after="0" w:line="75" w:lineRule="exact"/>
        <w:rPr>
          <w:rFonts w:ascii="Arial" w:cs="Arial" w:eastAsia="Arial" w:hAnsi="Arial"/>
          <w:sz w:val="18"/>
          <w:szCs w:val="18"/>
          <w:color w:val="465361"/>
        </w:rPr>
      </w:pPr>
    </w:p>
    <w:p>
      <w:pPr>
        <w:ind w:left="1400" w:hanging="426"/>
        <w:spacing w:after="0"/>
        <w:tabs>
          <w:tab w:leader="none" w:pos="140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specify that no stockholder is permitted to cumulate votes at any election of directors; and</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require a super-majority of votes to amend certain of the above-mentioned provisions.</w:t>
      </w:r>
    </w:p>
    <w:p>
      <w:pPr>
        <w:spacing w:after="0" w:line="225"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465361"/>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465361"/>
        </w:rPr>
        <w:t>We have never paid cash dividends on our capital stock, and we do not anticipate paying any cash dividends in the foreseeable future.</w:t>
      </w:r>
    </w:p>
    <w:p>
      <w:pPr>
        <w:spacing w:after="0" w:line="129"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465361"/>
        </w:rPr>
        <w:t>We have paid no cash dividends on any of our classes of capital stock to date and currently intend to retain our future earnings to fund the development and growth of our business. In addition, we cannot pay any cash dividends on any of our classes of common stock without approval from the lender under our 2018 Credit Facility, and may become subject to covenants under future debt arrangements that place restrictions on our ability to pay dividends. As a result, capital appreciation, if any, of our common stock will be stockholders’ sole source of gain for the foreseeable future.</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465361"/>
        </w:rPr>
        <w:t>SPECIAL NOTE REGARDING FORWARD-LOOKING STATEMENTS</w:t>
      </w:r>
    </w:p>
    <w:p>
      <w:pPr>
        <w:spacing w:after="0" w:line="229"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465361"/>
        </w:rPr>
        <w:t>This prospectus supplement, the accompanying prospectus and the SEC filings that are incorporated by reference into this prospectus supplement and the accompanying prospectus contain or incorporate by reference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Forward-looking statements include information concerning our possible or assumed future results of operations, business strategies,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Although we believe that we have a reasonable basis for each forward-looking statement contained in this prospectus supplement, the accompanying prospectus and the SEC filings that are incorporated by reference into this prospectus supplement and the accompanying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supplement captioned “Risk Factors” and in the sections of our Annual Report on Form 10-K captioned “Management’s Discussion and Analysis of Financial Condition and Results of Operations” and “Business,” and in the sections of our Quarterly Reports on Form 10-Q captioned “Risk Factors” and “Management’s Discussion and Analysis of Financial Condition and Results of Operations,” as well as other sections in such documents, discuss some of the factors that could contribute to these differences.</w:t>
      </w:r>
    </w:p>
    <w:p>
      <w:pPr>
        <w:spacing w:after="0" w:line="181"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465361"/>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 supplement.</w:t>
      </w:r>
    </w:p>
    <w:p>
      <w:pPr>
        <w:spacing w:after="0" w:line="171" w:lineRule="exact"/>
        <w:rPr>
          <w:sz w:val="20"/>
          <w:szCs w:val="20"/>
          <w:color w:val="auto"/>
        </w:rPr>
      </w:pPr>
    </w:p>
    <w:p>
      <w:pPr>
        <w:ind w:left="200" w:right="120"/>
        <w:spacing w:after="0" w:line="289" w:lineRule="auto"/>
        <w:rPr>
          <w:sz w:val="20"/>
          <w:szCs w:val="20"/>
          <w:color w:val="auto"/>
        </w:rPr>
      </w:pPr>
      <w:r>
        <w:rPr>
          <w:rFonts w:ascii="Arial" w:cs="Arial" w:eastAsia="Arial" w:hAnsi="Arial"/>
          <w:sz w:val="16"/>
          <w:szCs w:val="16"/>
          <w:color w:val="465361"/>
        </w:rPr>
        <w:t>This prospectus supplement, the accompanying prospectus, and the documents incorporated by reference in this prospectus supplement contain market data that we obtained from industry sources, including independent industry publications. In presenting this information, we have also made assumptions based on such data and other similar sources and on our knowledge of, and our experience to date in, the markets for our products. This data involves a number of assumptions and limitations, and you are cautioned not to give undue weight to such estimates. While we believe the market data included in this prospectus supplement is generally reliable, such information is inherently imprecise. In addition, projections, assumptions and estimates of our future performance and the future performance of the industry in which we operate are necessarily subject to a high degree of uncertainty and risk due to a variety of factors, including those described under the heading “Risk Factors” in this prospectus supplement and “Item 1A —Risk Factors” of our most recent report on Form 10-K or 10-Q which is incorporated by reference in this prospectus supplement. These and other factors could cause results to differ materially from those expressed in the estimates made by the independent parties and by us.</w:t>
      </w:r>
    </w:p>
    <w:p>
      <w:pPr>
        <w:spacing w:after="0" w:line="167"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465361"/>
        </w:rPr>
        <w:t>All forward-looking statements are based on information available to us on the date of this prospectus supplement and we will not update any of the forward-looking statements after the date of this prospectus supplement, except as required by law. Our actual results could differ materially from those discussed in this prospectus supplement. The forward-looking statements contained in this prospectus supplement, and other written and oral forward-looking statements made by us from time to time, are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465361"/>
        </w:rPr>
        <w:t>S-37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color w:val="465361"/>
        </w:rPr>
        <w:t>subject to certain risks and uncertainties that could cause actual results to differ materially from those anticipated in the forward-looking statements. Factors that might cause such a difference include, but are not limited to, those discussed in the following discussion and within the section of this prospectus supplement captioned “Risk Factors” beginning on page S-6.</w:t>
      </w:r>
    </w:p>
    <w:p>
      <w:pPr>
        <w:spacing w:after="0" w:line="18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465361"/>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465361"/>
        </w:rPr>
        <w:t>S-38</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465361"/>
        </w:rPr>
        <w:t>USE OF PROCEEDS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6"/>
          <w:szCs w:val="16"/>
          <w:color w:val="465361"/>
        </w:rPr>
        <w:t>We estimate that the net proceeds of this offering, after deducting underwriting discounts and commissions and estimated offering expenses payable by</w:t>
      </w:r>
    </w:p>
    <w:p>
      <w:pPr>
        <w:spacing w:after="0" w:line="46" w:lineRule="exact"/>
        <w:rPr>
          <w:sz w:val="20"/>
          <w:szCs w:val="20"/>
          <w:color w:val="auto"/>
        </w:rPr>
      </w:pPr>
    </w:p>
    <w:p>
      <w:pPr>
        <w:ind w:left="200" w:right="220"/>
        <w:spacing w:after="0" w:line="261" w:lineRule="auto"/>
        <w:rPr>
          <w:sz w:val="20"/>
          <w:szCs w:val="20"/>
          <w:color w:val="auto"/>
        </w:rPr>
      </w:pPr>
      <w:r>
        <w:rPr>
          <w:rFonts w:ascii="Arial" w:cs="Arial" w:eastAsia="Arial" w:hAnsi="Arial"/>
          <w:sz w:val="18"/>
          <w:szCs w:val="18"/>
          <w:color w:val="465361"/>
        </w:rPr>
        <w:t>us, will be approximately $ million (or approximately $ million if the underwriters’ option to acquire additional shares of our common stock is exercised in full).</w:t>
      </w:r>
    </w:p>
    <w:p>
      <w:pPr>
        <w:spacing w:after="0" w:line="184"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465361"/>
        </w:rPr>
        <w:t>We intend to use the net proceeds from this offering for general corporate purposes, including working capital, capital expenditures, and continued research and development with respect to products and technologies. We may also use a portion of the net proceeds of this offering to fund possible investments in or acquisitions of complementary businesses, products, or technologies. As of the date of this prospectus supplement, we have no agreements or commitments to complete any such transaction. Pending these uses, we intend to invest our net proceeds from this offering primarily in investment-grade, interest-bearing instruments.</w:t>
      </w:r>
    </w:p>
    <w:p>
      <w:pPr>
        <w:spacing w:after="0" w:line="18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465361"/>
        </w:rPr>
        <w:t>As of the date of this prospectus supplement, we cannot specify with certainty all of the particular uses for the net proceeds to be received upon the completion of this offering. The amount and timing of our expenditures will depend on several factors, including cash flows from our operations and the anticipated growth of our business. Accordingly, our management will have broad discretion in the application of the net proceeds and investors will be relying on the judgment of our management regarding the application of the proceeds from this offering. We reserve the right to change the use of these proceeds as a result of certain contingencies such as the results of our commercialization efforts, competitive developments, opportunities to acquire products, technologies or businesses and other factors.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465361"/>
        </w:rPr>
        <w:t>S-39</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465361"/>
        </w:rPr>
        <w:t>CERTAIN U.S. FEDERAL INCOME TAX CONSIDERATIONS FOR</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465361"/>
        </w:rPr>
        <w:t>NON-U.S. HOLDERS OF COMMON STOCK</w:t>
      </w:r>
    </w:p>
    <w:p>
      <w:pPr>
        <w:spacing w:after="0" w:line="211"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465361"/>
        </w:rPr>
        <w:t>The following is a summary of the material U.S. federal income tax consequences of the ownership and disposition of our common stock to non-U.S. holders, but does not purport to be a complete analysis of all the potential tax considerations relating thereto. This summary is based upon the provisions of the Internal Revenue Code of 1986, as amended, or the Code, Treasury regulations promulgated thereunder, administrative rulings and judicial decisions, all as of the date hereof. These authorities may be changed, possibly retroactively, so as to result in U.S. federal tax consequences different from those set forth below. We have not sought any ruling from the IRS with respect to the statements made and the conclusions reached in the following summary, and there can be no assurance that the IRS will agree with such statements and conclusions.</w:t>
      </w:r>
    </w:p>
    <w:p>
      <w:pPr>
        <w:spacing w:after="0" w:line="178"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465361"/>
        </w:rPr>
        <w:t>This summary also does not address the tax considerations arising under the laws of any non-U.S., state or local jurisdiction or under U.S. federal gift and estate tax laws, except to the limited extent below. In addition, this discussion does not address tax considerations applicable to an investor’s particular circumstances or to investors that may be subject to special tax rules, including, without limitation:</w:t>
      </w:r>
    </w:p>
    <w:p>
      <w:pPr>
        <w:spacing w:after="0" w:line="87" w:lineRule="exact"/>
        <w:rPr>
          <w:sz w:val="20"/>
          <w:szCs w:val="20"/>
          <w:color w:val="auto"/>
        </w:rPr>
      </w:pPr>
    </w:p>
    <w:p>
      <w:pPr>
        <w:ind w:left="1400" w:hanging="426"/>
        <w:spacing w:after="0"/>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banks, insurance companies or other financial institutions;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persons subject to the alternative minimum tax or net investment income tax;</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tax-exempt organizations or non-U.S. governments or governmental organizations;</w:t>
      </w:r>
    </w:p>
    <w:p>
      <w:pPr>
        <w:spacing w:after="0" w:line="130" w:lineRule="exact"/>
        <w:rPr>
          <w:rFonts w:ascii="Arial" w:cs="Arial" w:eastAsia="Arial" w:hAnsi="Arial"/>
          <w:sz w:val="18"/>
          <w:szCs w:val="18"/>
          <w:color w:val="465361"/>
        </w:rPr>
      </w:pPr>
    </w:p>
    <w:p>
      <w:pPr>
        <w:ind w:left="1400" w:right="20" w:hanging="426"/>
        <w:spacing w:after="0" w:line="277" w:lineRule="auto"/>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controlled foreign corporations, passive foreign investment companies and corporations that accumulate earnings to avoid United States federal income tax;</w:t>
      </w:r>
    </w:p>
    <w:p>
      <w:pPr>
        <w:spacing w:after="0" w:line="75" w:lineRule="exact"/>
        <w:rPr>
          <w:rFonts w:ascii="Arial" w:cs="Arial" w:eastAsia="Arial" w:hAnsi="Arial"/>
          <w:sz w:val="18"/>
          <w:szCs w:val="18"/>
          <w:color w:val="465361"/>
        </w:rPr>
      </w:pPr>
    </w:p>
    <w:p>
      <w:pPr>
        <w:ind w:left="1400" w:hanging="426"/>
        <w:spacing w:after="0"/>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brokers or dealers in securities or currencies;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traders in securities that elect to use a mark-to-market method of accounting for their securities holdings;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21"/>
        </w:numPr>
        <w:rPr>
          <w:rFonts w:ascii="Arial" w:cs="Arial" w:eastAsia="Arial" w:hAnsi="Arial"/>
          <w:sz w:val="16"/>
          <w:szCs w:val="16"/>
          <w:color w:val="465361"/>
        </w:rPr>
      </w:pPr>
      <w:r>
        <w:rPr>
          <w:rFonts w:ascii="Arial" w:cs="Arial" w:eastAsia="Arial" w:hAnsi="Arial"/>
          <w:sz w:val="16"/>
          <w:szCs w:val="16"/>
          <w:color w:val="465361"/>
        </w:rPr>
        <w:t>persons that own, or are deemed to own, more than five percent of our capital stock (except to the extent specifically set forth below);</w:t>
      </w:r>
    </w:p>
    <w:p>
      <w:pPr>
        <w:spacing w:after="0" w:line="153" w:lineRule="exact"/>
        <w:rPr>
          <w:rFonts w:ascii="Arial" w:cs="Arial" w:eastAsia="Arial" w:hAnsi="Arial"/>
          <w:sz w:val="16"/>
          <w:szCs w:val="16"/>
          <w:color w:val="465361"/>
        </w:rPr>
      </w:pPr>
    </w:p>
    <w:p>
      <w:pPr>
        <w:ind w:left="1400" w:hanging="426"/>
        <w:spacing w:after="0"/>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certain former citizens or long-term residents of the United States;</w:t>
      </w:r>
    </w:p>
    <w:p>
      <w:pPr>
        <w:spacing w:after="0" w:line="130" w:lineRule="exact"/>
        <w:rPr>
          <w:rFonts w:ascii="Arial" w:cs="Arial" w:eastAsia="Arial" w:hAnsi="Arial"/>
          <w:sz w:val="18"/>
          <w:szCs w:val="18"/>
          <w:color w:val="465361"/>
        </w:rPr>
      </w:pPr>
    </w:p>
    <w:p>
      <w:pPr>
        <w:ind w:left="1400" w:right="240" w:hanging="426"/>
        <w:spacing w:after="0" w:line="277" w:lineRule="auto"/>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entities or arrangements classified as partnerships for U.S. federal income tax purposes and other pass-through entities (and investors therein);</w:t>
      </w:r>
    </w:p>
    <w:p>
      <w:pPr>
        <w:spacing w:after="0" w:line="75" w:lineRule="exact"/>
        <w:rPr>
          <w:rFonts w:ascii="Arial" w:cs="Arial" w:eastAsia="Arial" w:hAnsi="Arial"/>
          <w:sz w:val="18"/>
          <w:szCs w:val="18"/>
          <w:color w:val="465361"/>
        </w:rPr>
      </w:pPr>
    </w:p>
    <w:p>
      <w:pPr>
        <w:ind w:left="1400" w:right="100" w:hanging="426"/>
        <w:spacing w:after="0" w:line="277" w:lineRule="auto"/>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persons who hold our common stock as a position in a hedging transaction, “straddle,” “conversion transaction” or other risk reduction transaction;</w:t>
      </w:r>
    </w:p>
    <w:p>
      <w:pPr>
        <w:spacing w:after="0" w:line="75" w:lineRule="exact"/>
        <w:rPr>
          <w:rFonts w:ascii="Arial" w:cs="Arial" w:eastAsia="Arial" w:hAnsi="Arial"/>
          <w:sz w:val="18"/>
          <w:szCs w:val="18"/>
          <w:color w:val="465361"/>
        </w:rPr>
      </w:pPr>
    </w:p>
    <w:p>
      <w:pPr>
        <w:ind w:left="1400" w:hanging="426"/>
        <w:spacing w:after="0"/>
        <w:tabs>
          <w:tab w:leader="none" w:pos="1400" w:val="left"/>
        </w:tabs>
        <w:numPr>
          <w:ilvl w:val="0"/>
          <w:numId w:val="21"/>
        </w:numPr>
        <w:rPr>
          <w:rFonts w:ascii="Arial" w:cs="Arial" w:eastAsia="Arial" w:hAnsi="Arial"/>
          <w:sz w:val="16"/>
          <w:szCs w:val="16"/>
          <w:color w:val="465361"/>
        </w:rPr>
      </w:pPr>
      <w:r>
        <w:rPr>
          <w:rFonts w:ascii="Arial" w:cs="Arial" w:eastAsia="Arial" w:hAnsi="Arial"/>
          <w:sz w:val="16"/>
          <w:szCs w:val="16"/>
          <w:color w:val="465361"/>
        </w:rPr>
        <w:t>persons who hold or receive our common stock pursuant to the exercise of any employee stock option or otherwise as compensation;</w:t>
      </w:r>
    </w:p>
    <w:p>
      <w:pPr>
        <w:spacing w:after="0" w:line="153" w:lineRule="exact"/>
        <w:rPr>
          <w:rFonts w:ascii="Arial" w:cs="Arial" w:eastAsia="Arial" w:hAnsi="Arial"/>
          <w:sz w:val="16"/>
          <w:szCs w:val="16"/>
          <w:color w:val="465361"/>
        </w:rPr>
      </w:pPr>
    </w:p>
    <w:p>
      <w:pPr>
        <w:ind w:left="1400" w:hanging="426"/>
        <w:spacing w:after="0"/>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persons who do not hold our common stock as a capital asset (within the meaning of Section 1221 of the Code); or</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persons deemed to sell our common stock under the constructive sale provisions of the Code.</w:t>
      </w:r>
    </w:p>
    <w:p>
      <w:pPr>
        <w:spacing w:after="0" w:line="225"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465361"/>
        </w:rPr>
        <w:t>In addition, if a partnership or entity or arrangement classified as a partnership for U.S. federal income tax purposes holds our common stock, the tax treatment of a partner generally will depend on the status of the partner and upon the activities of the partnership. Accordingly, partnerships that hold our common stock, and partners in such partnerships, should consult their tax advisors.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465361"/>
        </w:rPr>
        <w:t>S-40</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0"/>
        <w:spacing w:after="0" w:line="314" w:lineRule="auto"/>
        <w:rPr>
          <w:sz w:val="20"/>
          <w:szCs w:val="20"/>
          <w:color w:val="auto"/>
        </w:rPr>
      </w:pPr>
      <w:r>
        <w:rPr>
          <w:rFonts w:ascii="Arial" w:cs="Arial" w:eastAsia="Arial" w:hAnsi="Arial"/>
          <w:sz w:val="16"/>
          <w:szCs w:val="16"/>
          <w:b w:val="1"/>
          <w:bCs w:val="1"/>
          <w:color w:val="465361"/>
        </w:rPr>
        <w:t>You are urged to consult your tax advisor with respect to the application of the U.S. federal income tax laws to your particular situation, as well as any tax consequences of the purchase, ownership and disposition of our common stock arising under the U.S. federal income, estate or gift tax rules or under the laws of any state, local, non-U.S. or other taxing jurisdiction or under any applicable tax treaty.</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Non-U.S. Holder Defined</w:t>
      </w:r>
    </w:p>
    <w:p>
      <w:pPr>
        <w:spacing w:after="0" w:line="121"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465361"/>
        </w:rPr>
        <w:t>For purposes of this discussion, you are a non-U.S. holder if you are a beneficial owner of our common stock that is not, for U.S. federal income tax purposes:</w:t>
      </w:r>
    </w:p>
    <w:p>
      <w:pPr>
        <w:spacing w:after="0" w:line="76" w:lineRule="exact"/>
        <w:rPr>
          <w:sz w:val="20"/>
          <w:szCs w:val="20"/>
          <w:color w:val="auto"/>
        </w:rPr>
      </w:pPr>
    </w:p>
    <w:p>
      <w:pPr>
        <w:ind w:left="1400" w:hanging="426"/>
        <w:spacing w:after="0"/>
        <w:tabs>
          <w:tab w:leader="none" w:pos="1400" w:val="left"/>
        </w:tabs>
        <w:numPr>
          <w:ilvl w:val="0"/>
          <w:numId w:val="22"/>
        </w:numPr>
        <w:rPr>
          <w:rFonts w:ascii="Arial" w:cs="Arial" w:eastAsia="Arial" w:hAnsi="Arial"/>
          <w:sz w:val="18"/>
          <w:szCs w:val="18"/>
          <w:color w:val="465361"/>
        </w:rPr>
      </w:pPr>
      <w:r>
        <w:rPr>
          <w:rFonts w:ascii="Arial" w:cs="Arial" w:eastAsia="Arial" w:hAnsi="Arial"/>
          <w:sz w:val="18"/>
          <w:szCs w:val="18"/>
          <w:color w:val="465361"/>
        </w:rPr>
        <w:t>an individual citizen or resident of the United States;</w:t>
      </w:r>
    </w:p>
    <w:p>
      <w:pPr>
        <w:spacing w:after="0" w:line="130" w:lineRule="exact"/>
        <w:rPr>
          <w:rFonts w:ascii="Arial" w:cs="Arial" w:eastAsia="Arial" w:hAnsi="Arial"/>
          <w:sz w:val="18"/>
          <w:szCs w:val="18"/>
          <w:color w:val="465361"/>
        </w:rPr>
      </w:pPr>
    </w:p>
    <w:p>
      <w:pPr>
        <w:ind w:left="1400" w:right="120" w:hanging="426"/>
        <w:spacing w:after="0" w:line="277" w:lineRule="auto"/>
        <w:tabs>
          <w:tab w:leader="none" w:pos="1400" w:val="left"/>
        </w:tabs>
        <w:numPr>
          <w:ilvl w:val="0"/>
          <w:numId w:val="22"/>
        </w:numPr>
        <w:rPr>
          <w:rFonts w:ascii="Arial" w:cs="Arial" w:eastAsia="Arial" w:hAnsi="Arial"/>
          <w:sz w:val="18"/>
          <w:szCs w:val="18"/>
          <w:color w:val="465361"/>
        </w:rPr>
      </w:pPr>
      <w:r>
        <w:rPr>
          <w:rFonts w:ascii="Arial" w:cs="Arial" w:eastAsia="Arial" w:hAnsi="Arial"/>
          <w:sz w:val="18"/>
          <w:szCs w:val="18"/>
          <w:color w:val="465361"/>
        </w:rPr>
        <w:t>a corporation or other entity taxable as a corporation created or organized in the United States or under the laws of the United States or any political subdivision thereof;</w:t>
      </w:r>
    </w:p>
    <w:p>
      <w:pPr>
        <w:spacing w:after="0" w:line="75" w:lineRule="exact"/>
        <w:rPr>
          <w:rFonts w:ascii="Arial" w:cs="Arial" w:eastAsia="Arial" w:hAnsi="Arial"/>
          <w:sz w:val="18"/>
          <w:szCs w:val="18"/>
          <w:color w:val="465361"/>
        </w:rPr>
      </w:pPr>
    </w:p>
    <w:p>
      <w:pPr>
        <w:ind w:left="1400" w:hanging="426"/>
        <w:spacing w:after="0"/>
        <w:tabs>
          <w:tab w:leader="none" w:pos="1400" w:val="left"/>
        </w:tabs>
        <w:numPr>
          <w:ilvl w:val="0"/>
          <w:numId w:val="22"/>
        </w:numPr>
        <w:rPr>
          <w:rFonts w:ascii="Arial" w:cs="Arial" w:eastAsia="Arial" w:hAnsi="Arial"/>
          <w:sz w:val="18"/>
          <w:szCs w:val="18"/>
          <w:color w:val="465361"/>
        </w:rPr>
      </w:pPr>
      <w:r>
        <w:rPr>
          <w:rFonts w:ascii="Arial" w:cs="Arial" w:eastAsia="Arial" w:hAnsi="Arial"/>
          <w:sz w:val="18"/>
          <w:szCs w:val="18"/>
          <w:color w:val="465361"/>
        </w:rPr>
        <w:t>an estate whose income is subject to U.S. federal income tax regardless of its source; or</w:t>
      </w:r>
    </w:p>
    <w:p>
      <w:pPr>
        <w:spacing w:after="0" w:line="130" w:lineRule="exact"/>
        <w:rPr>
          <w:rFonts w:ascii="Arial" w:cs="Arial" w:eastAsia="Arial" w:hAnsi="Arial"/>
          <w:sz w:val="18"/>
          <w:szCs w:val="18"/>
          <w:color w:val="465361"/>
        </w:rPr>
      </w:pPr>
    </w:p>
    <w:p>
      <w:pPr>
        <w:ind w:left="1400" w:right="80" w:hanging="426"/>
        <w:spacing w:after="0" w:line="308" w:lineRule="auto"/>
        <w:tabs>
          <w:tab w:leader="none" w:pos="1400" w:val="left"/>
        </w:tabs>
        <w:numPr>
          <w:ilvl w:val="0"/>
          <w:numId w:val="22"/>
        </w:numPr>
        <w:rPr>
          <w:rFonts w:ascii="Arial" w:cs="Arial" w:eastAsia="Arial" w:hAnsi="Arial"/>
          <w:sz w:val="17"/>
          <w:szCs w:val="17"/>
          <w:color w:val="465361"/>
        </w:rPr>
      </w:pPr>
      <w:r>
        <w:rPr>
          <w:rFonts w:ascii="Arial" w:cs="Arial" w:eastAsia="Arial" w:hAnsi="Arial"/>
          <w:sz w:val="17"/>
          <w:szCs w:val="17"/>
          <w:color w:val="465361"/>
        </w:rPr>
        <w:t>a trust (x) whose administration is subject to the primary supervision of a U.S. court and which has one or more U.S. persons who have the authority to control all substantial decisions of the trust or (y) which has made an election to be treated as a U.S. person.</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Distributions</w:t>
      </w:r>
    </w:p>
    <w:p>
      <w:pPr>
        <w:spacing w:after="0" w:line="121" w:lineRule="exact"/>
        <w:rPr>
          <w:sz w:val="20"/>
          <w:szCs w:val="20"/>
          <w:color w:val="auto"/>
        </w:rPr>
      </w:pPr>
    </w:p>
    <w:p>
      <w:pPr>
        <w:ind w:left="200" w:right="220"/>
        <w:spacing w:after="0" w:line="276" w:lineRule="auto"/>
        <w:rPr>
          <w:sz w:val="20"/>
          <w:szCs w:val="20"/>
          <w:color w:val="auto"/>
        </w:rPr>
      </w:pPr>
      <w:r>
        <w:rPr>
          <w:rFonts w:ascii="Arial" w:cs="Arial" w:eastAsia="Arial" w:hAnsi="Arial"/>
          <w:sz w:val="17"/>
          <w:szCs w:val="17"/>
          <w:color w:val="465361"/>
        </w:rPr>
        <w:t>We have not made any distributions on our common stock, and we do not plan to make any distributions for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w:t>
      </w:r>
    </w:p>
    <w:p>
      <w:pPr>
        <w:spacing w:after="0" w:line="173" w:lineRule="exact"/>
        <w:rPr>
          <w:sz w:val="20"/>
          <w:szCs w:val="20"/>
          <w:color w:val="auto"/>
        </w:rPr>
      </w:pPr>
    </w:p>
    <w:p>
      <w:pPr>
        <w:ind w:left="200" w:right="100"/>
        <w:spacing w:after="0" w:line="254" w:lineRule="auto"/>
        <w:rPr>
          <w:sz w:val="20"/>
          <w:szCs w:val="20"/>
          <w:color w:val="auto"/>
        </w:rPr>
      </w:pPr>
      <w:r>
        <w:rPr>
          <w:rFonts w:ascii="Arial" w:cs="Arial" w:eastAsia="Arial" w:hAnsi="Arial"/>
          <w:sz w:val="18"/>
          <w:szCs w:val="18"/>
          <w:color w:val="465361"/>
        </w:rPr>
        <w:t>Subject to the discussion below on FATCA, any amount distributed to you that is treated as a dividend generally will be subject to U.S. withholding tax either at a rate of 30% of the gross amount of the dividend or such lower rate as may be specified by an applicable income tax treaty. In order to receive a reduced treaty rate, you must provide us with an IRS Form W-8BEN, IRS Form W-8BEN-E or other appropriate version of IRS Form W-8 certifying qualification for the reduced rate. A non-U.S. holder of shares of our common stock eligible for a reduced rate of U.S. withholding tax pursuant to an income tax treaty may be able to obtain a refund of any excess amounts withheld by filing an appropriate claim for refund with the IRS.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92"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465361"/>
        </w:rPr>
        <w:t>Notwithstanding the preceding paragraph, dividends received by you that are effectively connected with your conduct of a U.S. trade or business (and, if required by an applicable income tax treaty, attributable to a permanent establishment maintained by you in the United States) are generally exempt from such withholding tax. In order to obtain this exemption, you must provide us with an IRS Form W-8ECI properly certifying such exemption. Such effectively connected dividends, although not subject to withholding tax, are taxed at the same graduated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 also be subject to a branch profits tax at a rate of 30% or such lower rate as may be specified by an applicable income tax treaty.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465361"/>
        </w:rPr>
        <w:t>S-41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Gain on Disposition of our Common Stock</w:t>
      </w:r>
    </w:p>
    <w:p>
      <w:pPr>
        <w:spacing w:after="0" w:line="12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465361"/>
        </w:rPr>
        <w:t>Subject to the discussion below regarding backup withholding and FATCA, you generally will not be required to pay U.S. federal income tax on any gain realized upon the sale or other disposition of our common stock unless:</w:t>
      </w:r>
    </w:p>
    <w:p>
      <w:pPr>
        <w:spacing w:after="0" w:line="76" w:lineRule="exact"/>
        <w:rPr>
          <w:sz w:val="20"/>
          <w:szCs w:val="20"/>
          <w:color w:val="auto"/>
        </w:rPr>
      </w:pPr>
    </w:p>
    <w:p>
      <w:pPr>
        <w:ind w:left="1400" w:right="140" w:hanging="426"/>
        <w:spacing w:after="0" w:line="277" w:lineRule="auto"/>
        <w:tabs>
          <w:tab w:leader="none" w:pos="1400" w:val="left"/>
        </w:tabs>
        <w:numPr>
          <w:ilvl w:val="0"/>
          <w:numId w:val="23"/>
        </w:numPr>
        <w:rPr>
          <w:rFonts w:ascii="Arial" w:cs="Arial" w:eastAsia="Arial" w:hAnsi="Arial"/>
          <w:sz w:val="18"/>
          <w:szCs w:val="18"/>
          <w:color w:val="465361"/>
        </w:rPr>
      </w:pPr>
      <w:r>
        <w:rPr>
          <w:rFonts w:ascii="Arial" w:cs="Arial" w:eastAsia="Arial" w:hAnsi="Arial"/>
          <w:sz w:val="18"/>
          <w:szCs w:val="18"/>
          <w:color w:val="465361"/>
        </w:rPr>
        <w:t>the gain is effectively connected with your conduct of a U.S. trade or business (and, if required by an applicable income tax treaty, the gain is attributable to a permanent establishment maintained by you in the United States);</w:t>
      </w:r>
    </w:p>
    <w:p>
      <w:pPr>
        <w:spacing w:after="0" w:line="75" w:lineRule="exact"/>
        <w:rPr>
          <w:rFonts w:ascii="Arial" w:cs="Arial" w:eastAsia="Arial" w:hAnsi="Arial"/>
          <w:sz w:val="18"/>
          <w:szCs w:val="18"/>
          <w:color w:val="465361"/>
        </w:rPr>
      </w:pPr>
    </w:p>
    <w:p>
      <w:pPr>
        <w:ind w:left="1400" w:right="80" w:hanging="426"/>
        <w:spacing w:after="0" w:line="277" w:lineRule="auto"/>
        <w:tabs>
          <w:tab w:leader="none" w:pos="1400" w:val="left"/>
        </w:tabs>
        <w:numPr>
          <w:ilvl w:val="0"/>
          <w:numId w:val="23"/>
        </w:numPr>
        <w:rPr>
          <w:rFonts w:ascii="Arial" w:cs="Arial" w:eastAsia="Arial" w:hAnsi="Arial"/>
          <w:sz w:val="18"/>
          <w:szCs w:val="18"/>
          <w:color w:val="465361"/>
        </w:rPr>
      </w:pPr>
      <w:r>
        <w:rPr>
          <w:rFonts w:ascii="Arial" w:cs="Arial" w:eastAsia="Arial" w:hAnsi="Arial"/>
          <w:sz w:val="18"/>
          <w:szCs w:val="18"/>
          <w:color w:val="465361"/>
        </w:rPr>
        <w:t>you are an individual who is present in the United States for a period or periods aggregating 183 days or more during the calendar year in which the sale or disposition occurs and certain other conditions are met; or</w:t>
      </w:r>
    </w:p>
    <w:p>
      <w:pPr>
        <w:spacing w:after="0" w:line="75" w:lineRule="exact"/>
        <w:rPr>
          <w:rFonts w:ascii="Arial" w:cs="Arial" w:eastAsia="Arial" w:hAnsi="Arial"/>
          <w:sz w:val="18"/>
          <w:szCs w:val="18"/>
          <w:color w:val="465361"/>
        </w:rPr>
      </w:pPr>
    </w:p>
    <w:p>
      <w:pPr>
        <w:ind w:left="1400" w:hanging="426"/>
        <w:spacing w:after="0" w:line="264" w:lineRule="auto"/>
        <w:tabs>
          <w:tab w:leader="none" w:pos="1400" w:val="left"/>
        </w:tabs>
        <w:numPr>
          <w:ilvl w:val="0"/>
          <w:numId w:val="23"/>
        </w:numPr>
        <w:rPr>
          <w:rFonts w:ascii="Arial" w:cs="Arial" w:eastAsia="Arial" w:hAnsi="Arial"/>
          <w:sz w:val="18"/>
          <w:szCs w:val="18"/>
          <w:color w:val="465361"/>
        </w:rPr>
      </w:pPr>
      <w:r>
        <w:rPr>
          <w:rFonts w:ascii="Arial" w:cs="Arial" w:eastAsia="Arial" w:hAnsi="Arial"/>
          <w:sz w:val="18"/>
          <w:szCs w:val="18"/>
          <w:color w:val="465361"/>
        </w:rPr>
        <w:t>our common stock constitutes a U.S. real property interest by reason of our status as a “United States real property holding corporation” for U.S. federal income tax purposes, or USRPHC, at any time within the shorter of the five-year period preceding your disposition of, or your holding period for, our common stock.</w:t>
      </w:r>
    </w:p>
    <w:p>
      <w:pPr>
        <w:spacing w:after="0" w:line="181"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465361"/>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a U.S. real property interests only if you actually or constructively hold more than five percent of such regularly traded common stock at any time during the applicable period described above.</w:t>
      </w:r>
    </w:p>
    <w:p>
      <w:pPr>
        <w:spacing w:after="0" w:line="173" w:lineRule="exact"/>
        <w:rPr>
          <w:sz w:val="20"/>
          <w:szCs w:val="20"/>
          <w:color w:val="auto"/>
        </w:rPr>
      </w:pPr>
    </w:p>
    <w:p>
      <w:pPr>
        <w:ind w:left="200" w:right="160"/>
        <w:spacing w:after="0" w:line="293" w:lineRule="auto"/>
        <w:rPr>
          <w:sz w:val="20"/>
          <w:szCs w:val="20"/>
          <w:color w:val="auto"/>
        </w:rPr>
      </w:pPr>
      <w:r>
        <w:rPr>
          <w:rFonts w:ascii="Arial" w:cs="Arial" w:eastAsia="Arial" w:hAnsi="Arial"/>
          <w:sz w:val="16"/>
          <w:szCs w:val="16"/>
          <w:color w:val="465361"/>
        </w:rPr>
        <w:t>If you are a non-U.S. holder described in the first bullet above, you will be required to pay tax on the net gain derived from the sale under regular graduated U.S. federal income tax rates, and corporate non-U.S. holders described in the first bullet above may be subject to the branch profits tax at a 30% rate or such lower rate as may be specified by an applicable income tax treaty. If you are an individual non-U.S. holder described in the second bullet above, you will be required to pay a flat 30% tax on the gain derived from the sale, which gain may be offset by U.S. source capital losses (even though you are not considered a resident of the United States, provided you have timely filed U.S. federal income tax returns with respect to such losses). You should consult your tax advisor regarding any applicable income tax or other treaties that may provide for different rules.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Backup Withholding and Information Reporting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465361"/>
        </w:rPr>
        <w:t>Generally, we must report annually to the IRS the amount of dividends paid to you, your name and address, and the amount of tax withheld, if any.</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465361"/>
        </w:rPr>
        <w:t>Pursuant to applicable income tax treaties or other agreements, the IRS may make these reports available to tax authorities in your country of residence.</w:t>
      </w:r>
    </w:p>
    <w:p>
      <w:pPr>
        <w:spacing w:after="0" w:line="234"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465361"/>
        </w:rPr>
        <w:t>Payments of dividends or of proceeds on the disposition of stock made to you may be subject to information reporting and backup withholding at a current rate of 24% unless you establish an exemption, for example by properly certifying your non-U.S. status on an IRS Form W-8BEN, IRS Form W-8BEN-E or another appropriate version of IRS Form W8.</w:t>
      </w:r>
    </w:p>
    <w:p>
      <w:pPr>
        <w:spacing w:after="0" w:line="18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465361"/>
        </w:rPr>
        <w:t>Backup withholding is not an additional tax. If withholding results in an overpayment of taxes, a refund or credit may generally be obtained from the IRS, provided that the required information is furnished to the IRS in a timely manner.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S-42</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FATCA</w:t>
      </w:r>
    </w:p>
    <w:p>
      <w:pPr>
        <w:spacing w:after="0" w:line="121"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465361"/>
        </w:rPr>
        <w:t>Provisions of the U.S. federal income tax law commonly referred to as “FATCA”, impose a U.S. federal withholding tax at a rate of 30% on dividends on and, after December 31, 2018, gross proceeds from the sale or other disposition of our common stock paid to a “foreign financial institution” (as specially defined under the FATCA rules), unless such institution enters into an agreement with the U.S. government to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including through satisfaction of the requirements of an intergovernmental agreement between the United States and an applicable foreign country. FATCA also generally imposes a U.S. federal withholding tax of 30% on dividends on and gross proceeds from the sale or other disposition of our common stock paid to a “non-financial foreign entity” (as specially defined for purposes of these rules) unless such entity provides the withholding agent with a certification identifying certain substantial direct and indirect U.S. owners of the entity, certifies that there are none or otherwise establishes an exemption. Non-U.S. holders should consult their own tax advisors regarding the possible implications of this legislation on their investment in our common stock.</w:t>
      </w:r>
    </w:p>
    <w:p>
      <w:pPr>
        <w:spacing w:after="0" w:line="179" w:lineRule="exact"/>
        <w:rPr>
          <w:sz w:val="20"/>
          <w:szCs w:val="20"/>
          <w:color w:val="auto"/>
        </w:rPr>
      </w:pPr>
    </w:p>
    <w:p>
      <w:pPr>
        <w:ind w:left="200" w:right="160"/>
        <w:spacing w:after="0" w:line="314" w:lineRule="auto"/>
        <w:rPr>
          <w:sz w:val="20"/>
          <w:szCs w:val="20"/>
          <w:color w:val="auto"/>
        </w:rPr>
      </w:pPr>
      <w:r>
        <w:rPr>
          <w:rFonts w:ascii="Arial" w:cs="Arial" w:eastAsia="Arial" w:hAnsi="Arial"/>
          <w:sz w:val="16"/>
          <w:szCs w:val="16"/>
          <w:b w:val="1"/>
          <w:bCs w:val="1"/>
          <w:color w:val="465361"/>
        </w:rPr>
        <w:t>The preceding discussion of U.S. federal income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Federal Estate Tax</w:t>
      </w:r>
    </w:p>
    <w:p>
      <w:pPr>
        <w:spacing w:after="0" w:line="12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465361"/>
        </w:rPr>
        <w:t>Our common stock beneficially owned by an individual who is not a citizen or resident of the United States (as defined for U.S. federal estate tax purposes) at the time of death will generally be includable in the decedent’s gross estate for U.S. federal estate tax purposes, unless an applicable estate tax treaty provides otherwise.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465361"/>
        </w:rPr>
        <w:t>UNDERWRITING</w:t>
      </w:r>
    </w:p>
    <w:p>
      <w:pPr>
        <w:spacing w:after="0" w:line="229" w:lineRule="exact"/>
        <w:rPr>
          <w:sz w:val="20"/>
          <w:szCs w:val="20"/>
          <w:color w:val="auto"/>
        </w:rPr>
      </w:pPr>
    </w:p>
    <w:p>
      <w:pPr>
        <w:ind w:left="200" w:right="220"/>
        <w:spacing w:after="0" w:line="286" w:lineRule="auto"/>
        <w:rPr>
          <w:sz w:val="20"/>
          <w:szCs w:val="20"/>
          <w:color w:val="auto"/>
        </w:rPr>
      </w:pPr>
      <w:r>
        <w:rPr>
          <w:rFonts w:ascii="Arial" w:cs="Arial" w:eastAsia="Arial" w:hAnsi="Arial"/>
          <w:sz w:val="17"/>
          <w:szCs w:val="17"/>
          <w:color w:val="465361"/>
        </w:rPr>
        <w:t>Piper Jaffray &amp; Co. is acting as the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our common stock set forth opposite its name below.</w:t>
      </w:r>
    </w:p>
    <w:p>
      <w:pPr>
        <w:spacing w:after="0" w:line="172"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465361"/>
                <w:w w:val="94"/>
              </w:rPr>
              <w:t>Underwriters</w:t>
            </w:r>
          </w:p>
        </w:tc>
        <w:tc>
          <w:tcPr>
            <w:tcW w:w="7260" w:type="dxa"/>
            <w:vAlign w:val="bottom"/>
          </w:tcPr>
          <w:p>
            <w:pPr>
              <w:jc w:val="center"/>
              <w:ind w:left="6628"/>
              <w:spacing w:after="0"/>
              <w:rPr>
                <w:sz w:val="20"/>
                <w:szCs w:val="20"/>
                <w:color w:val="auto"/>
              </w:rPr>
            </w:pPr>
            <w:r>
              <w:rPr>
                <w:rFonts w:ascii="Arial" w:cs="Arial" w:eastAsia="Arial" w:hAnsi="Arial"/>
                <w:sz w:val="14"/>
                <w:szCs w:val="14"/>
                <w:b w:val="1"/>
                <w:bCs w:val="1"/>
                <w:color w:val="465361"/>
                <w:w w:val="98"/>
              </w:rPr>
              <w:t>Number</w:t>
            </w:r>
          </w:p>
        </w:tc>
        <w:tc>
          <w:tcPr>
            <w:tcW w:w="0" w:type="dxa"/>
            <w:vAlign w:val="bottom"/>
          </w:tcPr>
          <w:p>
            <w:pPr>
              <w:spacing w:after="0"/>
              <w:rPr>
                <w:sz w:val="1"/>
                <w:szCs w:val="1"/>
                <w:color w:val="auto"/>
              </w:rPr>
            </w:pPr>
          </w:p>
        </w:tc>
      </w:tr>
      <w:tr>
        <w:trPr>
          <w:trHeight w:val="163"/>
        </w:trPr>
        <w:tc>
          <w:tcPr>
            <w:tcW w:w="840" w:type="dxa"/>
            <w:vAlign w:val="bottom"/>
            <w:tcBorders>
              <w:bottom w:val="single" w:sz="8" w:color="auto"/>
            </w:tcBorders>
            <w:vMerge w:val="continue"/>
          </w:tcPr>
          <w:p>
            <w:pPr>
              <w:spacing w:after="0"/>
              <w:rPr>
                <w:sz w:val="13"/>
                <w:szCs w:val="13"/>
                <w:color w:val="auto"/>
              </w:rPr>
            </w:pPr>
          </w:p>
        </w:tc>
        <w:tc>
          <w:tcPr>
            <w:tcW w:w="7260" w:type="dxa"/>
            <w:vAlign w:val="bottom"/>
          </w:tcPr>
          <w:p>
            <w:pPr>
              <w:jc w:val="center"/>
              <w:ind w:left="6628"/>
              <w:spacing w:after="0" w:line="158" w:lineRule="exact"/>
              <w:rPr>
                <w:sz w:val="20"/>
                <w:szCs w:val="20"/>
                <w:color w:val="auto"/>
              </w:rPr>
            </w:pPr>
            <w:r>
              <w:rPr>
                <w:rFonts w:ascii="Arial" w:cs="Arial" w:eastAsia="Arial" w:hAnsi="Arial"/>
                <w:sz w:val="14"/>
                <w:szCs w:val="14"/>
                <w:b w:val="1"/>
                <w:bCs w:val="1"/>
                <w:color w:val="465361"/>
                <w:w w:val="87"/>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0</wp:posOffset>
            </wp:positionV>
            <wp:extent cx="524827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48275" cy="14605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465361"/>
        </w:rPr>
        <w:t>Piper Jaffray &amp; Co.</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465361"/>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14605</wp:posOffset>
            </wp:positionV>
            <wp:extent cx="4972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465361"/>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-121920</wp:posOffset>
            </wp:positionV>
            <wp:extent cx="5248275"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48275" cy="163195"/>
                    </a:xfrm>
                    <a:prstGeom prst="rect">
                      <a:avLst/>
                    </a:prstGeom>
                    <a:noFill/>
                  </pic:spPr>
                </pic:pic>
              </a:graphicData>
            </a:graphic>
          </wp:anchor>
        </w:drawing>
      </w:r>
    </w:p>
    <w:p>
      <w:pPr>
        <w:spacing w:after="0" w:line="259"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465361"/>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66"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465361"/>
        </w:rPr>
        <w:t>We have agreed to indemnify the several underwriters against certain liabilities, including liabilities under the Securities Act relating to losses or claims resulting from material misstatements in or omissions from this prospectus, the registration statement of which this prospectus is a part, certain free writing prospectuses that may be used in the offering and in any marketing materials used in connection with this offering and to contribute to payments the underwriters may be required to make in respect of those liabilities.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Discounts and Commissions</w:t>
      </w:r>
    </w:p>
    <w:p>
      <w:pPr>
        <w:spacing w:after="0" w:line="121"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465361"/>
        </w:rPr>
        <w:t>The representatives have advised us that the underwriters propose initially to offer the shares to the public at the public offering price set forth on the cover page of this prospectus. After a bona fide offering of the shares of our common stock at the initial public offering price, the public offering price, concession or any other term of this offering may be changed. The underwriters reserve the right to withdraw, cancel or modify offers to the public and to reject orders in whole or in part.</w:t>
      </w:r>
    </w:p>
    <w:p>
      <w:pPr>
        <w:spacing w:after="0" w:line="187"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465361"/>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465361"/>
                <w:w w:val="94"/>
              </w:rPr>
              <w:t>Per Share</w:t>
            </w:r>
          </w:p>
        </w:tc>
        <w:tc>
          <w:tcPr>
            <w:tcW w:w="360" w:type="dxa"/>
            <w:vAlign w:val="bottom"/>
          </w:tcPr>
          <w:p>
            <w:pPr>
              <w:spacing w:after="0"/>
              <w:rPr>
                <w:sz w:val="14"/>
                <w:szCs w:val="14"/>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b w:val="1"/>
                <w:bCs w:val="1"/>
                <w:color w:val="465361"/>
              </w:rPr>
              <w:t>Without</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465361"/>
                <w:w w:val="98"/>
              </w:rPr>
              <w:t>With</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47"/>
              <w:spacing w:after="0"/>
              <w:rPr>
                <w:sz w:val="20"/>
                <w:szCs w:val="20"/>
                <w:color w:val="auto"/>
              </w:rPr>
            </w:pPr>
            <w:r>
              <w:rPr>
                <w:rFonts w:ascii="Arial" w:cs="Arial" w:eastAsia="Arial" w:hAnsi="Arial"/>
                <w:sz w:val="14"/>
                <w:szCs w:val="14"/>
                <w:b w:val="1"/>
                <w:bCs w:val="1"/>
                <w:color w:val="465361"/>
              </w:rPr>
              <w:t>Option</w:t>
            </w:r>
          </w:p>
        </w:tc>
        <w:tc>
          <w:tcPr>
            <w:tcW w:w="380" w:type="dxa"/>
            <w:vAlign w:val="bottom"/>
          </w:tcPr>
          <w:p>
            <w:pPr>
              <w:spacing w:after="0"/>
              <w:rPr>
                <w:sz w:val="14"/>
                <w:szCs w:val="14"/>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465361"/>
                <w:w w:val="93"/>
              </w:rPr>
              <w:t>Option</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465361"/>
              </w:rPr>
              <w:t>Public Offering Price</w:t>
            </w:r>
          </w:p>
        </w:tc>
        <w:tc>
          <w:tcPr>
            <w:tcW w:w="1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465361"/>
                <w:w w:val="71"/>
              </w:rPr>
              <w:t>$</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465361"/>
                <w:w w:val="71"/>
              </w:rPr>
              <w:t>$</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465361"/>
                <w:w w:val="71"/>
              </w:rPr>
              <w:t>$</w:t>
            </w: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465361"/>
              </w:rPr>
              <w:t>Underwriting Discount</w:t>
            </w:r>
          </w:p>
        </w:tc>
        <w:tc>
          <w:tcPr>
            <w:tcW w:w="2240" w:type="dxa"/>
            <w:vAlign w:val="bottom"/>
            <w:gridSpan w:val="2"/>
          </w:tcPr>
          <w:p>
            <w:pPr>
              <w:jc w:val="right"/>
              <w:ind w:right="547"/>
              <w:spacing w:after="0"/>
              <w:rPr>
                <w:sz w:val="20"/>
                <w:szCs w:val="20"/>
                <w:color w:val="auto"/>
              </w:rPr>
            </w:pPr>
            <w:r>
              <w:rPr>
                <w:rFonts w:ascii="Arial" w:cs="Arial" w:eastAsia="Arial" w:hAnsi="Arial"/>
                <w:sz w:val="18"/>
                <w:szCs w:val="18"/>
                <w:color w:val="465361"/>
              </w:rPr>
              <w:t>$</w:t>
            </w:r>
          </w:p>
        </w:tc>
        <w:tc>
          <w:tcPr>
            <w:tcW w:w="1040" w:type="dxa"/>
            <w:vAlign w:val="bottom"/>
            <w:gridSpan w:val="2"/>
          </w:tcPr>
          <w:p>
            <w:pPr>
              <w:jc w:val="right"/>
              <w:ind w:right="527"/>
              <w:spacing w:after="0"/>
              <w:rPr>
                <w:sz w:val="20"/>
                <w:szCs w:val="20"/>
                <w:color w:val="auto"/>
              </w:rPr>
            </w:pPr>
            <w:r>
              <w:rPr>
                <w:rFonts w:ascii="Arial" w:cs="Arial" w:eastAsia="Arial" w:hAnsi="Arial"/>
                <w:sz w:val="18"/>
                <w:szCs w:val="18"/>
                <w:color w:val="465361"/>
              </w:rPr>
              <w:t>$</w:t>
            </w:r>
          </w:p>
        </w:tc>
        <w:tc>
          <w:tcPr>
            <w:tcW w:w="540" w:type="dxa"/>
            <w:vAlign w:val="bottom"/>
            <w:gridSpan w:val="2"/>
          </w:tcPr>
          <w:p>
            <w:pPr>
              <w:jc w:val="right"/>
              <w:ind w:right="7"/>
              <w:spacing w:after="0"/>
              <w:rPr>
                <w:sz w:val="20"/>
                <w:szCs w:val="20"/>
                <w:color w:val="auto"/>
              </w:rPr>
            </w:pPr>
            <w:r>
              <w:rPr>
                <w:rFonts w:ascii="Arial" w:cs="Arial" w:eastAsia="Arial" w:hAnsi="Arial"/>
                <w:sz w:val="18"/>
                <w:szCs w:val="18"/>
                <w:color w:val="465361"/>
              </w:rPr>
              <w:t>$</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465361"/>
              </w:rPr>
              <w:t>Proceeds, before expenses, to us</w:t>
            </w:r>
          </w:p>
        </w:tc>
        <w:tc>
          <w:tcPr>
            <w:tcW w:w="224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465361"/>
              </w:rPr>
              <w:t>$</w:t>
            </w:r>
          </w:p>
        </w:tc>
        <w:tc>
          <w:tcPr>
            <w:tcW w:w="1040" w:type="dxa"/>
            <w:vAlign w:val="bottom"/>
            <w:gridSpan w:val="2"/>
            <w:shd w:val="clear" w:color="auto" w:fill="CCEEFF"/>
          </w:tcPr>
          <w:p>
            <w:pPr>
              <w:jc w:val="right"/>
              <w:ind w:right="527"/>
              <w:spacing w:after="0"/>
              <w:rPr>
                <w:sz w:val="20"/>
                <w:szCs w:val="20"/>
                <w:color w:val="auto"/>
              </w:rPr>
            </w:pPr>
            <w:r>
              <w:rPr>
                <w:rFonts w:ascii="Arial" w:cs="Arial" w:eastAsia="Arial" w:hAnsi="Arial"/>
                <w:sz w:val="18"/>
                <w:szCs w:val="18"/>
                <w:color w:val="465361"/>
              </w:rPr>
              <w:t>$</w:t>
            </w:r>
          </w:p>
        </w:tc>
        <w:tc>
          <w:tcPr>
            <w:tcW w:w="5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465361"/>
              </w:rPr>
              <w:t>$</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080" w:type="dxa"/>
            <w:vAlign w:val="bottom"/>
            <w:gridSpan w:val="8"/>
          </w:tcPr>
          <w:p>
            <w:pPr>
              <w:jc w:val="right"/>
              <w:spacing w:after="0"/>
              <w:rPr>
                <w:sz w:val="20"/>
                <w:szCs w:val="20"/>
                <w:color w:val="auto"/>
              </w:rPr>
            </w:pPr>
            <w:r>
              <w:rPr>
                <w:rFonts w:ascii="Arial" w:cs="Arial" w:eastAsia="Arial" w:hAnsi="Arial"/>
                <w:sz w:val="18"/>
                <w:szCs w:val="18"/>
                <w:color w:val="465361"/>
                <w:w w:val="90"/>
              </w:rPr>
              <w:t>The estimated offering expenses payable by us, exclusive of the underwriting discount and commissions, are approximately $</w:t>
            </w:r>
          </w:p>
        </w:tc>
        <w:tc>
          <w:tcPr>
            <w:tcW w:w="520" w:type="dxa"/>
            <w:vAlign w:val="bottom"/>
          </w:tcPr>
          <w:p>
            <w:pPr>
              <w:jc w:val="right"/>
              <w:ind w:right="59"/>
              <w:spacing w:after="0"/>
              <w:rPr>
                <w:sz w:val="20"/>
                <w:szCs w:val="20"/>
                <w:color w:val="auto"/>
              </w:rPr>
            </w:pPr>
            <w:r>
              <w:rPr>
                <w:rFonts w:ascii="Arial" w:cs="Arial" w:eastAsia="Arial" w:hAnsi="Arial"/>
                <w:sz w:val="18"/>
                <w:szCs w:val="18"/>
                <w:color w:val="465361"/>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440"/>
        <w:spacing w:after="0" w:line="264" w:lineRule="auto"/>
        <w:rPr>
          <w:sz w:val="20"/>
          <w:szCs w:val="20"/>
          <w:color w:val="auto"/>
        </w:rPr>
      </w:pPr>
      <w:r>
        <w:rPr>
          <w:rFonts w:ascii="Arial" w:cs="Arial" w:eastAsia="Arial" w:hAnsi="Arial"/>
          <w:sz w:val="18"/>
          <w:szCs w:val="18"/>
          <w:color w:val="465361"/>
        </w:rPr>
        <w:t>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465361"/>
        </w:rPr>
        <w:t>S-44</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465361"/>
        </w:rPr>
        <w:t>take and pay for all of the shares of common stock offered by this prospectus if any such shares are taken. However, the underwriters are not required to take or pay for the shares covered by the underwriters’ option to purchase additional shares, described below. If an underwriter defaults, the underwriting agreement provides that the purchase commitments of the non-defaulting underwriters may be increased.</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Option to Purchase Additional Shares</w:t>
      </w:r>
    </w:p>
    <w:p>
      <w:pPr>
        <w:spacing w:after="0" w:line="121" w:lineRule="exact"/>
        <w:rPr>
          <w:sz w:val="20"/>
          <w:szCs w:val="20"/>
          <w:color w:val="auto"/>
        </w:rPr>
      </w:pPr>
    </w:p>
    <w:p>
      <w:pPr>
        <w:ind w:left="200"/>
        <w:spacing w:after="0"/>
        <w:tabs>
          <w:tab w:leader="none" w:pos="9500" w:val="left"/>
        </w:tabs>
        <w:rPr>
          <w:sz w:val="20"/>
          <w:szCs w:val="20"/>
          <w:color w:val="auto"/>
        </w:rPr>
      </w:pPr>
      <w:r>
        <w:rPr>
          <w:rFonts w:ascii="Arial" w:cs="Arial" w:eastAsia="Arial" w:hAnsi="Arial"/>
          <w:sz w:val="18"/>
          <w:szCs w:val="18"/>
          <w:color w:val="465361"/>
        </w:rPr>
        <w:t>We have granted to the underwriters an option, exercisable for 30 days from the date of this prospectus, to purchase up to</w:t>
      </w:r>
      <w:r>
        <w:rPr>
          <w:sz w:val="20"/>
          <w:szCs w:val="20"/>
          <w:color w:val="auto"/>
        </w:rPr>
        <w:tab/>
      </w:r>
      <w:r>
        <w:rPr>
          <w:rFonts w:ascii="Arial" w:cs="Arial" w:eastAsia="Arial" w:hAnsi="Arial"/>
          <w:sz w:val="16"/>
          <w:szCs w:val="16"/>
          <w:color w:val="465361"/>
        </w:rPr>
        <w:t>additional shares of</w:t>
      </w:r>
    </w:p>
    <w:p>
      <w:pPr>
        <w:spacing w:after="0" w:line="23" w:lineRule="exact"/>
        <w:rPr>
          <w:sz w:val="20"/>
          <w:szCs w:val="20"/>
          <w:color w:val="auto"/>
        </w:rPr>
      </w:pPr>
    </w:p>
    <w:p>
      <w:pPr>
        <w:jc w:val="both"/>
        <w:ind w:left="200" w:right="20"/>
        <w:spacing w:after="0" w:line="254" w:lineRule="auto"/>
        <w:rPr>
          <w:sz w:val="20"/>
          <w:szCs w:val="20"/>
          <w:color w:val="auto"/>
        </w:rPr>
      </w:pPr>
      <w:r>
        <w:rPr>
          <w:rFonts w:ascii="Arial" w:cs="Arial" w:eastAsia="Arial" w:hAnsi="Arial"/>
          <w:sz w:val="18"/>
          <w:szCs w:val="18"/>
          <w:color w:val="465361"/>
        </w:rPr>
        <w:t>common stock at the public offering price listed on the cover page of this prospectus, less the underwriting discount and commissions. To the extent the option is exercised, each underwriter will become obligated, subject to certain conditions, to purchase about the same percentage of the additional shares of common stock as the number listed next to the underwriter’s name in the table above bears to the total number of shares of common stock listed next to the names of all underwriters in the preceding table.</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No Sales of Similar Securities</w:t>
      </w:r>
    </w:p>
    <w:p>
      <w:pPr>
        <w:spacing w:after="0" w:line="121"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465361"/>
        </w:rPr>
        <w:t>We have agreed not to sell or transfer, without the consent of the representatives, and our executive officers and directors have agreed not to sell or transfer, without the consent of Piper Jaffray &amp; Co., any shares of our common stock or securities convertible into, exchangeable or exercisable for, or that represent the right to receive shares of our common stock, for 75 days after the date of the prospectus used to sell our common stock. Specifically, we and these other persons have agreed, with certain limited exceptions, not to directly or indirectly:</w:t>
      </w:r>
    </w:p>
    <w:p>
      <w:pPr>
        <w:spacing w:after="0" w:line="77" w:lineRule="exact"/>
        <w:rPr>
          <w:sz w:val="20"/>
          <w:szCs w:val="20"/>
          <w:color w:val="auto"/>
        </w:rPr>
      </w:pPr>
    </w:p>
    <w:p>
      <w:pPr>
        <w:ind w:left="1400" w:hanging="426"/>
        <w:spacing w:after="0"/>
        <w:tabs>
          <w:tab w:leader="none" w:pos="1400" w:val="left"/>
        </w:tabs>
        <w:numPr>
          <w:ilvl w:val="0"/>
          <w:numId w:val="24"/>
        </w:numPr>
        <w:rPr>
          <w:rFonts w:ascii="Arial" w:cs="Arial" w:eastAsia="Arial" w:hAnsi="Arial"/>
          <w:sz w:val="18"/>
          <w:szCs w:val="18"/>
          <w:color w:val="465361"/>
        </w:rPr>
      </w:pPr>
      <w:r>
        <w:rPr>
          <w:rFonts w:ascii="Arial" w:cs="Arial" w:eastAsia="Arial" w:hAnsi="Arial"/>
          <w:sz w:val="18"/>
          <w:szCs w:val="18"/>
          <w:color w:val="465361"/>
        </w:rPr>
        <w:t>offer, pledge, announce the intention to sell, sell or contract to sell any shares of our common stock;</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24"/>
        </w:numPr>
        <w:rPr>
          <w:rFonts w:ascii="Arial" w:cs="Arial" w:eastAsia="Arial" w:hAnsi="Arial"/>
          <w:sz w:val="18"/>
          <w:szCs w:val="18"/>
          <w:color w:val="465361"/>
        </w:rPr>
      </w:pPr>
      <w:r>
        <w:rPr>
          <w:rFonts w:ascii="Arial" w:cs="Arial" w:eastAsia="Arial" w:hAnsi="Arial"/>
          <w:sz w:val="18"/>
          <w:szCs w:val="18"/>
          <w:color w:val="465361"/>
        </w:rPr>
        <w:t>sell any option or contract to purchase any shares of our common stock;</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24"/>
        </w:numPr>
        <w:rPr>
          <w:rFonts w:ascii="Arial" w:cs="Arial" w:eastAsia="Arial" w:hAnsi="Arial"/>
          <w:sz w:val="18"/>
          <w:szCs w:val="18"/>
          <w:color w:val="465361"/>
        </w:rPr>
      </w:pPr>
      <w:r>
        <w:rPr>
          <w:rFonts w:ascii="Arial" w:cs="Arial" w:eastAsia="Arial" w:hAnsi="Arial"/>
          <w:sz w:val="18"/>
          <w:szCs w:val="18"/>
          <w:color w:val="465361"/>
        </w:rPr>
        <w:t>purchase any option or contract to sell any shares of our common stock;</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24"/>
        </w:numPr>
        <w:rPr>
          <w:rFonts w:ascii="Arial" w:cs="Arial" w:eastAsia="Arial" w:hAnsi="Arial"/>
          <w:sz w:val="18"/>
          <w:szCs w:val="18"/>
          <w:color w:val="465361"/>
        </w:rPr>
      </w:pPr>
      <w:r>
        <w:rPr>
          <w:rFonts w:ascii="Arial" w:cs="Arial" w:eastAsia="Arial" w:hAnsi="Arial"/>
          <w:sz w:val="18"/>
          <w:szCs w:val="18"/>
          <w:color w:val="465361"/>
        </w:rPr>
        <w:t>grant any option, right or warrant to purchase any shares of our common stock;</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24"/>
        </w:numPr>
        <w:rPr>
          <w:rFonts w:ascii="Arial" w:cs="Arial" w:eastAsia="Arial" w:hAnsi="Arial"/>
          <w:sz w:val="18"/>
          <w:szCs w:val="18"/>
          <w:color w:val="465361"/>
        </w:rPr>
      </w:pPr>
      <w:r>
        <w:rPr>
          <w:rFonts w:ascii="Arial" w:cs="Arial" w:eastAsia="Arial" w:hAnsi="Arial"/>
          <w:sz w:val="18"/>
          <w:szCs w:val="18"/>
          <w:color w:val="465361"/>
        </w:rPr>
        <w:t>make any short sale or otherwise transfer or dispose of any shares of our common stock;</w:t>
      </w:r>
    </w:p>
    <w:p>
      <w:pPr>
        <w:spacing w:after="0" w:line="130" w:lineRule="exact"/>
        <w:rPr>
          <w:rFonts w:ascii="Arial" w:cs="Arial" w:eastAsia="Arial" w:hAnsi="Arial"/>
          <w:sz w:val="18"/>
          <w:szCs w:val="18"/>
          <w:color w:val="465361"/>
        </w:rPr>
      </w:pPr>
    </w:p>
    <w:p>
      <w:pPr>
        <w:ind w:left="1400" w:right="60" w:hanging="426"/>
        <w:spacing w:after="0" w:line="342" w:lineRule="auto"/>
        <w:tabs>
          <w:tab w:leader="none" w:pos="1400" w:val="left"/>
        </w:tabs>
        <w:numPr>
          <w:ilvl w:val="0"/>
          <w:numId w:val="24"/>
        </w:numPr>
        <w:rPr>
          <w:rFonts w:ascii="Arial" w:cs="Arial" w:eastAsia="Arial" w:hAnsi="Arial"/>
          <w:sz w:val="16"/>
          <w:szCs w:val="16"/>
          <w:color w:val="465361"/>
        </w:rPr>
      </w:pPr>
      <w:r>
        <w:rPr>
          <w:rFonts w:ascii="Arial" w:cs="Arial" w:eastAsia="Arial" w:hAnsi="Arial"/>
          <w:sz w:val="16"/>
          <w:szCs w:val="16"/>
          <w:color w:val="465361"/>
        </w:rPr>
        <w:t>enter into any swap or other agreement that transfers, in whole or in part, the economic consequences of ownership of any shares of our common stock whether any such swap or transaction is to be settled by delivery of shares or other securities, in cash or otherwise; or</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Price Stabilization, Short Positions, Penalty Bids and Passive Market Making</w:t>
      </w:r>
    </w:p>
    <w:p>
      <w:pPr>
        <w:spacing w:after="0" w:line="12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465361"/>
        </w:rPr>
        <w:t>Until the distribution of the shares is completed, SEC rules may limit underwriters and selling group members from bidding for and purchasing shares of our common stock. However, the underwriters may engage in transactions that stabilize the price of our common stock, such as bids or purchases to peg, fix or maintain that price.</w:t>
      </w:r>
    </w:p>
    <w:p>
      <w:pPr>
        <w:spacing w:after="0" w:line="181"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465361"/>
        </w:rPr>
        <w:t>In connection with this offering, the underwriters may purchase and sell shares of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acquire additional shares from us or by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their option to acquire additional shares from us.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S-45</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465361"/>
        </w:rPr>
        <w:t>“Naked” short sales are sales in excess of the underwriters’ option to acquire additional shares from us.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our common stock made by the underwriters in the open market prior to the closing of this offering.</w:t>
      </w:r>
    </w:p>
    <w:p>
      <w:pPr>
        <w:spacing w:after="0" w:line="188"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465361"/>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465361"/>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87"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465361"/>
        </w:rPr>
        <w:t>In addition, the underwriters may engage in passive market making transactions in our common stock on the NASDAQ Global Market in connection with this offering during a period before the commencement of offers or sales of common stock and extending through the completion of the distribution of this offering. In general, a passive market maker must display its bid at a price not in excess of the highest independent bid for the security. If all independent bids are lowered below the bid of the passive market maker, however, the bid must then be lowered when purchase limits are exceeded. Net purchases by a passive market maker on each day are limited to a specified percentage of the passive market maker’s average daily trading volume in the common stock during a specified period and must be discontinued when that limit is reached. Passive market making may cause the price of our common stock to be higher than the price that otherwise would exist in the open market in the absence of those transactions. The underwriters are not required to engage in passive market making and may end passive market making activities at any time.</w:t>
      </w:r>
    </w:p>
    <w:p>
      <w:pPr>
        <w:spacing w:after="0" w:line="166" w:lineRule="exact"/>
        <w:rPr>
          <w:sz w:val="20"/>
          <w:szCs w:val="20"/>
          <w:color w:val="auto"/>
        </w:rPr>
      </w:pPr>
    </w:p>
    <w:p>
      <w:pPr>
        <w:ind w:left="200" w:right="520"/>
        <w:spacing w:after="0" w:line="312" w:lineRule="auto"/>
        <w:rPr>
          <w:sz w:val="20"/>
          <w:szCs w:val="20"/>
          <w:color w:val="auto"/>
        </w:rPr>
      </w:pPr>
      <w:r>
        <w:rPr>
          <w:rFonts w:ascii="Arial" w:cs="Arial" w:eastAsia="Arial" w:hAnsi="Arial"/>
          <w:sz w:val="16"/>
          <w:szCs w:val="16"/>
          <w:color w:val="465361"/>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Electronic Offer, Sale and Distribution of Shares</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465361"/>
        </w:rPr>
        <w:t>In connection with this offering, certain of the underwriters or securities dealers may distribute prospectuses by electronic means, such as e-mail. In addition, one or more of the underwriters may facilitate internet distribution for this offering to certain of their Internet subscription customers. Any such underwriter may allocate a limited number of shares for sale to its online brokerage customers. An electronic prospectus is available on the internet websites maintained by any such underwriter. Other than the prospectus in electronic format, the information on the websites of any such underwriter is not part of this prospectus.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Other Relationships</w:t>
      </w:r>
    </w:p>
    <w:p>
      <w:pPr>
        <w:spacing w:after="0" w:line="12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465361"/>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S-46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465361"/>
        </w:rPr>
        <w:t>activities. Certain of the underwriters or their affiliates may in the future engage in investment banking and other commercial dealings with us or our affiliates in the ordinary course of business, for which they may receive customary fees and commissions.</w:t>
      </w:r>
    </w:p>
    <w:p>
      <w:pPr>
        <w:spacing w:after="0" w:line="17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465361"/>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Selling Restrictions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European Economic Area</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465361"/>
        </w:rPr>
        <w:t>In relation to each Member State of the European Economic Area which has implemented the Prospectus Directive, each being referred to as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79" w:lineRule="exact"/>
        <w:rPr>
          <w:sz w:val="20"/>
          <w:szCs w:val="20"/>
          <w:color w:val="auto"/>
        </w:rPr>
      </w:pPr>
    </w:p>
    <w:p>
      <w:pPr>
        <w:ind w:left="660" w:hanging="236"/>
        <w:spacing w:after="0"/>
        <w:tabs>
          <w:tab w:leader="none" w:pos="660" w:val="left"/>
        </w:tabs>
        <w:numPr>
          <w:ilvl w:val="0"/>
          <w:numId w:val="25"/>
        </w:numPr>
        <w:rPr>
          <w:rFonts w:ascii="Arial" w:cs="Arial" w:eastAsia="Arial" w:hAnsi="Arial"/>
          <w:sz w:val="18"/>
          <w:szCs w:val="18"/>
          <w:color w:val="465361"/>
        </w:rPr>
      </w:pPr>
      <w:r>
        <w:rPr>
          <w:rFonts w:ascii="Arial" w:cs="Arial" w:eastAsia="Arial" w:hAnsi="Arial"/>
          <w:sz w:val="18"/>
          <w:szCs w:val="18"/>
          <w:color w:val="465361"/>
        </w:rPr>
        <w:t>to any legal entity which is a qualified investor as defined in the Prospectus Directive;</w:t>
      </w:r>
    </w:p>
    <w:p>
      <w:pPr>
        <w:spacing w:after="0" w:line="117" w:lineRule="exact"/>
        <w:rPr>
          <w:rFonts w:ascii="Arial" w:cs="Arial" w:eastAsia="Arial" w:hAnsi="Arial"/>
          <w:sz w:val="18"/>
          <w:szCs w:val="18"/>
          <w:color w:val="465361"/>
        </w:rPr>
      </w:pPr>
    </w:p>
    <w:p>
      <w:pPr>
        <w:ind w:left="420" w:right="740" w:firstLine="4"/>
        <w:spacing w:after="0" w:line="277" w:lineRule="auto"/>
        <w:tabs>
          <w:tab w:leader="none" w:pos="675" w:val="left"/>
        </w:tabs>
        <w:numPr>
          <w:ilvl w:val="0"/>
          <w:numId w:val="25"/>
        </w:numPr>
        <w:rPr>
          <w:rFonts w:ascii="Arial" w:cs="Arial" w:eastAsia="Arial" w:hAnsi="Arial"/>
          <w:sz w:val="18"/>
          <w:szCs w:val="18"/>
          <w:color w:val="465361"/>
        </w:rPr>
      </w:pPr>
      <w:r>
        <w:rPr>
          <w:rFonts w:ascii="Arial" w:cs="Arial" w:eastAsia="Arial" w:hAnsi="Arial"/>
          <w:sz w:val="18"/>
          <w:szCs w:val="18"/>
          <w:color w:val="465361"/>
        </w:rPr>
        <w:t>to fewer than 150, natural or legal persons (other than qualified investors as defined in the Prospectus Directive), as permitted under the Prospectus Directive, subject to obtaining the prior consent of the representative for any such offer; or</w:t>
      </w:r>
    </w:p>
    <w:p>
      <w:pPr>
        <w:spacing w:after="0" w:line="62" w:lineRule="exact"/>
        <w:rPr>
          <w:rFonts w:ascii="Arial" w:cs="Arial" w:eastAsia="Arial" w:hAnsi="Arial"/>
          <w:sz w:val="18"/>
          <w:szCs w:val="18"/>
          <w:color w:val="465361"/>
        </w:rPr>
      </w:pPr>
    </w:p>
    <w:p>
      <w:pPr>
        <w:ind w:left="420" w:firstLine="4"/>
        <w:spacing w:after="0" w:line="308" w:lineRule="auto"/>
        <w:tabs>
          <w:tab w:leader="none" w:pos="665" w:val="left"/>
        </w:tabs>
        <w:numPr>
          <w:ilvl w:val="0"/>
          <w:numId w:val="25"/>
        </w:numPr>
        <w:rPr>
          <w:rFonts w:ascii="Arial" w:cs="Arial" w:eastAsia="Arial" w:hAnsi="Arial"/>
          <w:sz w:val="17"/>
          <w:szCs w:val="17"/>
          <w:color w:val="465361"/>
        </w:rPr>
      </w:pPr>
      <w:r>
        <w:rPr>
          <w:rFonts w:ascii="Arial" w:cs="Arial" w:eastAsia="Arial" w:hAnsi="Arial"/>
          <w:sz w:val="17"/>
          <w:szCs w:val="17"/>
          <w:color w:val="465361"/>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47" w:lineRule="exact"/>
        <w:rPr>
          <w:sz w:val="20"/>
          <w:szCs w:val="20"/>
          <w:color w:val="auto"/>
        </w:rPr>
      </w:pPr>
    </w:p>
    <w:p>
      <w:pPr>
        <w:ind w:left="200" w:right="160"/>
        <w:spacing w:after="0" w:line="293" w:lineRule="auto"/>
        <w:rPr>
          <w:sz w:val="20"/>
          <w:szCs w:val="20"/>
          <w:color w:val="auto"/>
        </w:rPr>
      </w:pPr>
      <w:r>
        <w:rPr>
          <w:rFonts w:ascii="Arial" w:cs="Arial" w:eastAsia="Arial" w:hAnsi="Arial"/>
          <w:sz w:val="16"/>
          <w:szCs w:val="16"/>
          <w:color w:val="465361"/>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United Kingdom</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465361"/>
        </w:rPr>
        <w:t>Each underwriter has represented and agreed that:</w:t>
      </w:r>
    </w:p>
    <w:p>
      <w:pPr>
        <w:spacing w:after="0" w:line="117" w:lineRule="exact"/>
        <w:rPr>
          <w:sz w:val="20"/>
          <w:szCs w:val="20"/>
          <w:color w:val="auto"/>
        </w:rPr>
      </w:pPr>
    </w:p>
    <w:p>
      <w:pPr>
        <w:ind w:left="420" w:right="80" w:firstLine="4"/>
        <w:spacing w:after="0" w:line="312" w:lineRule="auto"/>
        <w:tabs>
          <w:tab w:leader="none" w:pos="665" w:val="left"/>
        </w:tabs>
        <w:numPr>
          <w:ilvl w:val="0"/>
          <w:numId w:val="26"/>
        </w:numPr>
        <w:rPr>
          <w:rFonts w:ascii="Arial" w:cs="Arial" w:eastAsia="Arial" w:hAnsi="Arial"/>
          <w:sz w:val="16"/>
          <w:szCs w:val="16"/>
          <w:color w:val="465361"/>
        </w:rPr>
      </w:pPr>
      <w:r>
        <w:rPr>
          <w:rFonts w:ascii="Arial" w:cs="Arial" w:eastAsia="Arial" w:hAnsi="Arial"/>
          <w:sz w:val="16"/>
          <w:szCs w:val="16"/>
          <w:color w:val="465361"/>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the shares of our common stock in circumstances in which Section 21(1) of the FSMA does not apply to us; and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S-47</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right="320" w:firstLine="4"/>
        <w:spacing w:after="0" w:line="277" w:lineRule="auto"/>
        <w:tabs>
          <w:tab w:leader="none" w:pos="675" w:val="left"/>
        </w:tabs>
        <w:numPr>
          <w:ilvl w:val="0"/>
          <w:numId w:val="27"/>
        </w:numPr>
        <w:rPr>
          <w:rFonts w:ascii="Arial" w:cs="Arial" w:eastAsia="Arial" w:hAnsi="Arial"/>
          <w:sz w:val="18"/>
          <w:szCs w:val="18"/>
          <w:color w:val="465361"/>
        </w:rPr>
      </w:pPr>
      <w:r>
        <w:rPr>
          <w:rFonts w:ascii="Arial" w:cs="Arial" w:eastAsia="Arial" w:hAnsi="Arial"/>
          <w:sz w:val="18"/>
          <w:szCs w:val="18"/>
          <w:color w:val="465361"/>
        </w:rPr>
        <w:t>it has complied and will comply with all applicable provisions of the FSMA with respect to anything done by it in relation to the shares of our common stock in, from or otherwise involving the United Kingdom.</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Canada</w:t>
      </w:r>
    </w:p>
    <w:p>
      <w:pPr>
        <w:spacing w:after="0" w:line="11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465361"/>
        </w:rPr>
        <w:t>The common stock may be sold only to purchasers purchasing as principal that are both “accredited investors” as defined in National Instrument 45-106 Prospectus and Registration Exemptions and “permitted clients” as defined in National Instrument 31-103 Registration Requirements, Exemptions and Ongoing Registrant Obligations. Any resale of the shares of common stock must be made in accordance with an exemption from the prospectus requirements and in compliance with the registration requirements of applicable securities laws.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Hong Kong</w:t>
      </w:r>
    </w:p>
    <w:p>
      <w:pPr>
        <w:spacing w:after="0" w:line="117"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465361"/>
        </w:rPr>
        <w:t>The common stock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Singapore</w:t>
      </w:r>
    </w:p>
    <w:p>
      <w:pPr>
        <w:spacing w:after="0" w:line="117"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465361"/>
        </w:rPr>
        <w:t>This prospectus has not been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465361"/>
        </w:rPr>
        <w:t>Where the common stock are subscribed or purchased under Section 275 of the SFA by a relevant person which is:</w:t>
      </w:r>
    </w:p>
    <w:p>
      <w:pPr>
        <w:spacing w:after="0" w:line="117" w:lineRule="exact"/>
        <w:rPr>
          <w:sz w:val="20"/>
          <w:szCs w:val="20"/>
          <w:color w:val="auto"/>
        </w:rPr>
      </w:pPr>
    </w:p>
    <w:p>
      <w:pPr>
        <w:ind w:left="420" w:right="40" w:firstLine="4"/>
        <w:spacing w:after="0" w:line="277" w:lineRule="auto"/>
        <w:tabs>
          <w:tab w:leader="none" w:pos="665" w:val="left"/>
        </w:tabs>
        <w:numPr>
          <w:ilvl w:val="0"/>
          <w:numId w:val="28"/>
        </w:numPr>
        <w:rPr>
          <w:rFonts w:ascii="Arial" w:cs="Arial" w:eastAsia="Arial" w:hAnsi="Arial"/>
          <w:sz w:val="18"/>
          <w:szCs w:val="18"/>
          <w:color w:val="465361"/>
        </w:rPr>
      </w:pPr>
      <w:r>
        <w:rPr>
          <w:rFonts w:ascii="Arial" w:cs="Arial" w:eastAsia="Arial" w:hAnsi="Arial"/>
          <w:sz w:val="18"/>
          <w:szCs w:val="18"/>
          <w:color w:val="465361"/>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2" w:lineRule="exact"/>
        <w:rPr>
          <w:rFonts w:ascii="Arial" w:cs="Arial" w:eastAsia="Arial" w:hAnsi="Arial"/>
          <w:sz w:val="18"/>
          <w:szCs w:val="18"/>
          <w:color w:val="465361"/>
        </w:rPr>
      </w:pPr>
    </w:p>
    <w:p>
      <w:pPr>
        <w:ind w:left="420" w:right="40" w:firstLine="4"/>
        <w:spacing w:after="0" w:line="286" w:lineRule="auto"/>
        <w:tabs>
          <w:tab w:leader="none" w:pos="675" w:val="left"/>
        </w:tabs>
        <w:numPr>
          <w:ilvl w:val="0"/>
          <w:numId w:val="28"/>
        </w:numPr>
        <w:rPr>
          <w:rFonts w:ascii="Arial" w:cs="Arial" w:eastAsia="Arial" w:hAnsi="Arial"/>
          <w:sz w:val="17"/>
          <w:szCs w:val="17"/>
          <w:color w:val="465361"/>
        </w:rPr>
      </w:pPr>
      <w:r>
        <w:rPr>
          <w:rFonts w:ascii="Arial" w:cs="Arial" w:eastAsia="Arial" w:hAnsi="Arial"/>
          <w:sz w:val="17"/>
          <w:szCs w:val="17"/>
          <w:color w:val="465361"/>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S-48</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465361"/>
        </w:rPr>
        <w:t>has acquired the shares of common stock pursuant to an offer made under Section 275 of the SFA except:</w:t>
      </w:r>
    </w:p>
    <w:p>
      <w:pPr>
        <w:spacing w:after="0" w:line="117" w:lineRule="exact"/>
        <w:rPr>
          <w:sz w:val="20"/>
          <w:szCs w:val="20"/>
          <w:color w:val="auto"/>
        </w:rPr>
      </w:pPr>
    </w:p>
    <w:p>
      <w:pPr>
        <w:ind w:left="640" w:right="100" w:firstLine="4"/>
        <w:spacing w:after="0" w:line="257" w:lineRule="auto"/>
        <w:tabs>
          <w:tab w:leader="none" w:pos="855" w:val="left"/>
        </w:tabs>
        <w:numPr>
          <w:ilvl w:val="0"/>
          <w:numId w:val="29"/>
        </w:numPr>
        <w:rPr>
          <w:rFonts w:ascii="Arial" w:cs="Arial" w:eastAsia="Arial" w:hAnsi="Arial"/>
          <w:sz w:val="18"/>
          <w:szCs w:val="18"/>
          <w:color w:val="465361"/>
        </w:rPr>
      </w:pPr>
      <w:r>
        <w:rPr>
          <w:rFonts w:ascii="Arial" w:cs="Arial" w:eastAsia="Arial" w:hAnsi="Arial"/>
          <w:sz w:val="18"/>
          <w:szCs w:val="18"/>
          <w:color w:val="465361"/>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80" w:lineRule="exact"/>
        <w:rPr>
          <w:rFonts w:ascii="Arial" w:cs="Arial" w:eastAsia="Arial" w:hAnsi="Arial"/>
          <w:sz w:val="18"/>
          <w:szCs w:val="18"/>
          <w:color w:val="465361"/>
        </w:rPr>
      </w:pPr>
    </w:p>
    <w:p>
      <w:pPr>
        <w:ind w:left="900" w:hanging="256"/>
        <w:spacing w:after="0"/>
        <w:tabs>
          <w:tab w:leader="none" w:pos="900" w:val="left"/>
        </w:tabs>
        <w:numPr>
          <w:ilvl w:val="0"/>
          <w:numId w:val="29"/>
        </w:numPr>
        <w:rPr>
          <w:rFonts w:ascii="Arial" w:cs="Arial" w:eastAsia="Arial" w:hAnsi="Arial"/>
          <w:sz w:val="18"/>
          <w:szCs w:val="18"/>
          <w:color w:val="465361"/>
        </w:rPr>
      </w:pPr>
      <w:r>
        <w:rPr>
          <w:rFonts w:ascii="Arial" w:cs="Arial" w:eastAsia="Arial" w:hAnsi="Arial"/>
          <w:sz w:val="18"/>
          <w:szCs w:val="18"/>
          <w:color w:val="465361"/>
        </w:rPr>
        <w:t>where no consideration is or will be given for the transfer; or</w:t>
      </w:r>
    </w:p>
    <w:p>
      <w:pPr>
        <w:spacing w:after="0" w:line="117" w:lineRule="exact"/>
        <w:rPr>
          <w:rFonts w:ascii="Arial" w:cs="Arial" w:eastAsia="Arial" w:hAnsi="Arial"/>
          <w:sz w:val="18"/>
          <w:szCs w:val="18"/>
          <w:color w:val="465361"/>
        </w:rPr>
      </w:pPr>
    </w:p>
    <w:p>
      <w:pPr>
        <w:ind w:left="960" w:hanging="316"/>
        <w:spacing w:after="0"/>
        <w:tabs>
          <w:tab w:leader="none" w:pos="960" w:val="left"/>
        </w:tabs>
        <w:numPr>
          <w:ilvl w:val="0"/>
          <w:numId w:val="29"/>
        </w:numPr>
        <w:rPr>
          <w:rFonts w:ascii="Arial" w:cs="Arial" w:eastAsia="Arial" w:hAnsi="Arial"/>
          <w:sz w:val="18"/>
          <w:szCs w:val="18"/>
          <w:color w:val="465361"/>
        </w:rPr>
      </w:pPr>
      <w:r>
        <w:rPr>
          <w:rFonts w:ascii="Arial" w:cs="Arial" w:eastAsia="Arial" w:hAnsi="Arial"/>
          <w:sz w:val="18"/>
          <w:szCs w:val="18"/>
          <w:color w:val="465361"/>
        </w:rPr>
        <w:t>where the transfer is by operation of law.</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Switzerland</w:t>
      </w:r>
    </w:p>
    <w:p>
      <w:pPr>
        <w:spacing w:after="0" w:line="11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465361"/>
        </w:rPr>
        <w:t>The common stock may not be publicly offered in Switzerland and will not be listed on the SIX Swiss Exchange, or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193"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465361"/>
        </w:rPr>
        <w:t>Neither this document nor any other offering or marketing material relating to the offering, or the common stock have been or will be filed with or approved by any Swiss regulatory authority. In particular, this document will not be filed with, and the offer of common stock will not be supervised by, the Swiss Financial Market Supervisory Authority, and the offer of shares of common stock has not been and will not be authorized under the Swiss Federal Act on Collective Investment Schemes, or the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common stock.</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United Arab Emirates</w:t>
      </w:r>
    </w:p>
    <w:p>
      <w:pPr>
        <w:spacing w:after="0" w:line="11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465361"/>
        </w:rPr>
        <w:t>This offering has not been approved or licensed by the Central Bank of the United Arab Emirates, or the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or the DFSA, a regulatory authority of the Dubai International Financial Centre, or the DIFC. The offering does not constitute a public offer of securities in the UAE, DIFC and/or any other free zone in accordance with the Commercial Companies Law, Federal Law No 8 of 1984 (as amended), DFSA Offered Securities Rules and NASDAQ Dubai Listing Rules, accordingly, or otherwise. The shares of common stock may not be offered to the public in the UAE and/or any of the free zones.</w:t>
      </w:r>
    </w:p>
    <w:p>
      <w:pPr>
        <w:spacing w:after="0" w:line="189"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465361"/>
        </w:rPr>
        <w:t>The shares of common stock may be offered and issued only to a limited number of investors in the UAE or any of its free zones who qualify as sophisticated investors under the relevant laws and regulations of the UAE or the free zone concerned.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S-49</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France</w:t>
      </w:r>
    </w:p>
    <w:p>
      <w:pPr>
        <w:spacing w:after="0" w:line="117"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465361"/>
        </w:rPr>
        <w:t>This prospectus (including any amendment, supplement or replacement thereto) is not being distributed in the context of a public offering in France within the meaning of Article L. 411-1 of the French Monetary and Financial Code (Code monétaire et financier).</w:t>
      </w:r>
    </w:p>
    <w:p>
      <w:pPr>
        <w:spacing w:after="0" w:line="170" w:lineRule="exact"/>
        <w:rPr>
          <w:sz w:val="20"/>
          <w:szCs w:val="20"/>
          <w:color w:val="auto"/>
        </w:rPr>
      </w:pPr>
    </w:p>
    <w:p>
      <w:pPr>
        <w:ind w:left="200" w:right="760"/>
        <w:spacing w:after="0" w:line="277" w:lineRule="auto"/>
        <w:rPr>
          <w:sz w:val="20"/>
          <w:szCs w:val="20"/>
          <w:color w:val="auto"/>
        </w:rPr>
      </w:pPr>
      <w:r>
        <w:rPr>
          <w:rFonts w:ascii="Arial" w:cs="Arial" w:eastAsia="Arial" w:hAnsi="Arial"/>
          <w:sz w:val="18"/>
          <w:szCs w:val="18"/>
          <w:color w:val="465361"/>
        </w:rPr>
        <w:t>This prospectus has not been and will not be submitted to the French Autorité des marchés financiers, or the AMF, for approval in France and accordingly may not and will not be distributed to the public in France.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465361"/>
        </w:rPr>
        <w:t>Pursuant to Article 211-3 of the AMF General Regulation, French residents are hereby informed that:</w:t>
      </w:r>
    </w:p>
    <w:p>
      <w:pPr>
        <w:spacing w:after="0" w:line="117" w:lineRule="exact"/>
        <w:rPr>
          <w:sz w:val="20"/>
          <w:szCs w:val="20"/>
          <w:color w:val="auto"/>
        </w:rPr>
      </w:pPr>
    </w:p>
    <w:p>
      <w:pPr>
        <w:ind w:left="600" w:hanging="176"/>
        <w:spacing w:after="0"/>
        <w:tabs>
          <w:tab w:leader="none" w:pos="600" w:val="left"/>
        </w:tabs>
        <w:numPr>
          <w:ilvl w:val="0"/>
          <w:numId w:val="30"/>
        </w:numPr>
        <w:rPr>
          <w:rFonts w:ascii="Arial" w:cs="Arial" w:eastAsia="Arial" w:hAnsi="Arial"/>
          <w:sz w:val="18"/>
          <w:szCs w:val="18"/>
          <w:color w:val="465361"/>
        </w:rPr>
      </w:pPr>
      <w:r>
        <w:rPr>
          <w:rFonts w:ascii="Arial" w:cs="Arial" w:eastAsia="Arial" w:hAnsi="Arial"/>
          <w:sz w:val="18"/>
          <w:szCs w:val="18"/>
          <w:color w:val="465361"/>
        </w:rPr>
        <w:t>the transaction does not require a prospectus to be submitted for approval to the AMF;</w:t>
      </w:r>
    </w:p>
    <w:p>
      <w:pPr>
        <w:spacing w:after="0" w:line="117" w:lineRule="exact"/>
        <w:rPr>
          <w:rFonts w:ascii="Arial" w:cs="Arial" w:eastAsia="Arial" w:hAnsi="Arial"/>
          <w:sz w:val="18"/>
          <w:szCs w:val="18"/>
          <w:color w:val="465361"/>
        </w:rPr>
      </w:pPr>
    </w:p>
    <w:p>
      <w:pPr>
        <w:ind w:left="420" w:firstLine="4"/>
        <w:spacing w:after="0" w:line="342" w:lineRule="auto"/>
        <w:tabs>
          <w:tab w:leader="none" w:pos="600" w:val="left"/>
        </w:tabs>
        <w:numPr>
          <w:ilvl w:val="0"/>
          <w:numId w:val="30"/>
        </w:numPr>
        <w:rPr>
          <w:rFonts w:ascii="Arial" w:cs="Arial" w:eastAsia="Arial" w:hAnsi="Arial"/>
          <w:sz w:val="16"/>
          <w:szCs w:val="16"/>
          <w:color w:val="465361"/>
        </w:rPr>
      </w:pPr>
      <w:r>
        <w:rPr>
          <w:rFonts w:ascii="Arial" w:cs="Arial" w:eastAsia="Arial" w:hAnsi="Arial"/>
          <w:sz w:val="16"/>
          <w:szCs w:val="16"/>
          <w:color w:val="465361"/>
        </w:rPr>
        <w:t>persons or entities referred to in Point 2°, Section II of Article L. 411-2 of the Monetary and Financial Code may take part in the transaction solely for their own account, as provided in Articles D. 411-1, D. 734-1, D. 744-1, D. 754-1 and D. 764-1 of the Monetary and Financial Code; and</w:t>
      </w:r>
    </w:p>
    <w:p>
      <w:pPr>
        <w:spacing w:after="0" w:line="15" w:lineRule="exact"/>
        <w:rPr>
          <w:rFonts w:ascii="Arial" w:cs="Arial" w:eastAsia="Arial" w:hAnsi="Arial"/>
          <w:sz w:val="16"/>
          <w:szCs w:val="16"/>
          <w:color w:val="465361"/>
        </w:rPr>
      </w:pPr>
    </w:p>
    <w:p>
      <w:pPr>
        <w:ind w:left="600" w:hanging="176"/>
        <w:spacing w:after="0"/>
        <w:tabs>
          <w:tab w:leader="none" w:pos="600" w:val="left"/>
        </w:tabs>
        <w:numPr>
          <w:ilvl w:val="0"/>
          <w:numId w:val="30"/>
        </w:numPr>
        <w:rPr>
          <w:rFonts w:ascii="Arial" w:cs="Arial" w:eastAsia="Arial" w:hAnsi="Arial"/>
          <w:sz w:val="17"/>
          <w:szCs w:val="17"/>
          <w:color w:val="465361"/>
        </w:rPr>
      </w:pPr>
      <w:r>
        <w:rPr>
          <w:rFonts w:ascii="Arial" w:cs="Arial" w:eastAsia="Arial" w:hAnsi="Arial"/>
          <w:sz w:val="17"/>
          <w:szCs w:val="17"/>
          <w:color w:val="465361"/>
        </w:rPr>
        <w:t>the financial instruments thus acquired cannot be distributed directly or indirectly to the public otherwise than in accordance with Articles L.</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465361"/>
        </w:rPr>
        <w:t>411-1, L. 411-2, L. 412-1 and L. 621-8 to L. 621-8-3 of the Monetary and Financial Code.</w:t>
      </w:r>
    </w:p>
    <w:p>
      <w:pPr>
        <w:spacing w:after="0" w:line="211" w:lineRule="exact"/>
        <w:rPr>
          <w:sz w:val="20"/>
          <w:szCs w:val="20"/>
          <w:color w:val="auto"/>
        </w:rPr>
      </w:pPr>
    </w:p>
    <w:p>
      <w:pPr>
        <w:ind w:left="200" w:right="320"/>
        <w:spacing w:after="0" w:line="279" w:lineRule="auto"/>
        <w:rPr>
          <w:sz w:val="20"/>
          <w:szCs w:val="20"/>
          <w:color w:val="auto"/>
        </w:rPr>
      </w:pPr>
      <w:r>
        <w:rPr>
          <w:rFonts w:ascii="Arial" w:cs="Arial" w:eastAsia="Arial" w:hAnsi="Arial"/>
          <w:sz w:val="17"/>
          <w:szCs w:val="17"/>
          <w:color w:val="465361"/>
        </w:rPr>
        <w:t>This prospectus is not to be further distributed or reproduced (in whole or in part) in France by the recipients of this prospectus. This prospectus has been distributed on the understanding that such recipients will only participate in the issue or sale of our common stock for their own account and undertake not to transfer, directly or indirectly, our common stock to the public in France, other than in compliance with all applicable laws and regulations and in particular with Articles L. 411-1 and L. 411-2 of the French Monetary and Financial Code.</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465361"/>
        </w:rPr>
        <w:t>S-50</w:t>
      </w:r>
    </w:p>
    <w:p>
      <w:pPr>
        <w:sectPr>
          <w:pgSz w:w="11900" w:h="16838" w:orient="portrait"/>
          <w:cols w:equalWidth="0" w:num="1">
            <w:col w:w="11160"/>
          </w:cols>
          <w:pgMar w:left="24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465361"/>
        </w:rPr>
        <w:t>LEGAL MATTERS</w:t>
      </w:r>
    </w:p>
    <w:p>
      <w:pPr>
        <w:spacing w:after="0" w:line="229"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465361"/>
        </w:rPr>
        <w:t>The validity of the shares of common stock offered hereby will be passed upon for us by Wilson Sonsini Goodrich &amp; Rosati, Professional Corporation, Palo Alto, California. Gibson, Dunn &amp; Crutcher LLP, New York, New York, is acting as counsel to the underwriters.</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465361"/>
        </w:rPr>
        <w:t>EXPERTS</w:t>
      </w:r>
    </w:p>
    <w:p>
      <w:pPr>
        <w:spacing w:after="0" w:line="229" w:lineRule="exact"/>
        <w:rPr>
          <w:sz w:val="20"/>
          <w:szCs w:val="20"/>
          <w:color w:val="auto"/>
        </w:rPr>
      </w:pPr>
    </w:p>
    <w:p>
      <w:pPr>
        <w:ind w:left="200" w:right="240"/>
        <w:spacing w:after="0" w:line="279" w:lineRule="auto"/>
        <w:rPr>
          <w:sz w:val="20"/>
          <w:szCs w:val="20"/>
          <w:color w:val="auto"/>
        </w:rPr>
      </w:pPr>
      <w:r>
        <w:rPr>
          <w:rFonts w:ascii="Arial" w:cs="Arial" w:eastAsia="Arial" w:hAnsi="Arial"/>
          <w:sz w:val="17"/>
          <w:szCs w:val="17"/>
          <w:color w:val="465361"/>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2017 have been so incorporated in reliance on the report of PricewaterhouseCoopers LLP, an independent registered public accounting firm, given on the authority of said firm as experts in auditing and accounting.</w:t>
      </w: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465361"/>
        </w:rPr>
        <w:t>WHERE YOU CAN FIND ADDITIONAL INFORMATION</w:t>
      </w:r>
    </w:p>
    <w:p>
      <w:pPr>
        <w:spacing w:after="0" w:line="229"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465361"/>
        </w:rPr>
        <w:t>We file annual, quarterly and other reports, proxy statements and other information with the SEC. Our SEC filings are available to the public over the Internet at the SEC’s website at http://www.sec.gov. You may also read and copy any document we file at the SEC’s Public Reference Room at 100 F Street, NE, Washington, D.C. 20549. Please call the SEC at 1-800-SEC-0330 for further information on the Public Reference Room.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by linking directly from our website at http://www.fluidigm.com under the “About – Investors – SEC Filings” caption. These filings will be available as soon as reasonably practicable after we electronically file such material with, or furnish it to, the SEC. Information contained on our website is not part of this prospectus.</w:t>
      </w:r>
    </w:p>
    <w:p>
      <w:pPr>
        <w:spacing w:after="0" w:line="167"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465361"/>
        </w:rPr>
        <w:t>You should rely only on the information provided in, and incorporated by reference in, this prospectus supplement and the accompanying prospectus and the registration statement. We have not authorized anyone else to provide you with different information. Our securities are not being offered in any state where the offer is not permitted. The information contained in documents that are incorporated by reference in this prospectus supplement is accurate only as of the dates of those documents. Our business, financial condition, results of operations and prospects may have changed since those dates.</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465361"/>
        </w:rPr>
        <w:t>S-51</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465361"/>
        </w:rPr>
        <w:t>INCORPORATION OF CERTAIN INFORMATION BY REFERENCE</w:t>
      </w:r>
    </w:p>
    <w:p>
      <w:pPr>
        <w:spacing w:after="0" w:line="229"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465361"/>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supplement. We incorporate by reference the following information or documents that we have filed with the SEC (excluding those portions of any Form 8-K that are not deemed “filed” pursuant to the General Instructions of Form 8-K):</w:t>
      </w:r>
    </w:p>
    <w:p>
      <w:pPr>
        <w:spacing w:after="0" w:line="77" w:lineRule="exact"/>
        <w:rPr>
          <w:sz w:val="20"/>
          <w:szCs w:val="20"/>
          <w:color w:val="auto"/>
        </w:rPr>
      </w:pPr>
    </w:p>
    <w:p>
      <w:pPr>
        <w:ind w:left="1400" w:right="140" w:hanging="426"/>
        <w:spacing w:after="0" w:line="264" w:lineRule="auto"/>
        <w:tabs>
          <w:tab w:leader="none" w:pos="1400" w:val="left"/>
        </w:tabs>
        <w:numPr>
          <w:ilvl w:val="0"/>
          <w:numId w:val="31"/>
        </w:numPr>
        <w:rPr>
          <w:rFonts w:ascii="Arial" w:cs="Arial" w:eastAsia="Arial" w:hAnsi="Arial"/>
          <w:sz w:val="18"/>
          <w:szCs w:val="18"/>
          <w:color w:val="465361"/>
        </w:rPr>
      </w:pPr>
      <w:r>
        <w:rPr>
          <w:rFonts w:ascii="Arial" w:cs="Arial" w:eastAsia="Arial" w:hAnsi="Arial"/>
          <w:sz w:val="18"/>
          <w:szCs w:val="18"/>
          <w:color w:val="465361"/>
        </w:rPr>
        <w:t>our Annual Report on Form 10-K for the year ended December 31, 2017 filed with the SEC on March 8, 2018, including portions of our definitive Proxy Statement on Schedule 14A, as filed with the SEC on April 27, 2018 in connection with our 2018 annual meeting of stockholders, to the extent specifically incorporated by reference therein;</w:t>
      </w:r>
    </w:p>
    <w:p>
      <w:pPr>
        <w:spacing w:after="0" w:line="86" w:lineRule="exact"/>
        <w:rPr>
          <w:rFonts w:ascii="Arial" w:cs="Arial" w:eastAsia="Arial" w:hAnsi="Arial"/>
          <w:sz w:val="18"/>
          <w:szCs w:val="18"/>
          <w:color w:val="465361"/>
        </w:rPr>
      </w:pPr>
    </w:p>
    <w:p>
      <w:pPr>
        <w:ind w:left="1400" w:hanging="426"/>
        <w:spacing w:after="0"/>
        <w:tabs>
          <w:tab w:leader="none" w:pos="1400" w:val="left"/>
        </w:tabs>
        <w:numPr>
          <w:ilvl w:val="0"/>
          <w:numId w:val="31"/>
        </w:numPr>
        <w:rPr>
          <w:rFonts w:ascii="Arial" w:cs="Arial" w:eastAsia="Arial" w:hAnsi="Arial"/>
          <w:sz w:val="18"/>
          <w:szCs w:val="18"/>
          <w:color w:val="465361"/>
        </w:rPr>
      </w:pPr>
      <w:r>
        <w:rPr>
          <w:rFonts w:ascii="Arial" w:cs="Arial" w:eastAsia="Arial" w:hAnsi="Arial"/>
          <w:sz w:val="18"/>
          <w:szCs w:val="18"/>
          <w:color w:val="465361"/>
        </w:rPr>
        <w:t>our Quarterly Report on Form 10-Q for the quarter ended March 31, 2018 filed with the SEC on May 8, 2018;</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31"/>
        </w:numPr>
        <w:rPr>
          <w:rFonts w:ascii="Arial" w:cs="Arial" w:eastAsia="Arial" w:hAnsi="Arial"/>
          <w:sz w:val="18"/>
          <w:szCs w:val="18"/>
          <w:color w:val="465361"/>
        </w:rPr>
      </w:pPr>
      <w:r>
        <w:rPr>
          <w:rFonts w:ascii="Arial" w:cs="Arial" w:eastAsia="Arial" w:hAnsi="Arial"/>
          <w:sz w:val="18"/>
          <w:szCs w:val="18"/>
          <w:color w:val="465361"/>
        </w:rPr>
        <w:t>our Quarterly Report on Form 10-Q for the quarter ended June 30, 2018 filed with the SEC on August 8, 2018;</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31"/>
        </w:numPr>
        <w:rPr>
          <w:rFonts w:ascii="Arial" w:cs="Arial" w:eastAsia="Arial" w:hAnsi="Arial"/>
          <w:sz w:val="18"/>
          <w:szCs w:val="18"/>
          <w:color w:val="465361"/>
        </w:rPr>
      </w:pPr>
      <w:r>
        <w:rPr>
          <w:rFonts w:ascii="Arial" w:cs="Arial" w:eastAsia="Arial" w:hAnsi="Arial"/>
          <w:sz w:val="18"/>
          <w:szCs w:val="18"/>
          <w:color w:val="465361"/>
        </w:rPr>
        <w:t>our Quarterly Report on Form 10-Q for the quarter ended September 30, 2018 filed with the SEC on November 6, 2018;</w:t>
      </w:r>
    </w:p>
    <w:p>
      <w:pPr>
        <w:spacing w:after="0" w:line="130" w:lineRule="exact"/>
        <w:rPr>
          <w:rFonts w:ascii="Arial" w:cs="Arial" w:eastAsia="Arial" w:hAnsi="Arial"/>
          <w:sz w:val="18"/>
          <w:szCs w:val="18"/>
          <w:color w:val="465361"/>
        </w:rPr>
      </w:pPr>
    </w:p>
    <w:p>
      <w:pPr>
        <w:jc w:val="both"/>
        <w:ind w:left="1400" w:right="100" w:hanging="426"/>
        <w:spacing w:after="0" w:line="264" w:lineRule="auto"/>
        <w:tabs>
          <w:tab w:leader="none" w:pos="1400" w:val="left"/>
        </w:tabs>
        <w:numPr>
          <w:ilvl w:val="0"/>
          <w:numId w:val="31"/>
        </w:numPr>
        <w:rPr>
          <w:rFonts w:ascii="Arial" w:cs="Arial" w:eastAsia="Arial" w:hAnsi="Arial"/>
          <w:sz w:val="18"/>
          <w:szCs w:val="18"/>
          <w:color w:val="465361"/>
        </w:rPr>
      </w:pPr>
      <w:r>
        <w:rPr>
          <w:rFonts w:ascii="Arial" w:cs="Arial" w:eastAsia="Arial" w:hAnsi="Arial"/>
          <w:sz w:val="18"/>
          <w:szCs w:val="18"/>
          <w:color w:val="465361"/>
        </w:rPr>
        <w:t>the description of our common stock contained in our Registration Statement on Form 8-A (File No. 001-34180) filed with the SEC on February 7, 2011, pursuant to Section 12(b) of the Exchange Act, including any amendment or report filed for the purpose of updating such description; and</w:t>
      </w:r>
    </w:p>
    <w:p>
      <w:pPr>
        <w:spacing w:after="0" w:line="86" w:lineRule="exact"/>
        <w:rPr>
          <w:rFonts w:ascii="Arial" w:cs="Arial" w:eastAsia="Arial" w:hAnsi="Arial"/>
          <w:sz w:val="18"/>
          <w:szCs w:val="18"/>
          <w:color w:val="465361"/>
        </w:rPr>
      </w:pPr>
    </w:p>
    <w:p>
      <w:pPr>
        <w:jc w:val="both"/>
        <w:ind w:left="1400" w:right="160" w:hanging="426"/>
        <w:spacing w:after="0" w:line="264" w:lineRule="auto"/>
        <w:tabs>
          <w:tab w:leader="none" w:pos="1400" w:val="left"/>
        </w:tabs>
        <w:numPr>
          <w:ilvl w:val="0"/>
          <w:numId w:val="31"/>
        </w:numPr>
        <w:rPr>
          <w:rFonts w:ascii="Arial" w:cs="Arial" w:eastAsia="Arial" w:hAnsi="Arial"/>
          <w:sz w:val="18"/>
          <w:szCs w:val="18"/>
          <w:color w:val="465361"/>
        </w:rPr>
      </w:pPr>
      <w:r>
        <w:rPr>
          <w:rFonts w:ascii="Arial" w:cs="Arial" w:eastAsia="Arial" w:hAnsi="Arial"/>
          <w:sz w:val="18"/>
          <w:szCs w:val="18"/>
          <w:color w:val="465361"/>
        </w:rPr>
        <w:t>our Current Reports on Form 8-K filed with the SEC on February 7, 2018, March 2, 2018, March 6, 2018, March 13, 2018, March 19, 2018, June 1, 2018, August 2, 2018 (only with respect to information filed under Item 1.01, 2.03, 5.02, and Item 9.01 related thereto), September 20, 2018, and October 31, 2018.</w:t>
      </w:r>
    </w:p>
    <w:p>
      <w:pPr>
        <w:spacing w:after="0" w:line="181"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465361"/>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71"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465361"/>
        </w:rPr>
        <w:t>Any statement contained in any document incorporated by reference herein shall be deemed to be modified or superseded for purposes of this prospectus to the extent that a statement contained in this prospectus or any prospectus supplement modifies or supersedes such statement. Any statement so modified or superseded shall not be deemed, except as so modified or superseded, to constitute a part of this prospectus.</w:t>
      </w:r>
    </w:p>
    <w:p>
      <w:pPr>
        <w:spacing w:after="0" w:line="166"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465361"/>
        </w:rPr>
        <w:t>We will provide without charge to each person, including any beneficial owner, to whom this prospectus is delivered, upon written or oral request, a copy of any or all documents that are incorporated by reference into this prospectus, but not delivered with the prospectus, other than exhibits to such documents unless such exhibits are specifically incorporated by reference into the documents that this prospectus incorporates. You should direct written requests to: Fluidigm Corporation, 7000 Shoreline Court, Suite 100, South San Francisco, CA 94080, Attn: Investor Relations, or you may call us at (650) 266-6000.</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465361"/>
        </w:rPr>
        <w:t>S-52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$125,000,000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1640840</wp:posOffset>
            </wp:positionV>
            <wp:extent cx="14662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200025</wp:posOffset>
            </wp:positionV>
            <wp:extent cx="3704590" cy="12090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70459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Fluidigm Corporation may offer, from time to time,</w:t>
      </w:r>
    </w:p>
    <w:p>
      <w:pPr>
        <w:sectPr>
          <w:pgSz w:w="11900" w:h="16838" w:orient="portrait"/>
          <w:cols w:equalWidth="0" w:num="1">
            <w:col w:w="11220"/>
          </w:cols>
          <w:pgMar w:left="240" w:top="459" w:right="439" w:bottom="1440" w:gutter="0" w:footer="0" w:header="0"/>
        </w:sectPr>
      </w:pPr>
    </w:p>
    <w:p>
      <w:pPr>
        <w:spacing w:after="0" w:line="131"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debt securities</w:t>
      </w:r>
    </w:p>
    <w:p>
      <w:pPr>
        <w:spacing w:after="0" w:line="222" w:lineRule="exact"/>
        <w:rPr>
          <w:sz w:val="20"/>
          <w:szCs w:val="20"/>
          <w:color w:val="auto"/>
        </w:rPr>
      </w:pPr>
    </w:p>
    <w:p>
      <w:pPr>
        <w:sectPr>
          <w:pgSz w:w="11900" w:h="16838" w:orient="portrait"/>
          <w:cols w:equalWidth="0" w:num="4">
            <w:col w:w="2720" w:space="180"/>
            <w:col w:w="3760" w:space="720"/>
            <w:col w:w="60" w:space="200"/>
            <w:col w:w="3580"/>
          </w:cols>
          <w:pgMar w:left="240" w:top="459" w:right="439" w:bottom="1440" w:gutter="0" w:footer="0" w:header="0"/>
          <w:type w:val="continuous"/>
        </w:sectPr>
      </w:pPr>
    </w:p>
    <w:p>
      <w:pPr>
        <w:spacing w:after="0" w:line="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We may from time to time in one or more offerings offer and sell common stock, preferred stock, debt securities, warrants to purchase common stock or preferred stock or debt securities, or any combination of the foregoing, either individually or as units comprised of one or more of the other securities.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aggregate offering price of the securities sold pursuant to this prospectus will not exceed $125,000,000.</w:t>
      </w:r>
    </w:p>
    <w:p>
      <w:pPr>
        <w:spacing w:after="0" w:line="225"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This prospectus may not be used to sell securities unless accompanied by a prospectus supplement, which will describe the method and the terms of the offering. We will provide you with the specific amount, price and terms of the applicable offered securities in one or more supplements to this prospectus. You should read this prospectus and any supplement carefully before you purchase any of our securities.</w:t>
      </w:r>
    </w:p>
    <w:p>
      <w:pPr>
        <w:spacing w:after="0" w:line="166"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Our common stock is listed on the NASDAQ Global Market under the symbol “FLDM.” On March 7, 2017, the last reported sale price on the NASDAQ Global Market was $5.46 per share. There is currently no market for the other securities we may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0" w:firstLine="441"/>
        <w:spacing w:after="0" w:line="261" w:lineRule="auto"/>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Investing in our securities involves risks. Please carefully read the information under the headings “ </w:t>
      </w:r>
      <w:hyperlink w:anchor="page62">
        <w:r>
          <w:rPr>
            <w:rFonts w:ascii="Arial" w:cs="Arial" w:eastAsia="Arial" w:hAnsi="Arial"/>
            <w:sz w:val="21"/>
            <w:szCs w:val="21"/>
            <w:b w:val="1"/>
            <w:bCs w:val="1"/>
            <w:u w:val="single" w:color="auto"/>
            <w:color w:val="0000EE"/>
          </w:rPr>
          <w:t>Risk Factors</w:t>
        </w:r>
        <w:r>
          <w:rPr>
            <w:rFonts w:ascii="Arial" w:cs="Arial" w:eastAsia="Arial" w:hAnsi="Arial"/>
            <w:sz w:val="21"/>
            <w:szCs w:val="21"/>
            <w:b w:val="1"/>
            <w:bCs w:val="1"/>
            <w:u w:val="single" w:color="auto"/>
            <w:color w:val="auto"/>
          </w:rPr>
          <w:t xml:space="preserve"> </w:t>
        </w:r>
      </w:hyperlink>
      <w:r>
        <w:rPr>
          <w:rFonts w:ascii="Arial" w:cs="Arial" w:eastAsia="Arial" w:hAnsi="Arial"/>
          <w:sz w:val="21"/>
          <w:szCs w:val="21"/>
          <w:b w:val="1"/>
          <w:bCs w:val="1"/>
          <w:color w:val="auto"/>
        </w:rPr>
        <w:t>” beginning on page 5 of this prospectus and “Item 1A—Risk Factors” of our most recent report on Form 10-K or 10-Q which is incorporated by reference in this prospectus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200" w:right="60" w:firstLine="441"/>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These securities may be offered and sold to or through one or more underwriters, dealers and agents, or directly to purchasers, on a continuous or delayed basis. If underwriters, dealers, or agents are used to sell the securities, we will name them and describe their compensation in a prospectus supplement. In addition, the underwriters may overallot a portion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218440</wp:posOffset>
            </wp:positionV>
            <wp:extent cx="14662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is May 2, 2017.</w:t>
      </w:r>
    </w:p>
    <w:p>
      <w:pPr>
        <w:sectPr>
          <w:pgSz w:w="11900" w:h="16838" w:orient="portrait"/>
          <w:cols w:equalWidth="0" w:num="1">
            <w:col w:w="11220"/>
          </w:cols>
          <w:pgMar w:left="240" w:top="459" w:right="4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392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26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60" w:type="dxa"/>
            <w:vAlign w:val="bottom"/>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200" w:type="dxa"/>
            <w:vAlign w:val="bottom"/>
          </w:tcPr>
          <w:p>
            <w:pPr>
              <w:spacing w:after="0"/>
              <w:rPr>
                <w:sz w:val="24"/>
                <w:szCs w:val="24"/>
                <w:color w:val="auto"/>
              </w:rPr>
            </w:pPr>
          </w:p>
        </w:tc>
        <w:tc>
          <w:tcPr>
            <w:tcW w:w="3720" w:type="dxa"/>
            <w:vAlign w:val="bottom"/>
            <w:gridSpan w:val="1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About This Prospectus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1640" w:type="dxa"/>
            <w:vAlign w:val="bottom"/>
            <w:tcBorders>
              <w:top w:val="single" w:sz="8" w:color="0000EE"/>
            </w:tcBorders>
            <w:gridSpan w:val="8"/>
          </w:tcPr>
          <w:p>
            <w:pPr>
              <w:spacing w:after="0" w:line="196" w:lineRule="exact"/>
              <w:rPr>
                <w:rFonts w:ascii="Arial" w:cs="Arial" w:eastAsia="Arial" w:hAnsi="Arial"/>
                <w:sz w:val="18"/>
                <w:szCs w:val="18"/>
                <w:color w:val="0000EE"/>
                <w:w w:val="94"/>
              </w:rPr>
            </w:pPr>
            <w:hyperlink w:anchor="page59">
              <w:r>
                <w:rPr>
                  <w:rFonts w:ascii="Arial" w:cs="Arial" w:eastAsia="Arial" w:hAnsi="Arial"/>
                  <w:sz w:val="18"/>
                  <w:szCs w:val="18"/>
                  <w:color w:val="0000EE"/>
                  <w:w w:val="94"/>
                </w:rPr>
                <w:t>Prospectus Summary</w:t>
              </w:r>
            </w:hyperlink>
          </w:p>
        </w:tc>
        <w:tc>
          <w:tcPr>
            <w:tcW w:w="2080" w:type="dxa"/>
            <w:vAlign w:val="bottom"/>
            <w:gridSpan w:val="8"/>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5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Risk Factors</w:t>
              </w:r>
            </w:hyperlink>
          </w:p>
        </w:tc>
        <w:tc>
          <w:tcPr>
            <w:tcW w:w="2200" w:type="dxa"/>
            <w:vAlign w:val="bottom"/>
            <w:gridSpan w:val="9"/>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1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Forward-Looking Statements</w:t>
              </w:r>
            </w:hyperlink>
          </w:p>
        </w:tc>
        <w:tc>
          <w:tcPr>
            <w:tcW w:w="1600" w:type="dxa"/>
            <w:vAlign w:val="bottom"/>
            <w:gridSpan w:val="6"/>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3720" w:type="dxa"/>
            <w:vAlign w:val="bottom"/>
            <w:gridSpan w:val="16"/>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Ratio of Earnings to Fixed Charges</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Use of Proceeds</w:t>
              </w:r>
            </w:hyperlink>
          </w:p>
        </w:tc>
        <w:tc>
          <w:tcPr>
            <w:tcW w:w="1360" w:type="dxa"/>
            <w:vAlign w:val="bottom"/>
            <w:tcBorders>
              <w:top w:val="single" w:sz="8" w:color="0000EE"/>
            </w:tcBorders>
            <w:gridSpan w:val="8"/>
          </w:tcPr>
          <w:p>
            <w:pPr>
              <w:spacing w:after="0"/>
              <w:rPr>
                <w:sz w:val="17"/>
                <w:szCs w:val="17"/>
                <w:color w:val="auto"/>
              </w:rPr>
            </w:pPr>
          </w:p>
        </w:tc>
        <w:tc>
          <w:tcPr>
            <w:tcW w:w="1180" w:type="dxa"/>
            <w:vAlign w:val="bottom"/>
            <w:gridSpan w:val="3"/>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63">
              <w:r>
                <w:rPr>
                  <w:rFonts w:ascii="Arial" w:cs="Arial" w:eastAsia="Arial" w:hAnsi="Arial"/>
                  <w:sz w:val="18"/>
                  <w:szCs w:val="18"/>
                  <w:color w:val="0000EE"/>
                  <w:w w:val="94"/>
                </w:rPr>
                <w:t>Dividend Policy</w:t>
              </w:r>
            </w:hyperlink>
          </w:p>
        </w:tc>
        <w:tc>
          <w:tcPr>
            <w:tcW w:w="2540" w:type="dxa"/>
            <w:vAlign w:val="bottom"/>
            <w:gridSpan w:val="11"/>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3720" w:type="dxa"/>
            <w:vAlign w:val="bottom"/>
            <w:gridSpan w:val="1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Description of Our Capital Stock</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4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Description of the Debt Securities</w:t>
              </w:r>
            </w:hyperlink>
          </w:p>
        </w:tc>
        <w:tc>
          <w:tcPr>
            <w:tcW w:w="1260" w:type="dxa"/>
            <w:vAlign w:val="bottom"/>
            <w:gridSpan w:val="4"/>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00" w:type="dxa"/>
            <w:vAlign w:val="bottom"/>
          </w:tcPr>
          <w:p>
            <w:pPr>
              <w:spacing w:after="0"/>
              <w:rPr>
                <w:sz w:val="17"/>
                <w:szCs w:val="17"/>
                <w:color w:val="auto"/>
              </w:rPr>
            </w:pP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Description of the Warrants</w:t>
              </w:r>
            </w:hyperlink>
          </w:p>
        </w:tc>
        <w:tc>
          <w:tcPr>
            <w:tcW w:w="1720" w:type="dxa"/>
            <w:vAlign w:val="bottom"/>
            <w:gridSpan w:val="7"/>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00" w:type="dxa"/>
            <w:vAlign w:val="bottom"/>
          </w:tcPr>
          <w:p>
            <w:pPr>
              <w:spacing w:after="0"/>
              <w:rPr>
                <w:sz w:val="17"/>
                <w:szCs w:val="17"/>
                <w:color w:val="auto"/>
              </w:rPr>
            </w:pPr>
          </w:p>
        </w:tc>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83">
              <w:r>
                <w:rPr>
                  <w:rFonts w:ascii="Arial" w:cs="Arial" w:eastAsia="Arial" w:hAnsi="Arial"/>
                  <w:sz w:val="18"/>
                  <w:szCs w:val="18"/>
                  <w:color w:val="0000EE"/>
                  <w:w w:val="93"/>
                </w:rPr>
                <w:t>Plan of Distribution</w:t>
              </w:r>
            </w:hyperlink>
          </w:p>
        </w:tc>
        <w:tc>
          <w:tcPr>
            <w:tcW w:w="2280" w:type="dxa"/>
            <w:vAlign w:val="bottom"/>
            <w:gridSpan w:val="10"/>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00" w:type="dxa"/>
            <w:vAlign w:val="bottom"/>
          </w:tcPr>
          <w:p>
            <w:pPr>
              <w:spacing w:after="0"/>
              <w:rPr>
                <w:sz w:val="17"/>
                <w:szCs w:val="17"/>
                <w:color w:val="auto"/>
              </w:rPr>
            </w:pPr>
          </w:p>
        </w:tc>
        <w:tc>
          <w:tcPr>
            <w:tcW w:w="3720" w:type="dxa"/>
            <w:vAlign w:val="bottom"/>
            <w:gridSpan w:val="16"/>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Legal Matters</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0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Experts</w:t>
              </w:r>
            </w:hyperlink>
          </w:p>
        </w:tc>
        <w:tc>
          <w:tcPr>
            <w:tcW w:w="440" w:type="dxa"/>
            <w:vAlign w:val="bottom"/>
            <w:tcBorders>
              <w:top w:val="single" w:sz="8" w:color="0000EE"/>
            </w:tcBorders>
            <w:gridSpan w:val="2"/>
          </w:tcPr>
          <w:p>
            <w:pPr>
              <w:spacing w:after="0"/>
              <w:rPr>
                <w:sz w:val="17"/>
                <w:szCs w:val="17"/>
                <w:color w:val="auto"/>
              </w:rPr>
            </w:pPr>
          </w:p>
        </w:tc>
        <w:tc>
          <w:tcPr>
            <w:tcW w:w="2720" w:type="dxa"/>
            <w:vAlign w:val="bottom"/>
            <w:gridSpan w:val="13"/>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00" w:type="dxa"/>
            <w:vAlign w:val="bottom"/>
          </w:tcPr>
          <w:p>
            <w:pPr>
              <w:spacing w:after="0"/>
              <w:rPr>
                <w:sz w:val="17"/>
                <w:szCs w:val="17"/>
                <w:color w:val="auto"/>
              </w:rPr>
            </w:pPr>
          </w:p>
        </w:tc>
        <w:tc>
          <w:tcPr>
            <w:tcW w:w="28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Where You Can Find More Information</w:t>
              </w:r>
            </w:hyperlink>
          </w:p>
        </w:tc>
        <w:tc>
          <w:tcPr>
            <w:tcW w:w="840" w:type="dxa"/>
            <w:vAlign w:val="bottom"/>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00" w:type="dxa"/>
            <w:vAlign w:val="bottom"/>
          </w:tcPr>
          <w:p>
            <w:pPr>
              <w:spacing w:after="0"/>
              <w:rPr>
                <w:sz w:val="17"/>
                <w:szCs w:val="17"/>
                <w:color w:val="auto"/>
              </w:rPr>
            </w:pPr>
          </w:p>
        </w:tc>
        <w:tc>
          <w:tcPr>
            <w:tcW w:w="3720" w:type="dxa"/>
            <w:vAlign w:val="bottom"/>
            <w:gridSpan w:val="16"/>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Information Incorporated by Reference</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46"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amount of $125,000,000.</w:t>
      </w:r>
    </w:p>
    <w:p>
      <w:pPr>
        <w:spacing w:after="0" w:line="18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to, update or change information contained in this prospectus and, accordingly, to the extent inconsistent, information in this prospectus is superseded by the information in the prospectus supplement.</w:t>
      </w:r>
    </w:p>
    <w:p>
      <w:pPr>
        <w:spacing w:after="0" w:line="187"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price to the public; the price paid for the securities; net proceeds; and the other specific terms related to the offering of the securities.</w:t>
      </w:r>
    </w:p>
    <w:p>
      <w:pPr>
        <w:spacing w:after="0" w:line="14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You should only rely on the information contained or incorporated by reference in this prospectus and any prospectus supplement or issuer free writing prospectus relating to a particular offering. We have not authorized any other person to provide you with different information. You should read this entire prospectus and any prospectus supplement and any related issuer free writing prospectus, as well as the documents incorporated by reference into this prospectus or any prospectus supplement as well as any related free writing prospectus, before making an investment decision. We do not imply or represent by delivering this prospectus that Fluidigm Corporation, or its business, is unchanged after the date on the front of this prospectus or that the information in this prospectus is correct as of any time after such date.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100" w:firstLine="426"/>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in this prospectus or incorporated herein by reference. This summary is not complete and does not contain all of the information that you should consider before deciding to invest in our securities. We urge you to read this entire prospectus and the information incorporated by reference in this prospectus carefully, including the “Risk Factors” section. In this prospectus, unless the context indicates otherwise, the terms “company,” “Fluidigm”, “we,” “us,” and “our” refer to Fluidigm Corporation and its subsidiaries.</w:t>
      </w:r>
    </w:p>
    <w:p>
      <w:pPr>
        <w:spacing w:after="0" w:line="29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80" w:right="20" w:firstLine="426"/>
        <w:spacing w:after="0" w:line="257" w:lineRule="auto"/>
        <w:rPr>
          <w:sz w:val="20"/>
          <w:szCs w:val="20"/>
          <w:color w:val="auto"/>
        </w:rPr>
      </w:pPr>
      <w:r>
        <w:rPr>
          <w:rFonts w:ascii="Arial" w:cs="Arial" w:eastAsia="Arial" w:hAnsi="Arial"/>
          <w:sz w:val="18"/>
          <w:szCs w:val="18"/>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188"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We were a pioneer in the application of microfluidics to enable high-throughput and highly-multiplexed polymerase chain reactions, or PCR, for genetic analysis, as well as a field known as single-cell genomics, in which the genetic composition of individual cells is assayed. In February 2014, we purchased DVS Sciences, Inc., whose mass cytometry system enables the highly-multiplexed analysis of cellular surface and intracellular proteins in both blood and tissue.</w:t>
      </w:r>
    </w:p>
    <w:p>
      <w:pPr>
        <w:spacing w:after="0" w:line="187" w:lineRule="exact"/>
        <w:rPr>
          <w:sz w:val="20"/>
          <w:szCs w:val="20"/>
          <w:color w:val="auto"/>
        </w:rPr>
      </w:pPr>
    </w:p>
    <w:p>
      <w:pPr>
        <w:jc w:val="both"/>
        <w:ind w:left="380" w:right="240" w:firstLine="426"/>
        <w:spacing w:after="0" w:line="259" w:lineRule="auto"/>
        <w:rPr>
          <w:sz w:val="20"/>
          <w:szCs w:val="20"/>
          <w:color w:val="auto"/>
        </w:rPr>
      </w:pPr>
      <w:r>
        <w:rPr>
          <w:rFonts w:ascii="Arial" w:cs="Arial" w:eastAsia="Arial" w:hAnsi="Arial"/>
          <w:sz w:val="18"/>
          <w:szCs w:val="18"/>
          <w:color w:val="auto"/>
        </w:rPr>
        <w:t>Researchers have successfully employed our products to help achieve breakthroughs in a variety of fields, including single-cell gene and protein expression, gene regulation, genetic variation, cellular function and applied genetics. These breakthroughs include using our systems to help detect life-threatening mutations in cancer cells, discover cancer associated biomarkers, analyze the genetic composition of individual stem cells and assess the quality of agricultural products, such as seeds or livestock.</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right="100" w:firstLine="426"/>
        <w:spacing w:after="0" w:line="279" w:lineRule="auto"/>
        <w:rPr>
          <w:sz w:val="20"/>
          <w:szCs w:val="20"/>
          <w:color w:val="auto"/>
        </w:rPr>
      </w:pPr>
      <w:r>
        <w:rPr>
          <w:rFonts w:ascii="Arial" w:cs="Arial" w:eastAsia="Arial" w:hAnsi="Arial"/>
          <w:sz w:val="17"/>
          <w:szCs w:val="17"/>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Our telephone number is (650) 266-6000. We maintain an Internet website at www.fluidigm.com. We have not incorporated the information on our website by reference into this prospectus, and you should not consider it to be a part of this prospectus.</w:t>
      </w:r>
    </w:p>
    <w:p>
      <w:pPr>
        <w:spacing w:after="0" w:line="171" w:lineRule="exact"/>
        <w:rPr>
          <w:sz w:val="20"/>
          <w:szCs w:val="20"/>
          <w:color w:val="auto"/>
        </w:rPr>
      </w:pPr>
    </w:p>
    <w:p>
      <w:pPr>
        <w:ind w:left="380" w:right="120" w:firstLine="426"/>
        <w:spacing w:after="0" w:line="257" w:lineRule="auto"/>
        <w:rPr>
          <w:sz w:val="20"/>
          <w:szCs w:val="20"/>
          <w:color w:val="auto"/>
        </w:rPr>
      </w:pPr>
      <w:r>
        <w:rPr>
          <w:rFonts w:ascii="Arial" w:cs="Arial" w:eastAsia="Arial" w:hAnsi="Arial"/>
          <w:sz w:val="18"/>
          <w:szCs w:val="18"/>
          <w:color w:val="auto"/>
        </w:rPr>
        <w:t>“Fluidigm,” the Fluidigm logo, “Access Array,” “Biomark,” “C1,” “Callisto,” “Cell-ID,” “CyTOF,” “D3,” “Delta Gene,” “Digital Array,” “Dynamic Array,” “EP1,” “FC1,” “Flex Six,” “Helios,” “High-Precision 96.96 Genotyping,” “Hyperion,” “Juno,” “Maxpar,” “MSL,” “Nanoflex” “Open App,” “Polaris,” “qdPCR 37K,” “Script Builder,” “Script Hub,” “Singular,” “SNP Trace” and “SNP Type” are trademarks or registered trademarks of Fluidigm Corporation. Other service marks, trademarks and trade names referred to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240" w:top="459" w:right="6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ind w:left="380" w:right="280" w:firstLine="426"/>
        <w:spacing w:after="0" w:line="259" w:lineRule="auto"/>
        <w:rPr>
          <w:sz w:val="20"/>
          <w:szCs w:val="20"/>
          <w:color w:val="auto"/>
        </w:rPr>
      </w:pPr>
      <w:r>
        <w:rPr>
          <w:rFonts w:ascii="Arial" w:cs="Arial" w:eastAsia="Arial" w:hAnsi="Arial"/>
          <w:sz w:val="18"/>
          <w:szCs w:val="18"/>
          <w:color w:val="auto"/>
        </w:rPr>
        <w:t>We may offer or sell common stock, preferred stock, debt securities and warrants in one or more offerings and in any combination either individually or as units comprised of one or more of the other securities. The aggregate offering price of the securities sold pursuant to this prospectus will not exceed $125,000,000. Each time we offer securities with this prospectus, we will provide a prospectus supplement that will describe the specific amounts, prices and terms of the securities being offered.</w:t>
      </w:r>
    </w:p>
    <w:p>
      <w:pPr>
        <w:spacing w:after="0" w:line="187" w:lineRule="exact"/>
        <w:rPr>
          <w:sz w:val="20"/>
          <w:szCs w:val="20"/>
          <w:color w:val="auto"/>
        </w:rPr>
      </w:pPr>
    </w:p>
    <w:p>
      <w:pPr>
        <w:ind w:left="380" w:right="80" w:firstLine="426"/>
        <w:spacing w:after="0" w:line="302" w:lineRule="auto"/>
        <w:rPr>
          <w:sz w:val="20"/>
          <w:szCs w:val="20"/>
          <w:color w:val="auto"/>
        </w:rPr>
      </w:pPr>
      <w:r>
        <w:rPr>
          <w:rFonts w:ascii="Arial" w:cs="Arial" w:eastAsia="Arial" w:hAnsi="Arial"/>
          <w:sz w:val="16"/>
          <w:szCs w:val="16"/>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left="380" w:firstLine="426"/>
        <w:spacing w:after="0" w:line="279" w:lineRule="auto"/>
        <w:rPr>
          <w:sz w:val="20"/>
          <w:szCs w:val="20"/>
          <w:color w:val="auto"/>
        </w:rPr>
      </w:pPr>
      <w:r>
        <w:rPr>
          <w:rFonts w:ascii="Arial" w:cs="Arial" w:eastAsia="Arial" w:hAnsi="Arial"/>
          <w:sz w:val="17"/>
          <w:szCs w:val="17"/>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cash dividend. Each holder of common stock is entitled to one vote per share. The holders of common stock have no preemptive rights.</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380" w:right="200" w:firstLine="426"/>
        <w:spacing w:after="0" w:line="279" w:lineRule="auto"/>
        <w:rPr>
          <w:sz w:val="20"/>
          <w:szCs w:val="20"/>
          <w:color w:val="auto"/>
        </w:rPr>
      </w:pPr>
      <w:r>
        <w:rPr>
          <w:rFonts w:ascii="Arial" w:cs="Arial" w:eastAsia="Arial" w:hAnsi="Arial"/>
          <w:sz w:val="17"/>
          <w:szCs w:val="17"/>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Fluidigm Corporation, voting rights and rights to convert into common stock.</w:t>
      </w:r>
    </w:p>
    <w:p>
      <w:pPr>
        <w:spacing w:after="0" w:line="171" w:lineRule="exact"/>
        <w:rPr>
          <w:sz w:val="20"/>
          <w:szCs w:val="20"/>
          <w:color w:val="auto"/>
        </w:rPr>
      </w:pPr>
    </w:p>
    <w:p>
      <w:pPr>
        <w:jc w:val="both"/>
        <w:ind w:left="380" w:firstLine="426"/>
        <w:spacing w:after="0" w:line="293" w:lineRule="auto"/>
        <w:rPr>
          <w:sz w:val="20"/>
          <w:szCs w:val="20"/>
          <w:color w:val="auto"/>
        </w:rPr>
      </w:pPr>
      <w:r>
        <w:rPr>
          <w:rFonts w:ascii="Arial" w:cs="Arial" w:eastAsia="Arial" w:hAnsi="Arial"/>
          <w:sz w:val="16"/>
          <w:szCs w:val="16"/>
          <w:color w:val="auto"/>
        </w:rPr>
        <w:t>In November 2016, our board of directors adopted a Tax Benefit Preservation Plan, or the Tax Benefit Plan. In connection with the adoption of the Tax Benefit Plan, our board of directors authorized and declared a dividend distribution of one right for each outstanding share of common stock, par value $0.001 per share, to stockholders of record as of the close of business on December 1, 2016, or the record date. Each right entitles the registered holder to purchase from us one one-thousandth of a share of our Series A participating preferred stock, par value $0.001 per share, at an exercise price of $35.00 per one one-thousandth of a preferred share, subject to adjustment. In connection with the adoption of our Tax Benefit Plan, we designated 50,000 shares of preferred stock as Series A participating preferred stock.</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380" w:right="520" w:firstLine="426"/>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Debt Securities</w:t>
      </w:r>
    </w:p>
    <w:p>
      <w:pPr>
        <w:spacing w:after="0" w:line="121" w:lineRule="exact"/>
        <w:rPr>
          <w:sz w:val="20"/>
          <w:szCs w:val="20"/>
          <w:color w:val="auto"/>
        </w:rPr>
      </w:pPr>
    </w:p>
    <w:p>
      <w:pPr>
        <w:jc w:val="both"/>
        <w:ind w:left="380" w:right="160" w:firstLine="426"/>
        <w:spacing w:after="0" w:line="264" w:lineRule="auto"/>
        <w:rPr>
          <w:sz w:val="20"/>
          <w:szCs w:val="20"/>
          <w:color w:val="auto"/>
        </w:rPr>
      </w:pPr>
      <w:r>
        <w:rPr>
          <w:rFonts w:ascii="Arial" w:cs="Arial" w:eastAsia="Arial" w:hAnsi="Arial"/>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240" w:top="459" w:right="6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070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02145" cy="20707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spacing w:after="0" w:line="264" w:lineRule="auto"/>
        <w:rPr>
          <w:sz w:val="20"/>
          <w:szCs w:val="20"/>
          <w:color w:val="auto"/>
        </w:rPr>
      </w:pPr>
      <w:r>
        <w:rPr>
          <w:rFonts w:ascii="Arial" w:cs="Arial" w:eastAsia="Arial" w:hAnsi="Arial"/>
          <w:sz w:val="18"/>
          <w:szCs w:val="18"/>
          <w:color w:val="auto"/>
        </w:rPr>
        <w:t>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81"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The senior and subordinated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ind w:left="380" w:right="880" w:firstLine="426"/>
        <w:spacing w:after="0" w:line="342" w:lineRule="auto"/>
        <w:rPr>
          <w:sz w:val="20"/>
          <w:szCs w:val="20"/>
          <w:color w:val="auto"/>
        </w:rPr>
      </w:pPr>
      <w:r>
        <w:rPr>
          <w:rFonts w:ascii="Arial" w:cs="Arial" w:eastAsia="Arial" w:hAnsi="Arial"/>
          <w:sz w:val="16"/>
          <w:szCs w:val="16"/>
          <w:color w:val="auto"/>
        </w:rPr>
        <w:t>We may issue units comprised of one or more of the other classes of securities issued by us as described in this prospectus in any combination. Each unit will be issued so that the holder of the unit is also the holder of each security included in the unit.</w:t>
      </w:r>
    </w:p>
    <w:p>
      <w:pPr>
        <w:spacing w:after="0" w:line="200" w:lineRule="exact"/>
        <w:rPr>
          <w:sz w:val="20"/>
          <w:szCs w:val="20"/>
          <w:color w:val="auto"/>
        </w:rPr>
      </w:pPr>
    </w:p>
    <w:p>
      <w:pPr>
        <w:spacing w:after="0" w:line="35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240" w:top="459" w:right="6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report on Form 10-K or “Part II—Item 1A—Risk Factors” in our Quarterly Reports on Form 10-Q which are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auto"/>
        </w:rPr>
        <w:t>This prospectus includes and incorporates by reference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Forward-looking statements include information concerning our possible or assumed future results of operations, business strategies,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Although we believe that we have a reasonable basis for each forward-looking statement contained and incorporated by reference included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entitled “Risk Factors,” in “Part I—Item 1A—Risk Factors” of our most recent report on Form 10-K or “Part II—Item 1A—Risk Factors” in our Quarterly Reports on Form 10-Q which is incorporated by reference in this prospectus as well as other disclosures included in this prospectus or the supplement hereto, discuss some of the factors that could contribute to these differences.</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w:t>
      </w:r>
    </w:p>
    <w:p>
      <w:pPr>
        <w:spacing w:after="0" w:line="18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This prospectus and the documents incorporated by reference in this prospectus contain market data that we obtained from industry sources, including independent industry publications. In presenting this information, we have also made assumptions based on such data and other similar sources and on our knowledge of, and our experience to date in, the markets for our products. This data involves a number of assumptions and limitations, and you are cautioned not to give undue weight to such estimates. While we believe the market data included in this prospectus is generally reliable, such information is inherently imprecise. In addition, projections, assumptions and estimates of our future performance and the future performance of the industry in which we operate are necessarily subject to a high degree of uncertainty and risk due to a variety of factors, including those described under the heading “Risk Factors” in this prospectus and “Item 1A—Risk Factors” of our most recent report on Form 10-K or 10-Q which is incorporated by reference in this prospectus. These and other factors could cause results to differ materially from those expressed in the estimates made by the independent parties and by us.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consolidated ratio of earnings to fixed charges for the periods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500" w:type="dxa"/>
            <w:vAlign w:val="bottom"/>
            <w:gridSpan w:val="2"/>
          </w:tcPr>
          <w:p>
            <w:pPr>
              <w:jc w:val="center"/>
              <w:ind w:left="591"/>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500" w:type="dxa"/>
            <w:vAlign w:val="bottom"/>
            <w:gridSpan w:val="2"/>
          </w:tcPr>
          <w:p>
            <w:pPr>
              <w:jc w:val="center"/>
              <w:ind w:left="591"/>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500" w:type="dxa"/>
            <w:vAlign w:val="bottom"/>
            <w:gridSpan w:val="2"/>
          </w:tcPr>
          <w:p>
            <w:pPr>
              <w:jc w:val="center"/>
              <w:ind w:left="591"/>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500" w:type="dxa"/>
            <w:vAlign w:val="bottom"/>
            <w:gridSpan w:val="2"/>
          </w:tcPr>
          <w:p>
            <w:pPr>
              <w:jc w:val="center"/>
              <w:ind w:left="571"/>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8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2012</w:t>
            </w:r>
          </w:p>
        </w:tc>
        <w:tc>
          <w:tcPr>
            <w:tcW w:w="15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2013</w:t>
            </w:r>
          </w:p>
        </w:tc>
        <w:tc>
          <w:tcPr>
            <w:tcW w:w="1500" w:type="dxa"/>
            <w:vAlign w:val="bottom"/>
            <w:gridSpan w:val="2"/>
          </w:tcPr>
          <w:p>
            <w:pPr>
              <w:jc w:val="center"/>
              <w:ind w:left="571"/>
              <w:spacing w:after="0"/>
              <w:rPr>
                <w:sz w:val="20"/>
                <w:szCs w:val="20"/>
                <w:color w:val="auto"/>
              </w:rPr>
            </w:pPr>
            <w:r>
              <w:rPr>
                <w:rFonts w:ascii="Arial" w:cs="Arial" w:eastAsia="Arial" w:hAnsi="Arial"/>
                <w:sz w:val="14"/>
                <w:szCs w:val="14"/>
                <w:b w:val="1"/>
                <w:bCs w:val="1"/>
                <w:color w:val="auto"/>
                <w:w w:val="96"/>
              </w:rPr>
              <w:t>2014</w:t>
            </w:r>
          </w:p>
        </w:tc>
        <w:tc>
          <w:tcPr>
            <w:tcW w:w="15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2015</w:t>
            </w:r>
          </w:p>
        </w:tc>
        <w:tc>
          <w:tcPr>
            <w:tcW w:w="15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7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ind w:left="640" w:right="200" w:hanging="436"/>
        <w:spacing w:after="0" w:line="25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the purpose of calculating the ratio of earnings to fixed charges, earnings consist of net loss before benefit from income taxes. Fixed charges consist of interest expense and an estimate of the interest portion of rental expense. In addition, for the periods presented above, we did not have outstanding preferred securities and therefore were not required to pay any preferred security dividends. In the years ended December 31, 2012, 2013, 2014, 2015 and 2016, earnings were insufficient to cover fixed charges by $18.8 million, $16.4 million, $57.7 million, $54.8 million and $80.2 million, respectively.</w:t>
      </w:r>
    </w:p>
    <w:p>
      <w:pPr>
        <w:spacing w:after="0" w:line="18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As of the date of this prospectus, we have no shares of preferred stock outstanding, and consequently, our ratio of earnings to combined fixed charges and preferred share dividends and ratio of earnings to fixed charges would be identical.</w:t>
      </w: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Unless we state otherwise in the applicable prospectus supplement, we expect to use the net proceeds that we will receive from the sale of the securities for working capital and other general corporate purposes and we may also use a portion of our net proceeds to acquire and invest in complementary products, technologies or businesses; however, we currently have no agreements or commitments to complete any such transaction and are not involved in negotiations to do so. Pending these uses, we may invest our net proceeds from this offering primarily in investment-grade, interest-bearing instruments.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specific allocations of the proceeds we receive from the sale of our securities will be described in the applicable prospectus supplement.</w:t>
      </w:r>
    </w:p>
    <w:p>
      <w:pPr>
        <w:spacing w:after="0" w:line="200" w:lineRule="exact"/>
        <w:rPr>
          <w:sz w:val="20"/>
          <w:szCs w:val="20"/>
          <w:color w:val="auto"/>
        </w:rPr>
      </w:pPr>
    </w:p>
    <w:p>
      <w:pPr>
        <w:spacing w:after="0" w:line="24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future earnings for the operation and expansion of our business and, therefore, we do not anticipate declaring or paying cash dividends in the foreseeable future. In addition, we may become subject to covenants under future debt arrangements that place restrictions on our ability to pay dividends. The payment of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i w:val="1"/>
          <w:iCs w:val="1"/>
          <w:color w:val="auto"/>
        </w:rPr>
        <w:t>The following is a summary of the material provisions of the common stock and the preferred stock contained in our certificate of incorporation, bylaws, and Tax Benefit Plan. For more detailed definition, please refer to our certificate of incorporation, bylaws, and Tax Benefit Plan, each as amended.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authorized capital stock consists of 210,000,000 shares, all with a par value of $0.001 per share, of which:</w:t>
      </w:r>
    </w:p>
    <w:p>
      <w:pPr>
        <w:spacing w:after="0" w:line="131" w:lineRule="exact"/>
        <w:rPr>
          <w:sz w:val="20"/>
          <w:szCs w:val="20"/>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200,000,000 shares are designated as common stock;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10,000,000 shares are designated as preferred stock.</w:t>
      </w:r>
    </w:p>
    <w:p>
      <w:pPr>
        <w:spacing w:after="0" w:line="225" w:lineRule="exact"/>
        <w:rPr>
          <w:sz w:val="20"/>
          <w:szCs w:val="20"/>
          <w:color w:val="auto"/>
        </w:rPr>
      </w:pPr>
    </w:p>
    <w:p>
      <w:pPr>
        <w:ind w:left="200" w:right="800" w:firstLine="441"/>
        <w:spacing w:after="0" w:line="342" w:lineRule="auto"/>
        <w:rPr>
          <w:sz w:val="20"/>
          <w:szCs w:val="20"/>
          <w:color w:val="auto"/>
        </w:rPr>
      </w:pPr>
      <w:r>
        <w:rPr>
          <w:rFonts w:ascii="Arial" w:cs="Arial" w:eastAsia="Arial" w:hAnsi="Arial"/>
          <w:sz w:val="16"/>
          <w:szCs w:val="16"/>
          <w:color w:val="auto"/>
        </w:rPr>
        <w:t>As of December 31, 2016, we had outstanding 29,207,654 shares of common stock held of record by 94 stockholders. In addition, as of December 31, 2016, 4,624,505 shares of our common stock were subject to outstanding awards under our equity incentive plans.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The holders of our common stock are entitled to one vote per share on all matters to be voted on by our stockholders. Subject to preferences that may be applicable to any outstanding shares of preferred stock, holders of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 Holders of common stock have no preemptive, conversion or subscription rights. There are no redemption or sinking fund provisions applicable to the common stock.</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No shares of preferred stock are outstanding. Our board of directors has the authority, without further action by our stockholders, to designate and issue up to 10,000,000 shares of preferred stock in one or more series. Our board of directors may also designate the rights, preferences and privileges of each such series of preferred stock, any or all of which may be greater than or senior to those of the common stock. In connection with the adoption of our Tax Benefit Plan, as described below, we designated 50,000 shares of preferred stock as Series A participating preferred stock. Other than with respect to the Series A participating preferred stock, the actual effect of any such issuance on the rights of the holders of common stock will not be known until our board of directors determines the specific rights of the holders of preferred stock; however, the potential effects of such an issuance include:</w:t>
      </w:r>
    </w:p>
    <w:p>
      <w:pPr>
        <w:spacing w:after="0" w:line="95" w:lineRule="exact"/>
        <w:rPr>
          <w:sz w:val="20"/>
          <w:szCs w:val="20"/>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diluting the voting power of the holders of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reducing the likelihood that holders of common stock will receive dividend payments;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reducing the likelihood that holders of common stock will receive payments in the event of our liquidation, dissolution, or winding up; and</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delaying, deterring or preventing a change-in-control or other corporate takeover.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Under the provisions of our certificate of incorporation, holders of our common stock are entitled to one vote for each share of common stock held by such holder on any matter submitted to a vote at a meeting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stockholders. In addition, our certificate of incorporation provides that certain corporate actions require the approval of our stockholders. These actions, and the vote required, are as follows:</w:t>
      </w:r>
    </w:p>
    <w:p>
      <w:pPr>
        <w:spacing w:after="0" w:line="76" w:lineRule="exact"/>
        <w:rPr>
          <w:sz w:val="20"/>
          <w:szCs w:val="20"/>
          <w:color w:val="auto"/>
        </w:rPr>
      </w:pPr>
    </w:p>
    <w:p>
      <w:pPr>
        <w:ind w:left="1060" w:hanging="316"/>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removal of a director requires the vote of a majority of the voting power of our issued and outstanding capital stock entitled to vote in the election of directors; and</w:t>
      </w:r>
    </w:p>
    <w:p>
      <w:pPr>
        <w:spacing w:after="0" w:line="75" w:lineRule="exact"/>
        <w:rPr>
          <w:rFonts w:ascii="Arial" w:cs="Arial" w:eastAsia="Arial" w:hAnsi="Arial"/>
          <w:sz w:val="18"/>
          <w:szCs w:val="18"/>
          <w:color w:val="auto"/>
        </w:rPr>
      </w:pPr>
    </w:p>
    <w:p>
      <w:pPr>
        <w:ind w:left="1060" w:right="20" w:hanging="316"/>
        <w:spacing w:after="0" w:line="312" w:lineRule="auto"/>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amendment of provisions of our certificate of incorporation relating to blank check preferred stock, the classification of our directors, the removal of directors, the filling of vacancies on our board of directors, cumulative voting, annual and special meetings of our stockholders and the amendment provision in our certificate of incorporation require the vote of 66 2/3% of our then outstanding voting securities.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Benefit Preservation Plan</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following is a summary of certain principal terms of our Tax Benefit Plan. The Tax Benefit Plan may be further amended from time to time. A description of the rights is set forth in our registration statement on Form 8-A that was filed with the SEC on November 22, 2016 and which is incorporated herein by reference. We expect to submit the Tax Benefit Plan to a stockholder vote at our 2017 Annual Meeting of Stockholders.</w:t>
      </w:r>
    </w:p>
    <w:p>
      <w:pPr>
        <w:spacing w:after="0" w:line="166"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In connection with the adoption of our Tax Benefit Plan, our board of directors authorized and declared a dividend distribution of one right for each outstanding share of common stock, par value $0.001 per share, to stockholders of record as of the close of business on December 1, 2016, or the record date. Each right entitles the registered holder to purchase from us one one-thousandth of a share of our Series A participating preferred stock, par value $0.001 per share, at an exercise price of $35.00 per one one-thousandth of a preferred share, subject to adjustment. In connection with the adoption of our Tax Benefit Plan, we designated 50,000 shares of preferred stock as Series A participating preferred stock.</w:t>
      </w:r>
    </w:p>
    <w:p>
      <w:pPr>
        <w:spacing w:after="0" w:line="17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By adopting the Tax Benefit Plan, the board of directors is seeking to protect our ability to use our net operating losses, any loss or deduction attributable to a “net unrealized built-in loss” and other tax attributes, which we refer to as the tax benefits. We view our tax benefits as highly valuable assets of ours that are likely to inure to our benefit and the benefit of our stockholders. However, if we experience an “ownership change,” as defined in Section 382 of the Internal Revenue Code, or the Code, our ability to use the tax benefits could be substantially limited, and the timing of the usage of the tax benefits could be substantially delayed, which could significantly impair the value of the tax benefits. Generally, an “ownership change” occurs if the percentage of our stock owned by one or more “five percent stockholders” increases by more than 50 percentage points over the lowest percentage of stock owned by such stockholders at any time during the prior three-year period or, if sooner, since the last “ownership change” experienced by us. The Tax Benefit Plan is intended to deter acquisitions of 4.99% or more of the outstanding shares or our common stock by any person without the approval of our board of directors. This would protect the tax benefits because changes in ownership by a person owning less than 4.99% of or outstanding shares of common stock are not included in the calculation of “ownership change” for purposes of Section 382 of the Code.</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Distribution and Transfer of Rights; Rights Certificates</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board of directors has declared a dividend of one right for each outstanding share of common stock. Rights accompany any new shares of common stock that are issued after the record date.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Distribution Date</w:t>
      </w:r>
    </w:p>
    <w:p>
      <w:pPr>
        <w:spacing w:after="0" w:line="117" w:lineRule="exact"/>
        <w:rPr>
          <w:sz w:val="20"/>
          <w:szCs w:val="20"/>
          <w:color w:val="auto"/>
        </w:rPr>
      </w:pPr>
    </w:p>
    <w:p>
      <w:pPr>
        <w:jc w:val="both"/>
        <w:ind w:left="200" w:right="160" w:firstLine="441"/>
        <w:spacing w:after="0" w:line="312" w:lineRule="auto"/>
        <w:rPr>
          <w:sz w:val="20"/>
          <w:szCs w:val="20"/>
          <w:color w:val="auto"/>
        </w:rPr>
      </w:pPr>
      <w:r>
        <w:rPr>
          <w:rFonts w:ascii="Arial" w:cs="Arial" w:eastAsia="Arial" w:hAnsi="Arial"/>
          <w:sz w:val="16"/>
          <w:szCs w:val="16"/>
          <w:color w:val="auto"/>
        </w:rPr>
        <w:t>Subject to certain exceptions specified in the Tax Benefit Plan, the rights will separate from the shares of common stock and become exercisable following (1) the 10th business day (or such later date as may be determined by the board of directors) after the public announcement that a person or group of affiliated or associated persons, or an acquiring person, has acquired beneficial ownership of 4.99% or more of the shares of</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common stock or (2) the 10th business day (or such later date as may be determined by the board of directors) after a person or group has first published, sent, or given a tender or exchange offer that would result in ownership by a person or group of 4.99% or more of the outstanding shares of our common stock.</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Any person or group of affiliated or associated persons who beneficially owns 4.99% or more of the outstanding shares of our common stock as of the announcement of the Tax Benefit Plan will not be an acquiring person, but only for so long as such person or group does not become the beneficial owner of additional shares of common stock equal to 0.10% or more of the shares of common stock then outstanding.</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date on which the rights separate from the shares of common stock and become exercisable is referred to as the distribution date.</w:t>
      </w:r>
    </w:p>
    <w:p>
      <w:pPr>
        <w:spacing w:after="0" w:line="237"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After the distribution date, we will mail rights certificates to our stockholders as of the close of business on the distribution date and the rights will become transferable apart from the shares of common stock. Thereafter, such rights certificates alone will represent the rights.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Preferred Shares Purchasable Upon Exercise of Rights</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After the distribution date, each right will entitle the holder to purchase, for the exercise price, one one-thousandth of a share of preferred stock having economic and other terms similar to that of one share of common stock. This portion of a share of preferred stock is intended to give the stockholder approximately the same dividend, voting and liquidation rights as would one share of common stock, and should approximate the value of one share of common stock.</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More specifically, each one one-thousandth of a share of preferred stock, if issued, will:</w:t>
      </w:r>
    </w:p>
    <w:p>
      <w:pPr>
        <w:spacing w:after="0" w:line="131"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be redeemable;</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entitle holders to quarterly dividend payments of $0.001 per share, or an amount equal to the dividend paid on one share of common stock, whichever is greater;</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entitle holders upon liquidation either to receive $1.00 per share or an amount equal to the payment made on one share of common stock, whichever is greater;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the same voting power as one share of common stock; and</w:t>
      </w:r>
    </w:p>
    <w:p>
      <w:pPr>
        <w:spacing w:after="0" w:line="130" w:lineRule="exact"/>
        <w:rPr>
          <w:rFonts w:ascii="Arial" w:cs="Arial" w:eastAsia="Arial" w:hAnsi="Arial"/>
          <w:sz w:val="18"/>
          <w:szCs w:val="18"/>
          <w:color w:val="auto"/>
        </w:rPr>
      </w:pPr>
    </w:p>
    <w:p>
      <w:pPr>
        <w:ind w:left="1060" w:right="720" w:hanging="316"/>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entitle holders to a per share payment equal to the payment made on one share of common stock if the shares of common stock are exchanged via merger, consolidation or a similar transaction.</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Flip-In Trigger</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If an acquiring person obtains beneficial ownership of 4.99% or more of the shares of common stock, except pursuant to an offer for all outstanding shares of common stock that the independent members of the board of directors determine to be fair and not inadequate and to otherwise be in the best interests of ours and our stockholders after receiving advice from one or more investment banking firms, then each right will entitle the holder thereof to purchase, for the exercise price, a number of shares of common stock (or, in certain circumstances, cash, property or other securities of ours) having a then-current market value of twice the exercise price. However, the rights are not exercisable following the occurrence of the foregoing event until such time as the rights are no longer redeemable by us, as further described below.</w:t>
      </w:r>
    </w:p>
    <w:p>
      <w:pPr>
        <w:spacing w:after="0" w:line="17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Following the occurrence of an event set forth in preceding paragraph, all rights that are or, under certain circumstances specified in the Tax Benefit Plan, were beneficially owned by an acquiring person or certain of its transferees will be null and void.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Flip-Over Trigger</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after an acquiring person obtains 4.99% or more of the shares of common stock, (1) we merge into another entity, (2) an acquiring entity merges into us or (3) we sell or transfer more than 50% of our assets, cash flow or earning power, then 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Redemption of the Rights</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rights will be redeemable at our option for $0.01 per right (payable in cash, shares of common stock or other consideration deemed appropriate by the board of directors) at any time on or prior to the 10th business day (or such later date as may be determined by the board of directors) after the public announcement that an acquiring person has acquired beneficial ownership of 4.99% or more of the shares of common stock. Immediately upon the action of the board of directors ordering redemption, the rights will terminate and the only right of the holders of the rights will be to receive the $0.01 redemption price. The redemption price will be adjusted if we undertake a stock dividend or a stock split.</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Exchange Provision</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At any time after the date on which an acquiring person beneficially owns 4.99% or more of the shares of common stock and prior to the acquisition by the acquiring person of 50% of the shares of common stock, the board of directors may exchange the rights (except for rights that have previously been voided as set forth above), in whole or in part, for shares of common stock at an exchange ratio of one share of common stock per right (subject to adjustment). In certain circumstances, we may elect to exchange the rights for cash or other securities of ours having a value approximately equal to one share of common stock.</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Expiration of the Rights</w:t>
      </w:r>
    </w:p>
    <w:p>
      <w:pPr>
        <w:spacing w:after="0" w:line="117"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The rights expire on the earliest of (1) 5:00 p.m., New York City time, on November 21, 2019 (unless such date is extended); (2) the redemption or exchange of the rights as described above; (3) following (a) the first annual meeting of our stockholders after the adoption of the Tax Benefit Plan if stockholders do not approve the Tax Benefit Plan or (b) the first anniversary of the adoption of the Tax Benefit Plan if the stockholders have not otherwise approved the Tax Benefit Plan; (4) the repeal of Section 382 of the Code or any other change if the board of directors determines that the Tax Benefit Plan is no longer necessary or desirable for the preservation of the tax benefits; (5) the time at which the board of directors determines that the tax benefits are fully utilized or no longer available pursuant to Section 382 of the Code or that an ownership change pursuant to Section 382 of the Code would not adversely impact in any material respect the time period in which we could use the tax benefits, or materially impair the amount of the tax benefits that could be used by us in any particular time period for applicable tax purposes; and (6) a determination by the board of directors that the Tax Benefit Plan is no longer in the best interests of ours and our stockholders.</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Amendment of Terms of the Tax Benefit Plan and the Rights</w:t>
      </w:r>
    </w:p>
    <w:p>
      <w:pPr>
        <w:spacing w:after="0" w:line="117"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The terms of the rights and the Tax Benefit Plan may be amended in any respect without the consent of the holders of the rights on or prior to the distribution date. Thereafter, the terms of the rights and the Tax Benefit Plan may be amended without the consent of the holders of rights in order to</w:t>
      </w:r>
    </w:p>
    <w:p>
      <w:pPr>
        <w:ind w:left="200" w:right="220" w:firstLine="4"/>
        <w:spacing w:after="0" w:line="261" w:lineRule="auto"/>
        <w:tabs>
          <w:tab w:leader="none" w:pos="4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cure any ambiguities, (2) shorten or lengthen any time period pursuant to the Tax Benefit Plan or (3) make changes that do not adversely affect the interests of holders of the rights.</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Voting Rights; Other Stockholder Rights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rights will not have any voting rights. Until a right is exercised, the holder thereof, as such, will have no separate rights as stockholder of ours.</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Anti-Dilution Provisions</w:t>
      </w:r>
    </w:p>
    <w:p>
      <w:pPr>
        <w:spacing w:after="0" w:line="117" w:lineRule="exact"/>
        <w:rPr>
          <w:sz w:val="20"/>
          <w:szCs w:val="20"/>
          <w:color w:val="auto"/>
        </w:rPr>
      </w:pPr>
    </w:p>
    <w:p>
      <w:pPr>
        <w:jc w:val="both"/>
        <w:ind w:left="200" w:right="360" w:firstLine="441"/>
        <w:spacing w:after="0" w:line="342" w:lineRule="auto"/>
        <w:rPr>
          <w:sz w:val="20"/>
          <w:szCs w:val="20"/>
          <w:color w:val="auto"/>
        </w:rPr>
      </w:pPr>
      <w:r>
        <w:rPr>
          <w:rFonts w:ascii="Arial" w:cs="Arial" w:eastAsia="Arial" w:hAnsi="Arial"/>
          <w:sz w:val="16"/>
          <w:szCs w:val="16"/>
          <w:color w:val="auto"/>
        </w:rPr>
        <w:t>The board of directors may adjust the exercise price, the number of shares of preferred stock issuable and the number of outstanding rights to prevent dilution that may occur from a stock dividend, a stock split or a reclassification of the shares of preferred stock or shares of commons stock.</w:t>
      </w:r>
    </w:p>
    <w:p>
      <w:pPr>
        <w:spacing w:after="0" w:line="124"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With certain exceptions, no adjustments to the exercise price will be made until the cumulative adjustments amount to at least 1% of the exercise price. No fractional shares of preferred stock will be issued and, in lieu thereof, an adjustment in cash will be made based on the current market price of the shares of preferred stock.</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Taxes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distribution of rights should not be taxable for federal income tax purposes. However, following an event that renders the rights exercisable or upon redemption of the rights, stockholders may recognize taxable income.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 Takeover Effects of Delaware Law and Our Certificate of Incorporation, Bylaws, and Tax Benefit Plan</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Certain provisions of Delaware law and our certificate of incorporation and bylaws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certificate of incorporation and bylaws include provisions that:</w:t>
      </w:r>
    </w:p>
    <w:p>
      <w:pPr>
        <w:spacing w:after="0" w:line="131" w:lineRule="exact"/>
        <w:rPr>
          <w:sz w:val="20"/>
          <w:szCs w:val="20"/>
          <w:color w:val="auto"/>
        </w:rPr>
      </w:pPr>
    </w:p>
    <w:p>
      <w:pPr>
        <w:ind w:left="1060" w:hanging="316"/>
        <w:spacing w:after="0"/>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53" w:lineRule="exact"/>
        <w:rPr>
          <w:rFonts w:ascii="Arial" w:cs="Arial" w:eastAsia="Arial" w:hAnsi="Arial"/>
          <w:sz w:val="16"/>
          <w:szCs w:val="16"/>
          <w:color w:val="auto"/>
        </w:rPr>
      </w:pPr>
    </w:p>
    <w:p>
      <w:pPr>
        <w:ind w:left="1060" w:right="8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75" w:lineRule="exact"/>
        <w:rPr>
          <w:rFonts w:ascii="Arial" w:cs="Arial" w:eastAsia="Arial" w:hAnsi="Arial"/>
          <w:sz w:val="18"/>
          <w:szCs w:val="18"/>
          <w:color w:val="auto"/>
        </w:rPr>
      </w:pPr>
    </w:p>
    <w:p>
      <w:pPr>
        <w:ind w:left="1060" w:right="46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terms;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the board of directors;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a super majority of votes to amend certain of the above-mentioned provisions.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71" w:lineRule="exact"/>
        <w:rPr>
          <w:sz w:val="20"/>
          <w:szCs w:val="20"/>
          <w:color w:val="auto"/>
        </w:rPr>
      </w:pPr>
    </w:p>
    <w:p>
      <w:pPr>
        <w:ind w:left="1060" w:right="400" w:hanging="316"/>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60" w:right="80" w:hanging="316"/>
        <w:spacing w:after="0" w:line="297" w:lineRule="auto"/>
        <w:tabs>
          <w:tab w:leader="none" w:pos="10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63" w:lineRule="exact"/>
        <w:rPr>
          <w:rFonts w:ascii="Arial" w:cs="Arial" w:eastAsia="Arial" w:hAnsi="Arial"/>
          <w:sz w:val="16"/>
          <w:szCs w:val="16"/>
          <w:color w:val="auto"/>
        </w:rPr>
      </w:pPr>
    </w:p>
    <w:p>
      <w:pPr>
        <w:ind w:left="1060" w:right="360" w:hanging="316"/>
        <w:spacing w:after="0" w:line="26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pacing w:after="0" w:line="181"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a premium over the market price for the shares of common stock held by our stockholders.</w:t>
      </w:r>
    </w:p>
    <w:p>
      <w:pPr>
        <w:spacing w:after="0" w:line="158" w:lineRule="exact"/>
        <w:rPr>
          <w:sz w:val="20"/>
          <w:szCs w:val="20"/>
          <w:color w:val="auto"/>
        </w:rPr>
      </w:pPr>
    </w:p>
    <w:p>
      <w:pPr>
        <w:ind w:left="200" w:right="320" w:firstLine="441"/>
        <w:spacing w:after="0" w:line="302" w:lineRule="auto"/>
        <w:rPr>
          <w:sz w:val="20"/>
          <w:szCs w:val="20"/>
          <w:color w:val="auto"/>
        </w:rPr>
      </w:pPr>
      <w:r>
        <w:rPr>
          <w:rFonts w:ascii="Arial" w:cs="Arial" w:eastAsia="Arial" w:hAnsi="Arial"/>
          <w:sz w:val="16"/>
          <w:szCs w:val="16"/>
          <w:color w:val="auto"/>
        </w:rPr>
        <w:t>The provisions of Delaware law and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 Benefit Plan</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addition, the Tax Benefit Plan could make it more difficult for a third party to acquire, or could discourage a third party from acquiring, us or a large block of our common stock. A third party that acquires 4.99% or more of our common stock could suffer substantial dilution of its ownership interest under the terms of the Tax Benefit Plan through the issuance of common stock or common stock equivalents to all stockholders other than the acquiring person. The Tax Benefit Plan may also adversely affect the marketability of our common stock by discouraging potential investors from acquiring our stock. Further, the Tax Benefit Plan could delay or frustrate the removal of incumbent directors and could make a merger, tender offer or proxy contest involving us more difficult, or impede an attempt to acquire a significant or controlling interest in us, even if such events might be beneficial to us and our stockholders.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agent’s address is 250 Royall Street, Canton, MA 02021, and its telephone number is (781) 575-2879.</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common stock is listed on the NASDAQ Global Market under the symbol “FLDM.”</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459" w:right="1440"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The debt securities may be either secured or unsecured and will either be our senior debt securities or our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73"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The following is a summary of selected provisions and definitions of the indentures and debt securities to which any prospectus supplement may relate. Other specific terms of the applicable indenture and debt securities will be described in the applicable prospectus supplement. The summary of selected provisions of the indentures and the debt securities appearing below is not complete and is subject to, and qualified entirely by reference to, all of the provisions of the applicable indenture and certificates evidencing the applicable debt securities. If any particular terms of the indenture or debt securities described in a prospectus supplement differ from any of the terms described below, then the terms described below will be deemed to have been superseded by that prospectus supplement. For additional information, you should look at the applicable indenture and the certificate evidencing the applicable debt security that is filed as an exhibit to the registration statement that includes the prospectus.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131" w:lineRule="exact"/>
        <w:rPr>
          <w:sz w:val="20"/>
          <w:szCs w:val="20"/>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title;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75"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applicable, the method for determining how the principal, premium, if any, or interest will be calculated by reference to an index or formula;</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75" w:lineRule="exact"/>
        <w:rPr>
          <w:rFonts w:ascii="Arial" w:cs="Arial" w:eastAsia="Arial" w:hAnsi="Arial"/>
          <w:sz w:val="18"/>
          <w:szCs w:val="18"/>
          <w:color w:val="auto"/>
        </w:rPr>
      </w:pPr>
    </w:p>
    <w:p>
      <w:pPr>
        <w:ind w:left="1060" w:right="180" w:hanging="316"/>
        <w:spacing w:after="0" w:line="342"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security;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deletion, addition or change in any event of default;</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change or modification to the subordination provisions applicable to the subordinated debt securities if different from those described below under “Subordinated Debt Securities;”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deletion, addition or change in the covenants set forth in Article 10 of the indenture;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special tax provisions that apply to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respect to the debt securities that do not bear interest, the dates for certain required reports to the applicable trustee;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and all additional, eliminated or changed terms that will apply to the debt securities;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terms of such debt securities.</w:t>
      </w:r>
    </w:p>
    <w:p>
      <w:pPr>
        <w:spacing w:after="0" w:line="225" w:lineRule="exact"/>
        <w:rPr>
          <w:sz w:val="20"/>
          <w:szCs w:val="20"/>
          <w:color w:val="auto"/>
        </w:rPr>
      </w:pPr>
    </w:p>
    <w:p>
      <w:pPr>
        <w:jc w:val="both"/>
        <w:ind w:left="200" w:right="300" w:firstLine="441"/>
        <w:spacing w:after="0" w:line="312" w:lineRule="auto"/>
        <w:rPr>
          <w:sz w:val="20"/>
          <w:szCs w:val="20"/>
          <w:color w:val="auto"/>
        </w:rPr>
      </w:pPr>
      <w:r>
        <w:rPr>
          <w:rFonts w:ascii="Arial" w:cs="Arial" w:eastAsia="Arial" w:hAnsi="Arial"/>
          <w:sz w:val="16"/>
          <w:szCs w:val="16"/>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and Transfer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24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131" w:lineRule="exact"/>
        <w:rPr>
          <w:sz w:val="20"/>
          <w:szCs w:val="20"/>
          <w:color w:val="auto"/>
        </w:rPr>
      </w:pPr>
    </w:p>
    <w:p>
      <w:pPr>
        <w:ind w:left="1060" w:right="440" w:hanging="316"/>
        <w:spacing w:after="0" w:line="308"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51" w:lineRule="exact"/>
        <w:rPr>
          <w:rFonts w:ascii="Arial" w:cs="Arial" w:eastAsia="Arial" w:hAnsi="Arial"/>
          <w:sz w:val="17"/>
          <w:szCs w:val="17"/>
          <w:color w:val="auto"/>
        </w:rPr>
      </w:pPr>
    </w:p>
    <w:p>
      <w:pPr>
        <w:ind w:left="1060" w:right="480" w:hanging="316"/>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of the debt security being redeemed in part.</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We will appoint the trustee as the initial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debt securities of any series may be represented, in whole or in part, by one or more global securities. Each global security will:</w:t>
      </w:r>
    </w:p>
    <w:p>
      <w:pPr>
        <w:spacing w:after="0" w:line="131" w:lineRule="exact"/>
        <w:rPr>
          <w:sz w:val="20"/>
          <w:szCs w:val="20"/>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No global security may be exchanged in whole or in part for debt securities registered in the name of any person other than the depositary or any nominee unless:</w:t>
      </w:r>
    </w:p>
    <w:p>
      <w:pPr>
        <w:spacing w:after="0" w:line="76" w:lineRule="exact"/>
        <w:rPr>
          <w:sz w:val="20"/>
          <w:szCs w:val="20"/>
          <w:color w:val="auto"/>
        </w:rPr>
      </w:pPr>
    </w:p>
    <w:p>
      <w:pPr>
        <w:ind w:left="1060" w:hanging="316"/>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indentures. Except in the above limited circumstances, owners of beneficial interests in a global security will not be:</w:t>
      </w:r>
    </w:p>
    <w:p>
      <w:pPr>
        <w:spacing w:after="0" w:line="87" w:lineRule="exact"/>
        <w:rPr>
          <w:sz w:val="20"/>
          <w:szCs w:val="20"/>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Payments, transfers and exchanges relating to beneficial interests in a global security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security.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4"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131" w:lineRule="exact"/>
        <w:rPr>
          <w:sz w:val="20"/>
          <w:szCs w:val="20"/>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the end of two years after such payment was due,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will be repaid to us thereafter. The holder may look only to us for such payment.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highly-leveraged transaction, whether or not such transaction results in a change in control.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Unless we indicate otherwise in a prospectus supplement with respect to a particular series of debt securities, we may not consolidate with or merge into any other person (other than one of our subsidiaries), in a transaction in which we are not the surviving corporation, or convey, transfer or lease our properties and assets substantially as an entirety to, any person (other than a subsidiary of Fluidigm Corporation), unless:</w:t>
      </w:r>
    </w:p>
    <w:p>
      <w:pPr>
        <w:spacing w:after="0" w:line="52" w:lineRule="exact"/>
        <w:rPr>
          <w:sz w:val="20"/>
          <w:szCs w:val="20"/>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trust or other business entity;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debt securities and under the indentures;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76" w:lineRule="exact"/>
        <w:rPr>
          <w:sz w:val="20"/>
          <w:szCs w:val="20"/>
          <w:color w:val="auto"/>
        </w:rPr>
      </w:pPr>
    </w:p>
    <w:p>
      <w:pPr>
        <w:ind w:left="1020" w:hanging="38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wefail to pay principal of or any premium on any debt security of that series when due;</w:t>
      </w:r>
    </w:p>
    <w:p>
      <w:pPr>
        <w:spacing w:after="0" w:line="130" w:lineRule="exact"/>
        <w:rPr>
          <w:rFonts w:ascii="Arial" w:cs="Arial" w:eastAsia="Arial" w:hAnsi="Arial"/>
          <w:sz w:val="18"/>
          <w:szCs w:val="18"/>
          <w:color w:val="auto"/>
        </w:rPr>
      </w:pPr>
    </w:p>
    <w:p>
      <w:pPr>
        <w:ind w:left="1020" w:hanging="38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wefail to pay any interest on any debt security of that series for 30 days after it becomes due;</w:t>
      </w:r>
    </w:p>
    <w:p>
      <w:pPr>
        <w:spacing w:after="0" w:line="130" w:lineRule="exact"/>
        <w:rPr>
          <w:rFonts w:ascii="Arial" w:cs="Arial" w:eastAsia="Arial" w:hAnsi="Arial"/>
          <w:sz w:val="18"/>
          <w:szCs w:val="18"/>
          <w:color w:val="auto"/>
        </w:rPr>
      </w:pPr>
    </w:p>
    <w:p>
      <w:pPr>
        <w:ind w:left="1020" w:hanging="38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wefail to deposit any sinking fund payment when due;</w:t>
      </w:r>
    </w:p>
    <w:p>
      <w:pPr>
        <w:spacing w:after="0" w:line="130" w:lineRule="exact"/>
        <w:rPr>
          <w:rFonts w:ascii="Arial" w:cs="Arial" w:eastAsia="Arial" w:hAnsi="Arial"/>
          <w:sz w:val="18"/>
          <w:szCs w:val="18"/>
          <w:color w:val="auto"/>
        </w:rPr>
      </w:pPr>
    </w:p>
    <w:p>
      <w:pPr>
        <w:ind w:left="1240" w:right="340" w:hanging="604"/>
        <w:spacing w:after="0" w:line="277" w:lineRule="auto"/>
        <w:tabs>
          <w:tab w:leader="none" w:pos="1022"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wefail to perform any other covenant in the indenture and such failure continues for 90 days after we are given the notice required in the indentures; and</w:t>
      </w:r>
    </w:p>
    <w:p>
      <w:pPr>
        <w:spacing w:after="0" w:line="75" w:lineRule="exact"/>
        <w:rPr>
          <w:rFonts w:ascii="Arial" w:cs="Arial" w:eastAsia="Arial" w:hAnsi="Arial"/>
          <w:sz w:val="18"/>
          <w:szCs w:val="18"/>
          <w:color w:val="auto"/>
        </w:rPr>
      </w:pPr>
    </w:p>
    <w:p>
      <w:pPr>
        <w:ind w:left="1020" w:hanging="38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certainevents involving our bankruptcy, insolvency or reorganization.</w:t>
      </w:r>
    </w:p>
    <w:p>
      <w:pPr>
        <w:spacing w:after="0" w:line="22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25%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thereon, if any, to be due and payable immediately.</w:t>
      </w:r>
    </w:p>
    <w:p>
      <w:pPr>
        <w:spacing w:after="0" w:line="173"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thereon, if any, will automatically become immediately due and payable. Any payment by us on the subordinated debt securities following any such acceleration will be subject to the subordination provisions described below under “Subordinated Debt Securities.”</w:t>
      </w:r>
    </w:p>
    <w:p>
      <w:pPr>
        <w:spacing w:after="0" w:line="17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5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88" w:lineRule="exact"/>
        <w:rPr>
          <w:sz w:val="20"/>
          <w:szCs w:val="20"/>
          <w:color w:val="auto"/>
        </w:rPr>
      </w:pPr>
    </w:p>
    <w:p>
      <w:pPr>
        <w:ind w:left="200" w:right="560" w:firstLine="441"/>
        <w:spacing w:after="0" w:line="264"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1"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7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76" w:lineRule="exact"/>
        <w:rPr>
          <w:sz w:val="20"/>
          <w:szCs w:val="20"/>
          <w:color w:val="auto"/>
        </w:rPr>
      </w:pPr>
    </w:p>
    <w:p>
      <w:pPr>
        <w:ind w:left="1020" w:hanging="384"/>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theholder has previously given to the trustee written notice of a continuing event of default with respect to the debt securities of that series;</w:t>
      </w:r>
    </w:p>
    <w:p>
      <w:pPr>
        <w:spacing w:after="0" w:line="153" w:lineRule="exact"/>
        <w:rPr>
          <w:rFonts w:ascii="Arial" w:cs="Arial" w:eastAsia="Arial" w:hAnsi="Arial"/>
          <w:sz w:val="16"/>
          <w:szCs w:val="16"/>
          <w:color w:val="auto"/>
        </w:rPr>
      </w:pPr>
    </w:p>
    <w:p>
      <w:pPr>
        <w:ind w:left="1260" w:right="360" w:hanging="624"/>
        <w:spacing w:after="0" w:line="277" w:lineRule="auto"/>
        <w:tabs>
          <w:tab w:leader="none" w:pos="102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theholders of at least 25% in aggregate principal amount of the outstanding debt securities of that series have made a written request and have offered reasonable indemnity to the trustee to institute the proceeding; and</w:t>
      </w:r>
    </w:p>
    <w:p>
      <w:pPr>
        <w:spacing w:after="0" w:line="75" w:lineRule="exact"/>
        <w:rPr>
          <w:rFonts w:ascii="Arial" w:cs="Arial" w:eastAsia="Arial" w:hAnsi="Arial"/>
          <w:sz w:val="18"/>
          <w:szCs w:val="18"/>
          <w:color w:val="auto"/>
        </w:rPr>
      </w:pPr>
    </w:p>
    <w:p>
      <w:pPr>
        <w:ind w:left="1260" w:right="360" w:hanging="624"/>
        <w:spacing w:after="0" w:line="342" w:lineRule="auto"/>
        <w:tabs>
          <w:tab w:leader="none" w:pos="102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24"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2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76" w:lineRule="exact"/>
        <w:rPr>
          <w:sz w:val="20"/>
          <w:szCs w:val="20"/>
          <w:color w:val="auto"/>
        </w:rPr>
      </w:pPr>
    </w:p>
    <w:p>
      <w:pPr>
        <w:ind w:left="1060" w:right="500" w:hanging="316"/>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evidence the succession of another person to Fluidigm, or successive successions, and the assumption by any such successor of the covenants of Fluidigm in the indentures in compliance with Article 8 of the indentures;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adding covenants;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adding events of default;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debt securities;</w:t>
      </w:r>
    </w:p>
    <w:p>
      <w:pPr>
        <w:spacing w:after="0" w:line="130" w:lineRule="exact"/>
        <w:rPr>
          <w:rFonts w:ascii="Arial" w:cs="Arial" w:eastAsia="Arial" w:hAnsi="Arial"/>
          <w:sz w:val="18"/>
          <w:szCs w:val="18"/>
          <w:color w:val="auto"/>
        </w:rPr>
      </w:pPr>
    </w:p>
    <w:p>
      <w:pPr>
        <w:ind w:left="1060" w:hanging="316"/>
        <w:spacing w:after="0" w:line="259"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the indentures or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securing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establish the form or term of debt securities as permitted by Sections 2.1 and 3.1 of the indenture;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conforming the indenture to the description of the securities set forth in this prospectus or the accompanying prospectus supplement;</w:t>
      </w:r>
    </w:p>
    <w:p>
      <w:pPr>
        <w:spacing w:after="0" w:line="142" w:lineRule="exact"/>
        <w:rPr>
          <w:rFonts w:ascii="Arial" w:cs="Arial" w:eastAsia="Arial" w:hAnsi="Arial"/>
          <w:sz w:val="17"/>
          <w:szCs w:val="17"/>
          <w:color w:val="auto"/>
        </w:rPr>
      </w:pPr>
    </w:p>
    <w:p>
      <w:pPr>
        <w:ind w:left="1060" w:right="80" w:hanging="316"/>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curing any ambiguity, defect or inconsistency; provided that such action shall not adversely affect the interest of the holders in any material respect;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debt securities;</w:t>
      </w:r>
    </w:p>
    <w:p>
      <w:pPr>
        <w:spacing w:after="0" w:line="130"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such other provisions in regard to matters or questions arising under the indentures or under any supplemental indentures as our board of directors may deem necessary or desirable, and which does not in each case adversely affect the interests of the holders of the debt securities of a series; and</w:t>
      </w:r>
    </w:p>
    <w:p>
      <w:pPr>
        <w:spacing w:after="0" w:line="86"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comply with requirements of the SEC in order to effect or maintain the qualifications of the indentures under the Trust Indenture Act of 1939, as amended (the “Trust Indenture Act”).</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76" w:lineRule="exact"/>
        <w:rPr>
          <w:sz w:val="20"/>
          <w:szCs w:val="20"/>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or interest on, any debt security;</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131" w:lineRule="exact"/>
        <w:rPr>
          <w:sz w:val="20"/>
          <w:szCs w:val="20"/>
          <w:color w:val="auto"/>
        </w:rPr>
      </w:pPr>
    </w:p>
    <w:p>
      <w:pPr>
        <w:ind w:left="1060" w:right="340" w:hanging="316"/>
        <w:spacing w:after="0" w:line="259"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92" w:lineRule="exact"/>
        <w:rPr>
          <w:rFonts w:ascii="Arial" w:cs="Arial" w:eastAsia="Arial" w:hAnsi="Arial"/>
          <w:sz w:val="18"/>
          <w:szCs w:val="18"/>
          <w:color w:val="auto"/>
        </w:rPr>
      </w:pPr>
    </w:p>
    <w:p>
      <w:pPr>
        <w:ind w:left="1060" w:right="200" w:hanging="316"/>
        <w:spacing w:after="0" w:line="342" w:lineRule="auto"/>
        <w:tabs>
          <w:tab w:leader="none" w:pos="10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24"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5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With respect to debt securities of any series that are denominated in a currency other than United States dollars, “foreign government obligations” means:</w:t>
      </w:r>
    </w:p>
    <w:p>
      <w:pPr>
        <w:spacing w:after="0" w:line="76" w:lineRule="exact"/>
        <w:rPr>
          <w:sz w:val="20"/>
          <w:szCs w:val="20"/>
          <w:color w:val="auto"/>
        </w:rPr>
      </w:pPr>
    </w:p>
    <w:p>
      <w:pPr>
        <w:ind w:left="1060" w:right="260" w:hanging="316"/>
        <w:spacing w:after="0" w:line="302" w:lineRule="auto"/>
        <w:tabs>
          <w:tab w:leader="none" w:pos="10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59" w:lineRule="exact"/>
        <w:rPr>
          <w:rFonts w:ascii="Arial" w:cs="Arial" w:eastAsia="Arial" w:hAnsi="Arial"/>
          <w:sz w:val="16"/>
          <w:szCs w:val="16"/>
          <w:color w:val="auto"/>
        </w:rPr>
      </w:pPr>
    </w:p>
    <w:p>
      <w:pPr>
        <w:ind w:left="1060" w:hanging="316"/>
        <w:spacing w:after="0" w:line="264"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under, the laws of the State of New York, except to the extent that the Trust Indenture Act is applicable.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Regarding the Trustee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Subordinated Debt Securities</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87" w:lineRule="exact"/>
        <w:rPr>
          <w:sz w:val="20"/>
          <w:szCs w:val="20"/>
          <w:color w:val="auto"/>
        </w:rPr>
      </w:pPr>
    </w:p>
    <w:p>
      <w:pPr>
        <w:jc w:val="both"/>
        <w:ind w:left="200" w:right="280" w:firstLine="441"/>
        <w:spacing w:after="0" w:line="286" w:lineRule="auto"/>
        <w:rPr>
          <w:sz w:val="20"/>
          <w:szCs w:val="20"/>
          <w:color w:val="auto"/>
        </w:rPr>
      </w:pPr>
      <w:r>
        <w:rPr>
          <w:rFonts w:ascii="Arial" w:cs="Arial" w:eastAsia="Arial" w:hAnsi="Arial"/>
          <w:sz w:val="17"/>
          <w:szCs w:val="17"/>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66"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subordinated indenture, we may not make payment on the subordinated debt securities if:</w:t>
      </w:r>
    </w:p>
    <w:p>
      <w:pPr>
        <w:spacing w:after="0" w:line="131" w:lineRule="exact"/>
        <w:rPr>
          <w:sz w:val="20"/>
          <w:szCs w:val="20"/>
          <w:color w:val="auto"/>
        </w:rPr>
      </w:pPr>
    </w:p>
    <w:p>
      <w:pPr>
        <w:ind w:left="1060" w:right="180" w:hanging="316"/>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 w:hanging="316"/>
        <w:spacing w:after="0" w:line="264"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will resume payments on the subordinated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130"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1"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Additional or different subordination provisions may be described in a prospectus supplement relating to a particular series of debt securities.</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Definitions</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76" w:lineRule="exact"/>
        <w:rPr>
          <w:sz w:val="20"/>
          <w:szCs w:val="20"/>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8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153" w:lineRule="exact"/>
        <w:rPr>
          <w:rFonts w:ascii="Arial" w:cs="Arial" w:eastAsia="Arial" w:hAnsi="Arial"/>
          <w:sz w:val="16"/>
          <w:szCs w:val="16"/>
          <w:color w:val="auto"/>
        </w:rPr>
      </w:pPr>
    </w:p>
    <w:p>
      <w:pPr>
        <w:ind w:left="1620" w:right="700" w:hanging="430"/>
        <w:spacing w:after="0" w:line="277"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75"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75"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86"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71" w:lineRule="exact"/>
        <w:rPr>
          <w:sz w:val="20"/>
          <w:szCs w:val="20"/>
          <w:color w:val="auto"/>
        </w:rPr>
      </w:pPr>
    </w:p>
    <w:p>
      <w:pPr>
        <w:ind w:left="1060" w:right="140" w:hanging="316"/>
        <w:spacing w:after="0" w:line="264"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“Subsidiary” means a corporation more than 50% of the outstanding voting stock of which is owned, directly or indirectly, by us or by one or more of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THE WARRANTS</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may issue warrants for the purchase of common stock, preferred stock or debt securities or any combination thereof. Warrants may be issued independently or together with common stock, preferred stock or debt securities and may be attached to or separate from any offered securities. Each series of warrants will be issued under a separate warrant agreement. This summary of some provisions of the warrants is not complete. You should refer to the warrant agreement relating to the specific warrants being offered for the complete terms of the warrants.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particular terms of any issue of warrants will be described in the prospectus supplement relating to the issue. Those terms may include:</w:t>
      </w:r>
    </w:p>
    <w:p>
      <w:pPr>
        <w:spacing w:after="0" w:line="142" w:lineRule="exact"/>
        <w:rPr>
          <w:sz w:val="20"/>
          <w:szCs w:val="20"/>
          <w:color w:val="auto"/>
        </w:rPr>
      </w:pPr>
    </w:p>
    <w:p>
      <w:pPr>
        <w:ind w:left="1060" w:right="80" w:hanging="316"/>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75"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Holders of equity warrants will not be entitled:</w:t>
      </w:r>
    </w:p>
    <w:p>
      <w:pPr>
        <w:spacing w:after="0" w:line="131" w:lineRule="exact"/>
        <w:rPr>
          <w:sz w:val="20"/>
          <w:szCs w:val="20"/>
          <w:color w:val="auto"/>
        </w:rPr>
      </w:pPr>
    </w:p>
    <w:p>
      <w:pPr>
        <w:ind w:left="1060" w:hanging="316"/>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receive notice as stockholders with respect to any meeting of stockholders for the election of our directors or any other matter; or</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exercise any rights as stockholders of Fluidigm.</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Debt warrant certificates may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of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92" w:lineRule="exact"/>
        <w:rPr>
          <w:sz w:val="20"/>
          <w:szCs w:val="20"/>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underwriting discounts, commissions or agency fees and other items constituting underwriters’ or agents’ compensation;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initial price to public;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may issue to the holders of our common stock on a pro rata basis for no consideration, subscription rights to purchase shares of our common stock or preferred stock. These subscription rights may or may not be transferable by stockholders. The applicable prospectus supplement will describe the specific terms of any offering of our common or preferred stock through the issuance of subscription rights, including the terms of the subscription rights offering, the terms, procedures and limitations relating to the exchange and exercise of the subscription rights and, if applicable, the material terms of any standby underwriting or purchase arrangement entered into by us in connection with the offering of common or preferred stock through the issuance of subscription rights.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21"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66"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Delayed Delivery Contracts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At-the-Market Offerings</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To the extent that we make sales through one or more underwriters or agents in at-the-market offerings, we will do so pursuant to the terms of a sales agency financing agreement or other at-the-market offering arrangement between us, on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in each case in a manner that constitutes an “at the market” offering as defined in Rule 415(a)(4) of the Securities Act. Any such agreement will provide that any securities sold will be sold at prices related to the then prevailing market prices for our securities. Therefore, exact figures regarding proceeds that will be raised or commissions to be paid cannot be determined as of the date of this prospectus. The terms of any such agreement will be set forth in more detail in the applicable prospectus or prospectus supplement.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Derivative Transactions and Hedging</w:t>
      </w:r>
    </w:p>
    <w:p>
      <w:pPr>
        <w:spacing w:after="0" w:line="12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Auctions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will want to pay particular attention to the description of that system we will provide in a prospectus supplement.</w:t>
      </w:r>
    </w:p>
    <w:p>
      <w:pPr>
        <w:spacing w:after="0" w:line="18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debt security, the clearing spread could be indicated as a number of “basis points” above an index treasury note. Of course, many pricing methods can and may also be used.</w:t>
      </w:r>
    </w:p>
    <w:p>
      <w:pPr>
        <w:spacing w:after="0" w:line="178"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 In no event will the total amount of compensation paid to the agents, underwriters and dealers upon completion of any offering exceed 8.0% of the gross proceeds of such offering.</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Certain legal matters will be passed upon for us by Wilson Sonsini Goodrich &amp; Rosati, Professional Corporation, Palo Alto, California. Additional legal matters may be passed on for us, or any underwriters, dealers or agents, by counsel that we will name in the applicable prospectus supplement.</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financial statements as of December 31, 2016 and 2015 and for the two years ended December 31, 2016 and management’s assessment of the effectiveness of internal control over financial reporting (which is included in Management’s Report on Internal Control over Financial Reporting) as of December 31, 2016 incorporated in this prospectus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188"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as of and for the year ended December 31, 2014, included in our Annual Report on Form 10-K for the year ended December 31, 2016, as set forth in their report which is incorporated by reference in this prospectus and elsewhere in the registration statement. Our consolidated financial statements are incorporated by reference in reliance on Ernst &amp; Young LLP’s reports, given on their authority as experts in accounting and auditing.</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We file annual, quarterly and other reports, proxy statements and other information with the SEC. Our SEC filings are available to the public over the Internet at the SEC’s website at http://www.sec.gov. You may also read and copy any document we file at the SEC’s Public Reference Room at</w:t>
      </w:r>
    </w:p>
    <w:p>
      <w:pPr>
        <w:ind w:left="200" w:right="80"/>
        <w:spacing w:after="0" w:line="292" w:lineRule="auto"/>
        <w:rPr>
          <w:sz w:val="20"/>
          <w:szCs w:val="20"/>
          <w:color w:val="auto"/>
        </w:rPr>
      </w:pPr>
      <w:r>
        <w:rPr>
          <w:rFonts w:ascii="Arial" w:cs="Arial" w:eastAsia="Arial" w:hAnsi="Arial"/>
          <w:sz w:val="16"/>
          <w:szCs w:val="16"/>
          <w:color w:val="auto"/>
        </w:rPr>
        <w:t>100 F Street, NE, Washington, D.C. 20549. Please call the SEC at 1-800-SEC-0330 for further information on the Public Reference Room. Our Annual Report on Form 10-K, Quarterly Reports on Form 10-Q, and Current Reports on Form 8-K, including any amendments to those reports, and other information that we file with or furnish to the SEC pursuant to Section 13(a) or 15(d) of the Exchange Act can also be accessed free charge through the investor relations page of our website located at http://investors.fluidigm.com/sec.cfm. These filings will be available as soon as reasonably practicable after we electronically file such material with, or furnish it to, the SEC. Information contained on our website is not part of this prospectus.</w:t>
      </w:r>
    </w:p>
    <w:p>
      <w:pPr>
        <w:spacing w:after="0" w:line="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We incorporate by reference the following information or documents that we have filed with the SEC (excluding those portions of any Form 8-K that are not deemed “filed” pursuant to the General Instructions of Form 8-K):</w:t>
      </w:r>
    </w:p>
    <w:p>
      <w:pPr>
        <w:spacing w:after="0" w:line="77" w:lineRule="exact"/>
        <w:rPr>
          <w:sz w:val="20"/>
          <w:szCs w:val="20"/>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2016 filed with the SEC on March 3, 2017;</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11, 2017, February 10, 2017, and March 2, 2017;</w:t>
      </w:r>
    </w:p>
    <w:p>
      <w:pPr>
        <w:spacing w:after="0" w:line="130"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 No. 001-34180) filed with the Commission on February 7, 2011, pursuant to Section 12(b) of the Exchange Act, including any amendment or report filed for the purpose of updating such description; and</w:t>
      </w:r>
    </w:p>
    <w:p>
      <w:pPr>
        <w:spacing w:after="0" w:line="86" w:lineRule="exact"/>
        <w:rPr>
          <w:rFonts w:ascii="Arial" w:cs="Arial" w:eastAsia="Arial" w:hAnsi="Arial"/>
          <w:sz w:val="18"/>
          <w:szCs w:val="18"/>
          <w:color w:val="auto"/>
        </w:rPr>
      </w:pPr>
    </w:p>
    <w:p>
      <w:pPr>
        <w:ind w:left="1060" w:right="80" w:hanging="316"/>
        <w:spacing w:after="0" w:line="264"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description of the our preferred share purchase rights contained in our on Form 8-A (File No. 001-34180) filed with the Commission on November 22, 2016, pursuant to Section 12(b) of the Exchange Act, including any amendment or report filed for the purpose of updating such description.</w:t>
      </w:r>
    </w:p>
    <w:p>
      <w:pPr>
        <w:spacing w:after="0" w:line="18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71" w:lineRule="exact"/>
        <w:rPr>
          <w:sz w:val="20"/>
          <w:szCs w:val="20"/>
          <w:color w:val="auto"/>
        </w:rPr>
      </w:pPr>
    </w:p>
    <w:p>
      <w:pPr>
        <w:ind w:left="200" w:right="360" w:firstLine="441"/>
        <w:spacing w:after="0" w:line="312" w:lineRule="auto"/>
        <w:rPr>
          <w:sz w:val="20"/>
          <w:szCs w:val="20"/>
          <w:color w:val="auto"/>
        </w:rPr>
      </w:pPr>
      <w:r>
        <w:rPr>
          <w:rFonts w:ascii="Arial" w:cs="Arial" w:eastAsia="Arial" w:hAnsi="Arial"/>
          <w:sz w:val="16"/>
          <w:szCs w:val="16"/>
          <w:color w:val="auto"/>
        </w:rPr>
        <w:t>Any statement contained in any document incorporated by reference herein shall be deemed to be modified or superseded for purposes of this prospectus to the extent that a statement contained in this prospectus or any prospectus supplement modifies or supersedes such statement. Any statement so modified or superseded shall not be deemed, except as so modified or superseded, to constitute a part of this prospectus.</w:t>
      </w:r>
    </w:p>
    <w:p>
      <w:pPr>
        <w:spacing w:after="0" w:line="14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Under no circumstances will any information furnished under current items 2.02 or 7.01 of Form 8-K be deemed incorporated herein by reference unless such Form 8-K expressly provides to the contrary.</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will provide without charge to each person, including any beneficial owner, to whom this prospectus is delivered, upon written or oral request, a copy of any or all documents that are incorporated by reference into this prospectus, but not delivered with the prospectus, other than exhibits to such documents unless such exhibits are specifically incorporated by reference into the documents that this prospectus incorporates. You should direct written requests to: Fluidigm Corporation, 7000 Shoreline Court, Suite 100, South San Francisco, CA 94080, Attention: Investor Relations, or you may call us at (650) 266-6000.</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left="5740"/>
        <w:spacing w:after="0"/>
        <w:rPr>
          <w:sz w:val="20"/>
          <w:szCs w:val="20"/>
          <w:color w:val="auto"/>
        </w:rPr>
      </w:pPr>
      <w:r>
        <w:rPr>
          <w:rFonts w:ascii="Arial" w:cs="Arial" w:eastAsia="Arial" w:hAnsi="Arial"/>
          <w:sz w:val="29"/>
          <w:szCs w:val="29"/>
          <w:b w:val="1"/>
          <w:bCs w:val="1"/>
          <w:color w:val="465361"/>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331470</wp:posOffset>
            </wp:positionV>
            <wp:extent cx="3704590" cy="12090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70459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465361"/>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9"/>
        <w:spacing w:after="0"/>
        <w:rPr>
          <w:sz w:val="20"/>
          <w:szCs w:val="20"/>
          <w:color w:val="auto"/>
        </w:rPr>
      </w:pPr>
      <w:r>
        <w:rPr>
          <w:rFonts w:ascii="Arial" w:cs="Arial" w:eastAsia="Arial" w:hAnsi="Arial"/>
          <w:sz w:val="16"/>
          <w:szCs w:val="16"/>
          <w:i w:val="1"/>
          <w:iCs w:val="1"/>
          <w:color w:val="465361"/>
        </w:rPr>
        <w:t>Joint Book-Running Managers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30"/>
          <w:szCs w:val="30"/>
          <w:b w:val="1"/>
          <w:bCs w:val="1"/>
          <w:color w:val="465361"/>
        </w:rPr>
        <w:t>Piper Jaffray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9"/>
          <w:szCs w:val="29"/>
          <w:b w:val="1"/>
          <w:bCs w:val="1"/>
          <w:color w:val="465361"/>
        </w:rPr>
        <w:t>UBS Investment Bank</w:t>
      </w:r>
    </w:p>
    <w:p>
      <w:pPr>
        <w:spacing w:after="0" w:line="211" w:lineRule="exact"/>
        <w:rPr>
          <w:sz w:val="20"/>
          <w:szCs w:val="20"/>
          <w:color w:val="auto"/>
        </w:rPr>
      </w:pPr>
    </w:p>
    <w:p>
      <w:pPr>
        <w:sectPr>
          <w:pgSz w:w="11900" w:h="16838" w:orient="portrait"/>
          <w:cols w:equalWidth="0" w:num="2">
            <w:col w:w="7420" w:space="720"/>
            <w:col w:w="3080"/>
          </w:cols>
          <w:pgMar w:left="240" w:top="459" w:right="43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jc w:val="center"/>
        <w:ind w:right="-219"/>
        <w:spacing w:after="0"/>
        <w:tabs>
          <w:tab w:leader="none" w:pos="140" w:val="left"/>
        </w:tabs>
        <w:rPr>
          <w:sz w:val="20"/>
          <w:szCs w:val="20"/>
          <w:color w:val="auto"/>
        </w:rPr>
      </w:pPr>
      <w:r>
        <w:rPr>
          <w:rFonts w:ascii="Arial" w:cs="Arial" w:eastAsia="Arial" w:hAnsi="Arial"/>
          <w:sz w:val="18"/>
          <w:szCs w:val="18"/>
          <w:b w:val="1"/>
          <w:bCs w:val="1"/>
          <w:color w:val="465361"/>
        </w:rPr>
        <w:t>December</w:t>
      </w:r>
      <w:r>
        <w:rPr>
          <w:sz w:val="20"/>
          <w:szCs w:val="20"/>
          <w:color w:val="auto"/>
        </w:rPr>
        <w:tab/>
      </w:r>
      <w:r>
        <w:rPr>
          <w:rFonts w:ascii="Arial" w:cs="Arial" w:eastAsia="Arial" w:hAnsi="Arial"/>
          <w:sz w:val="16"/>
          <w:szCs w:val="16"/>
          <w:b w:val="1"/>
          <w:bCs w:val="1"/>
          <w:color w:val="465361"/>
        </w:rPr>
        <w:t>, 2018</w:t>
      </w:r>
    </w:p>
    <w:sectPr>
      <w:pgSz w:w="11900" w:h="16838" w:orient="portrait"/>
      <w:cols w:equalWidth="0" w:num="1">
        <w:col w:w="112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1)"/>
      <w:numFmt w:val="decimal"/>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1)"/>
      <w:numFmt w:val="lowerLetter"/>
      <w:start w:val="1"/>
    </w:lvl>
  </w:abstractNum>
  <w:abstractNum w:abstractNumId="25">
    <w:nsid w:val="57E4CCAF"/>
    <w:multiLevelType w:val="hybridMultilevel"/>
    <w:lvl w:ilvl="0">
      <w:lvlJc w:val="left"/>
      <w:lvlText w:val="(%1)"/>
      <w:numFmt w:val="lowerLetter"/>
      <w:start w:val="1"/>
    </w:lvl>
  </w:abstractNum>
  <w:abstractNum w:abstractNumId="26">
    <w:nsid w:val="7A6D8D3C"/>
    <w:multiLevelType w:val="hybridMultilevel"/>
    <w:lvl w:ilvl="0">
      <w:lvlJc w:val="left"/>
      <w:lvlText w:val="(%1)"/>
      <w:numFmt w:val="lowerLetter"/>
      <w:start w:val="2"/>
    </w:lvl>
  </w:abstractNum>
  <w:abstractNum w:abstractNumId="27">
    <w:nsid w:val="4B588F54"/>
    <w:multiLevelType w:val="hybridMultilevel"/>
    <w:lvl w:ilvl="0">
      <w:lvlJc w:val="left"/>
      <w:lvlText w:val="(%1)"/>
      <w:numFmt w:val="lowerLetter"/>
      <w:start w:val="1"/>
    </w:lvl>
  </w:abstractNum>
  <w:abstractNum w:abstractNumId="28">
    <w:nsid w:val="542289EC"/>
    <w:multiLevelType w:val="hybridMultilevel"/>
    <w:lvl w:ilvl="0">
      <w:lvlJc w:val="left"/>
      <w:lvlText w:val="(%1)"/>
      <w:numFmt w:val="lowerRoman"/>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1)"/>
      <w:numFmt w:val="decimal"/>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lvl w:ilvl="1">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2019-12-06T19:40:41Z</dcterms:created>
  <dcterms:modified xsi:type="dcterms:W3CDTF">2019-12-06T19:40:41Z</dcterms:modified>
</cp:coreProperties>
</file>