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May 4, 2017</w:t>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00"/>
          </w:cols>
          <w:pgMar w:left="240" w:top="724" w:right="35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220"/>
          </w:cols>
          <w:pgMar w:left="240" w:top="724" w:right="3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72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May 4, 2017, Fluidigm Corporation issued a press release reporting its financial results for the first quarter ended March 31, 2017. A copy of the press release is furnished herewith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ectPr>
          <w:pgSz w:w="11900" w:h="16838" w:orient="portrait"/>
          <w:cols w:equalWidth="0" w:num="1">
            <w:col w:w="11380"/>
          </w:cols>
          <w:pgMar w:left="240" w:top="121" w:right="279" w:bottom="1440" w:gutter="0" w:footer="0" w:header="0"/>
        </w:sectPr>
      </w:pPr>
    </w:p>
    <w:p>
      <w:pPr>
        <w:spacing w:after="0" w:line="26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97" w:lineRule="exact"/>
        <w:rPr>
          <w:sz w:val="20"/>
          <w:szCs w:val="20"/>
          <w:color w:val="auto"/>
        </w:rPr>
      </w:pPr>
    </w:p>
    <w:p>
      <w:pPr>
        <w:sectPr>
          <w:pgSz w:w="11900" w:h="16838" w:orient="portrait"/>
          <w:cols w:equalWidth="0" w:num="2">
            <w:col w:w="1440" w:space="720"/>
            <w:col w:w="9220"/>
          </w:cols>
          <w:pgMar w:left="240" w:top="121" w:right="279" w:bottom="1440" w:gutter="0" w:footer="0" w:header="0"/>
          <w:type w:val="continuous"/>
        </w:sectPr>
      </w:pPr>
    </w:p>
    <w:p>
      <w:pPr>
        <w:ind w:left="620"/>
        <w:spacing w:after="0"/>
        <w:rPr>
          <w:sz w:val="20"/>
          <w:szCs w:val="20"/>
          <w:color w:val="auto"/>
        </w:rPr>
      </w:pPr>
      <w:r>
        <w:rPr>
          <w:rFonts w:ascii="Arial" w:cs="Arial" w:eastAsia="Arial" w:hAnsi="Arial"/>
          <w:sz w:val="16"/>
          <w:szCs w:val="16"/>
          <w:b w:val="1"/>
          <w:bCs w:val="1"/>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Fluidigm Corporation Press Release dated May 4, 2017</w:t>
      </w:r>
    </w:p>
    <w:p>
      <w:pPr>
        <w:spacing w:after="0" w:line="200" w:lineRule="exact"/>
        <w:rPr>
          <w:sz w:val="20"/>
          <w:szCs w:val="20"/>
          <w:color w:val="auto"/>
        </w:rPr>
      </w:pPr>
    </w:p>
    <w:p>
      <w:pPr>
        <w:sectPr>
          <w:pgSz w:w="11900" w:h="16838" w:orient="portrait"/>
          <w:cols w:equalWidth="0" w:num="2">
            <w:col w:w="1440" w:space="720"/>
            <w:col w:w="9220"/>
          </w:cols>
          <w:pgMar w:left="240" w:top="121" w:right="279" w:bottom="1440" w:gutter="0" w:footer="0" w:header="0"/>
          <w:type w:val="continuous"/>
        </w:sectPr>
      </w:pP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960" w:type="dxa"/>
            <w:vAlign w:val="bottom"/>
            <w:gridSpan w:val="3"/>
          </w:tcPr>
          <w:p>
            <w:pPr>
              <w:ind w:left="208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460" w:type="dxa"/>
            <w:vAlign w:val="bottom"/>
          </w:tcPr>
          <w:p>
            <w:pPr>
              <w:spacing w:after="0"/>
              <w:rPr>
                <w:sz w:val="20"/>
                <w:szCs w:val="20"/>
                <w:color w:val="auto"/>
              </w:rPr>
            </w:pPr>
            <w:r>
              <w:rPr>
                <w:rFonts w:ascii="Arial" w:cs="Arial" w:eastAsia="Arial" w:hAnsi="Arial"/>
                <w:sz w:val="18"/>
                <w:szCs w:val="18"/>
                <w:color w:val="auto"/>
              </w:rPr>
              <w:t>Date: May 4, 2017</w:t>
            </w:r>
          </w:p>
        </w:tc>
        <w:tc>
          <w:tcPr>
            <w:tcW w:w="7960" w:type="dxa"/>
            <w:vAlign w:val="bottom"/>
            <w:gridSpan w:val="3"/>
          </w:tcPr>
          <w:p>
            <w:pPr>
              <w:ind w:left="2080"/>
              <w:spacing w:after="0"/>
              <w:rPr>
                <w:sz w:val="20"/>
                <w:szCs w:val="20"/>
                <w:color w:val="auto"/>
              </w:rPr>
            </w:pPr>
            <w:r>
              <w:rPr>
                <w:rFonts w:ascii="Arial" w:cs="Arial" w:eastAsia="Arial" w:hAnsi="Arial"/>
                <w:sz w:val="18"/>
                <w:szCs w:val="18"/>
                <w:color w:val="auto"/>
              </w:rPr>
              <w:t>By: /s/ Vikram Jog</w:t>
            </w:r>
          </w:p>
        </w:tc>
      </w:tr>
      <w:tr>
        <w:trPr>
          <w:trHeight w:val="222"/>
        </w:trPr>
        <w:tc>
          <w:tcPr>
            <w:tcW w:w="34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Vikram Jog</w:t>
            </w:r>
          </w:p>
        </w:tc>
        <w:tc>
          <w:tcPr>
            <w:tcW w:w="416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42"/>
        </w:trPr>
        <w:tc>
          <w:tcPr>
            <w:tcW w:w="346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Fluidigm Corporation Press Release dated May 4, 2017</w:t>
      </w:r>
    </w:p>
    <w:p>
      <w:pPr>
        <w:sectPr>
          <w:pgSz w:w="11900" w:h="16838" w:orient="portrait"/>
          <w:cols w:equalWidth="0" w:num="1">
            <w:col w:w="10219"/>
          </w:cols>
          <w:pgMar w:left="2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Announces First Quarter Financial Results</w:t>
      </w:r>
    </w:p>
    <w:p>
      <w:pPr>
        <w:spacing w:after="0" w:line="212"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SOUTH SAN FRANCISCO, Calif., May 04, 2017 (GLOBE NEWSWIRE) -- Fluidigm Corporation (NASDAQ:FLDM) today announced its financial results for the first quarter ended March 31, 2017.</w:t>
      </w:r>
    </w:p>
    <w:p>
      <w:pPr>
        <w:spacing w:after="0" w:line="17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Total revenue for the quarter was $25.5 million, a decrease of 12% from $29.0 million in the first quarter of 2016 and an increase of 2% from $25.1 million in the fourth quarter of 2016. GAAP net loss for the first quarter of 2017 was $17.2 million, compared with a GAAP net loss of $19.9 million for the first quarter of 2016. Non-GAAP net loss for the first quarter of 2017 was $9.6 million, compared with an $11.5 million non-GAAP net loss for the first quarter of 2016 (see accompanying table for reconciliation of GAAP and non-GAAP measures).</w:t>
      </w:r>
    </w:p>
    <w:p>
      <w:pPr>
        <w:spacing w:after="0" w:line="188"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“Our first quarter revenue was in line with our expectations. Importantly, we are making meaningful progress on our initiatives and working diligently to reshape our business. We are confident that the changes we are making position Fluidigm for sustainable long-term growth. In particular, we are excited about the enthusiasm for our broadening mass cytometry portfolio as evidenced by our new system placements and growth in consumables,” said Chris Linthwaite, President and CEO.</w:t>
      </w:r>
    </w:p>
    <w:p>
      <w:pPr>
        <w:spacing w:after="0" w:line="143" w:lineRule="exact"/>
        <w:rPr>
          <w:sz w:val="20"/>
          <w:szCs w:val="20"/>
          <w:color w:val="auto"/>
        </w:rPr>
      </w:pPr>
    </w:p>
    <w:p>
      <w:pPr>
        <w:ind w:right="240"/>
        <w:spacing w:after="0" w:line="287" w:lineRule="auto"/>
        <w:rPr>
          <w:sz w:val="20"/>
          <w:szCs w:val="20"/>
          <w:color w:val="auto"/>
        </w:rPr>
      </w:pPr>
      <w:r>
        <w:rPr>
          <w:rFonts w:ascii="Arial" w:cs="Arial" w:eastAsia="Arial" w:hAnsi="Arial"/>
          <w:sz w:val="19"/>
          <w:szCs w:val="19"/>
          <w:color w:val="auto"/>
        </w:rPr>
        <w:t>“Also, we welcomed two new members, Nicolas Barthelemy and Carlos Paya, to our Board of Directors. Their deep industry knowledge and expertise will be instrumental in helping us accelerate key elements of our strategy. As we previously announced, John Young is retiring from the Board before the next annual meeting of stockholders. On behalf of the Board and the entire company, we thank John for his immeasurable contribution to Fluidigm,” continued Linthwaite.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2017 Performance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revenue of $25.5 million by category:</w:t>
      </w:r>
    </w:p>
    <w:p>
      <w:pPr>
        <w:spacing w:after="0" w:line="188" w:lineRule="exact"/>
        <w:rPr>
          <w:sz w:val="20"/>
          <w:szCs w:val="20"/>
          <w:color w:val="auto"/>
        </w:rPr>
      </w:pPr>
    </w:p>
    <w:p>
      <w:pPr>
        <w:ind w:left="540" w:right="320"/>
        <w:spacing w:after="0" w:line="271" w:lineRule="auto"/>
        <w:rPr>
          <w:sz w:val="20"/>
          <w:szCs w:val="20"/>
          <w:color w:val="auto"/>
        </w:rPr>
      </w:pPr>
      <w:r>
        <w:rPr>
          <w:rFonts w:ascii="Arial" w:cs="Arial" w:eastAsia="Arial" w:hAnsi="Arial"/>
          <w:sz w:val="19"/>
          <w:szCs w:val="19"/>
          <w:color w:val="auto"/>
        </w:rPr>
        <w:t>Instrument revenue decreased 22% to $10.7 million from $13.8 million in the year ago period, primarily due to decreased revenue from single-cell genomics instruments, partially offset by increased revenue from mass cytometry systems. Consumables revenue decreased 9% to $10.6 million from $11.6 million in the year ago period due to lower revenue from genomics products, partially offset by increased revenue from mass cytometry reagents.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-565150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-256540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700"/>
        <w:spacing w:after="0" w:line="237" w:lineRule="auto"/>
        <w:rPr>
          <w:sz w:val="20"/>
          <w:szCs w:val="20"/>
          <w:color w:val="auto"/>
        </w:rPr>
      </w:pPr>
      <w:r>
        <w:rPr>
          <w:rFonts w:ascii="Arial" w:cs="Arial" w:eastAsia="Arial" w:hAnsi="Arial"/>
          <w:sz w:val="22"/>
          <w:szCs w:val="22"/>
          <w:color w:val="auto"/>
        </w:rPr>
        <w:t>Service revenue increased 18% to $4.2 million from $3.5 million in the year ago period driven primarily by increased revenue from post-warranty service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revenue of $21.3 million by market:</w:t>
      </w:r>
    </w:p>
    <w:p>
      <w:pPr>
        <w:spacing w:after="0" w:line="212" w:lineRule="exact"/>
        <w:rPr>
          <w:sz w:val="20"/>
          <w:szCs w:val="20"/>
          <w:color w:val="auto"/>
        </w:rPr>
      </w:pPr>
    </w:p>
    <w:p>
      <w:pPr>
        <w:ind w:left="540" w:right="260"/>
        <w:spacing w:after="0" w:line="239" w:lineRule="auto"/>
        <w:rPr>
          <w:sz w:val="20"/>
          <w:szCs w:val="20"/>
          <w:color w:val="auto"/>
        </w:rPr>
      </w:pPr>
      <w:r>
        <w:rPr>
          <w:rFonts w:ascii="Arial" w:cs="Arial" w:eastAsia="Arial" w:hAnsi="Arial"/>
          <w:sz w:val="22"/>
          <w:szCs w:val="22"/>
          <w:color w:val="auto"/>
        </w:rPr>
        <w:t>Genomics product revenue of $11.4 million decreased 38% from $18.3 million in the prior year period driven primarily by lower revenue from single-cell genomics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100"/>
        <w:spacing w:after="0" w:line="234" w:lineRule="auto"/>
        <w:rPr>
          <w:sz w:val="20"/>
          <w:szCs w:val="20"/>
          <w:color w:val="auto"/>
        </w:rPr>
      </w:pPr>
      <w:r>
        <w:rPr>
          <w:rFonts w:ascii="Arial" w:cs="Arial" w:eastAsia="Arial" w:hAnsi="Arial"/>
          <w:sz w:val="22"/>
          <w:szCs w:val="22"/>
          <w:color w:val="auto"/>
        </w:rPr>
        <w:t>Mass cytometry product revenue of $9.9 million increased 39% from $7.1 million in the prior year period, with sales growth in both instruments and consumables. Notably, instrument revenue benefited from the fulfillment of a substantial portion of the initial orders for Imaging Mass Cytometry Systems by early-adopting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-419735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revenue by geographic area:</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Geographic Area Revenue by Geography Year-over-year Change %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49739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3955" cy="889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6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United States</w:t>
            </w:r>
          </w:p>
        </w:tc>
        <w:tc>
          <w:tcPr>
            <w:tcW w:w="2340" w:type="dxa"/>
            <w:vAlign w:val="bottom"/>
            <w:tcBorders>
              <w:top w:val="single" w:sz="8" w:color="auto"/>
            </w:tcBorders>
          </w:tcPr>
          <w:p>
            <w:pPr>
              <w:jc w:val="center"/>
              <w:ind w:right="112"/>
              <w:spacing w:after="0"/>
              <w:rPr>
                <w:sz w:val="20"/>
                <w:szCs w:val="20"/>
                <w:color w:val="auto"/>
              </w:rPr>
            </w:pPr>
            <w:r>
              <w:rPr>
                <w:rFonts w:ascii="Arial" w:cs="Arial" w:eastAsia="Arial" w:hAnsi="Arial"/>
                <w:sz w:val="22"/>
                <w:szCs w:val="22"/>
                <w:color w:val="auto"/>
                <w:w w:val="93"/>
              </w:rPr>
              <w:t>$11.8 million</w:t>
            </w:r>
          </w:p>
        </w:tc>
        <w:tc>
          <w:tcPr>
            <w:tcW w:w="2000" w:type="dxa"/>
            <w:vAlign w:val="bottom"/>
            <w:tcBorders>
              <w:top w:val="single" w:sz="8" w:color="auto"/>
            </w:tcBorders>
          </w:tcPr>
          <w:p>
            <w:pPr>
              <w:jc w:val="right"/>
              <w:ind w:right="612"/>
              <w:spacing w:after="0"/>
              <w:rPr>
                <w:sz w:val="20"/>
                <w:szCs w:val="20"/>
                <w:color w:val="auto"/>
              </w:rPr>
            </w:pPr>
            <w:r>
              <w:rPr>
                <w:rFonts w:ascii="Arial" w:cs="Arial" w:eastAsia="Arial" w:hAnsi="Arial"/>
                <w:sz w:val="22"/>
                <w:szCs w:val="22"/>
                <w:color w:val="auto"/>
              </w:rPr>
              <w:t>(10%)</w:t>
            </w:r>
          </w:p>
        </w:tc>
        <w:tc>
          <w:tcPr>
            <w:tcW w:w="1840" w:type="dxa"/>
            <w:vAlign w:val="bottom"/>
            <w:tcBorders>
              <w:top w:val="single" w:sz="8" w:color="auto"/>
            </w:tcBorders>
          </w:tcPr>
          <w:p>
            <w:pPr>
              <w:jc w:val="right"/>
              <w:ind w:right="592"/>
              <w:spacing w:after="0"/>
              <w:rPr>
                <w:sz w:val="20"/>
                <w:szCs w:val="20"/>
                <w:color w:val="auto"/>
              </w:rPr>
            </w:pPr>
            <w:r>
              <w:rPr>
                <w:rFonts w:ascii="Arial" w:cs="Arial" w:eastAsia="Arial" w:hAnsi="Arial"/>
                <w:sz w:val="22"/>
                <w:szCs w:val="22"/>
                <w:color w:val="auto"/>
              </w:rPr>
              <w:t>46%</w:t>
            </w:r>
          </w:p>
        </w:tc>
      </w:tr>
      <w:tr>
        <w:trPr>
          <w:trHeight w:val="270"/>
        </w:trPr>
        <w:tc>
          <w:tcPr>
            <w:tcW w:w="1660" w:type="dxa"/>
            <w:vAlign w:val="bottom"/>
          </w:tcPr>
          <w:p>
            <w:pPr>
              <w:ind w:left="20"/>
              <w:spacing w:after="0"/>
              <w:rPr>
                <w:sz w:val="20"/>
                <w:szCs w:val="20"/>
                <w:color w:val="auto"/>
              </w:rPr>
            </w:pPr>
            <w:r>
              <w:rPr>
                <w:rFonts w:ascii="Arial" w:cs="Arial" w:eastAsia="Arial" w:hAnsi="Arial"/>
                <w:sz w:val="22"/>
                <w:szCs w:val="22"/>
                <w:color w:val="auto"/>
              </w:rPr>
              <w:t>Europe</w:t>
            </w:r>
          </w:p>
        </w:tc>
        <w:tc>
          <w:tcPr>
            <w:tcW w:w="2340" w:type="dxa"/>
            <w:vAlign w:val="bottom"/>
          </w:tcPr>
          <w:p>
            <w:pPr>
              <w:jc w:val="center"/>
              <w:ind w:right="92"/>
              <w:spacing w:after="0"/>
              <w:rPr>
                <w:sz w:val="20"/>
                <w:szCs w:val="20"/>
                <w:color w:val="auto"/>
              </w:rPr>
            </w:pPr>
            <w:r>
              <w:rPr>
                <w:rFonts w:ascii="Arial" w:cs="Arial" w:eastAsia="Arial" w:hAnsi="Arial"/>
                <w:sz w:val="22"/>
                <w:szCs w:val="22"/>
                <w:color w:val="auto"/>
                <w:w w:val="95"/>
              </w:rPr>
              <w:t>$7.6 million</w:t>
            </w:r>
          </w:p>
        </w:tc>
        <w:tc>
          <w:tcPr>
            <w:tcW w:w="2000" w:type="dxa"/>
            <w:vAlign w:val="bottom"/>
          </w:tcPr>
          <w:p>
            <w:pPr>
              <w:jc w:val="right"/>
              <w:ind w:right="612"/>
              <w:spacing w:after="0"/>
              <w:rPr>
                <w:sz w:val="20"/>
                <w:szCs w:val="20"/>
                <w:color w:val="auto"/>
              </w:rPr>
            </w:pPr>
            <w:r>
              <w:rPr>
                <w:rFonts w:ascii="Arial" w:cs="Arial" w:eastAsia="Arial" w:hAnsi="Arial"/>
                <w:sz w:val="22"/>
                <w:szCs w:val="22"/>
                <w:color w:val="auto"/>
              </w:rPr>
              <w:t>(18%)</w:t>
            </w:r>
          </w:p>
        </w:tc>
        <w:tc>
          <w:tcPr>
            <w:tcW w:w="1840" w:type="dxa"/>
            <w:vAlign w:val="bottom"/>
          </w:tcPr>
          <w:p>
            <w:pPr>
              <w:jc w:val="right"/>
              <w:ind w:right="592"/>
              <w:spacing w:after="0"/>
              <w:rPr>
                <w:sz w:val="20"/>
                <w:szCs w:val="20"/>
                <w:color w:val="auto"/>
              </w:rPr>
            </w:pPr>
            <w:r>
              <w:rPr>
                <w:rFonts w:ascii="Arial" w:cs="Arial" w:eastAsia="Arial" w:hAnsi="Arial"/>
                <w:sz w:val="22"/>
                <w:szCs w:val="22"/>
                <w:color w:val="auto"/>
              </w:rPr>
              <w:t>30%</w:t>
            </w:r>
          </w:p>
        </w:tc>
      </w:tr>
      <w:tr>
        <w:trPr>
          <w:trHeight w:val="270"/>
        </w:trPr>
        <w:tc>
          <w:tcPr>
            <w:tcW w:w="1660" w:type="dxa"/>
            <w:vAlign w:val="bottom"/>
          </w:tcPr>
          <w:p>
            <w:pPr>
              <w:ind w:left="20"/>
              <w:spacing w:after="0"/>
              <w:rPr>
                <w:sz w:val="20"/>
                <w:szCs w:val="20"/>
                <w:color w:val="auto"/>
              </w:rPr>
            </w:pPr>
            <w:r>
              <w:rPr>
                <w:rFonts w:ascii="Arial" w:cs="Arial" w:eastAsia="Arial" w:hAnsi="Arial"/>
                <w:sz w:val="22"/>
                <w:szCs w:val="22"/>
                <w:color w:val="auto"/>
              </w:rPr>
              <w:t>Asia-Pacific</w:t>
            </w:r>
          </w:p>
        </w:tc>
        <w:tc>
          <w:tcPr>
            <w:tcW w:w="2340" w:type="dxa"/>
            <w:vAlign w:val="bottom"/>
          </w:tcPr>
          <w:p>
            <w:pPr>
              <w:jc w:val="center"/>
              <w:ind w:right="92"/>
              <w:spacing w:after="0"/>
              <w:rPr>
                <w:sz w:val="20"/>
                <w:szCs w:val="20"/>
                <w:color w:val="auto"/>
              </w:rPr>
            </w:pPr>
            <w:r>
              <w:rPr>
                <w:rFonts w:ascii="Arial" w:cs="Arial" w:eastAsia="Arial" w:hAnsi="Arial"/>
                <w:sz w:val="22"/>
                <w:szCs w:val="22"/>
                <w:color w:val="auto"/>
                <w:w w:val="95"/>
              </w:rPr>
              <w:t>$5.0 million</w:t>
            </w:r>
          </w:p>
        </w:tc>
        <w:tc>
          <w:tcPr>
            <w:tcW w:w="2000" w:type="dxa"/>
            <w:vAlign w:val="bottom"/>
          </w:tcPr>
          <w:p>
            <w:pPr>
              <w:jc w:val="right"/>
              <w:ind w:right="612"/>
              <w:spacing w:after="0"/>
              <w:rPr>
                <w:sz w:val="20"/>
                <w:szCs w:val="20"/>
                <w:color w:val="auto"/>
              </w:rPr>
            </w:pPr>
            <w:r>
              <w:rPr>
                <w:rFonts w:ascii="Arial" w:cs="Arial" w:eastAsia="Arial" w:hAnsi="Arial"/>
                <w:sz w:val="22"/>
                <w:szCs w:val="22"/>
                <w:color w:val="auto"/>
              </w:rPr>
              <w:t>(17%)</w:t>
            </w:r>
          </w:p>
        </w:tc>
        <w:tc>
          <w:tcPr>
            <w:tcW w:w="1840" w:type="dxa"/>
            <w:vAlign w:val="bottom"/>
          </w:tcPr>
          <w:p>
            <w:pPr>
              <w:jc w:val="right"/>
              <w:ind w:right="592"/>
              <w:spacing w:after="0"/>
              <w:rPr>
                <w:sz w:val="20"/>
                <w:szCs w:val="20"/>
                <w:color w:val="auto"/>
              </w:rPr>
            </w:pPr>
            <w:r>
              <w:rPr>
                <w:rFonts w:ascii="Arial" w:cs="Arial" w:eastAsia="Arial" w:hAnsi="Arial"/>
                <w:sz w:val="22"/>
                <w:szCs w:val="22"/>
                <w:color w:val="auto"/>
              </w:rPr>
              <w:t>20%</w:t>
            </w:r>
          </w:p>
        </w:tc>
      </w:tr>
      <w:tr>
        <w:trPr>
          <w:trHeight w:val="276"/>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Other</w:t>
            </w:r>
          </w:p>
        </w:tc>
        <w:tc>
          <w:tcPr>
            <w:tcW w:w="2340" w:type="dxa"/>
            <w:vAlign w:val="bottom"/>
            <w:tcBorders>
              <w:bottom w:val="single" w:sz="8" w:color="auto"/>
            </w:tcBorders>
          </w:tcPr>
          <w:p>
            <w:pPr>
              <w:jc w:val="center"/>
              <w:ind w:right="92"/>
              <w:spacing w:after="0"/>
              <w:rPr>
                <w:sz w:val="20"/>
                <w:szCs w:val="20"/>
                <w:color w:val="auto"/>
              </w:rPr>
            </w:pPr>
            <w:r>
              <w:rPr>
                <w:rFonts w:ascii="Arial" w:cs="Arial" w:eastAsia="Arial" w:hAnsi="Arial"/>
                <w:sz w:val="22"/>
                <w:szCs w:val="22"/>
                <w:color w:val="auto"/>
                <w:w w:val="95"/>
              </w:rPr>
              <w:t>$1.1 million</w:t>
            </w:r>
          </w:p>
        </w:tc>
        <w:tc>
          <w:tcPr>
            <w:tcW w:w="2000" w:type="dxa"/>
            <w:vAlign w:val="bottom"/>
            <w:tcBorders>
              <w:bottom w:val="single" w:sz="8" w:color="auto"/>
            </w:tcBorders>
          </w:tcPr>
          <w:p>
            <w:pPr>
              <w:jc w:val="right"/>
              <w:ind w:right="692"/>
              <w:spacing w:after="0"/>
              <w:rPr>
                <w:sz w:val="20"/>
                <w:szCs w:val="20"/>
                <w:color w:val="auto"/>
              </w:rPr>
            </w:pPr>
            <w:r>
              <w:rPr>
                <w:rFonts w:ascii="Arial" w:cs="Arial" w:eastAsia="Arial" w:hAnsi="Arial"/>
                <w:sz w:val="22"/>
                <w:szCs w:val="22"/>
                <w:color w:val="auto"/>
              </w:rPr>
              <w:t>118%</w:t>
            </w:r>
          </w:p>
        </w:tc>
        <w:tc>
          <w:tcPr>
            <w:tcW w:w="1840" w:type="dxa"/>
            <w:vAlign w:val="bottom"/>
            <w:tcBorders>
              <w:bottom w:val="single" w:sz="8" w:color="auto"/>
            </w:tcBorders>
          </w:tcPr>
          <w:p>
            <w:pPr>
              <w:jc w:val="right"/>
              <w:ind w:right="592"/>
              <w:spacing w:after="0"/>
              <w:rPr>
                <w:sz w:val="20"/>
                <w:szCs w:val="20"/>
                <w:color w:val="auto"/>
              </w:rPr>
            </w:pPr>
            <w:r>
              <w:rPr>
                <w:rFonts w:ascii="Arial" w:cs="Arial" w:eastAsia="Arial" w:hAnsi="Arial"/>
                <w:sz w:val="22"/>
                <w:szCs w:val="22"/>
                <w:color w:val="auto"/>
              </w:rPr>
              <w:t>4%</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margin:</w:t>
      </w:r>
    </w:p>
    <w:p>
      <w:pPr>
        <w:spacing w:after="0" w:line="212" w:lineRule="exact"/>
        <w:rPr>
          <w:sz w:val="20"/>
          <w:szCs w:val="20"/>
          <w:color w:val="auto"/>
        </w:rPr>
      </w:pPr>
    </w:p>
    <w:p>
      <w:pPr>
        <w:ind w:left="540" w:right="120"/>
        <w:spacing w:after="0" w:line="275" w:lineRule="auto"/>
        <w:rPr>
          <w:sz w:val="20"/>
          <w:szCs w:val="20"/>
          <w:color w:val="auto"/>
        </w:rPr>
      </w:pPr>
      <w:r>
        <w:rPr>
          <w:rFonts w:ascii="Arial" w:cs="Arial" w:eastAsia="Arial" w:hAnsi="Arial"/>
          <w:sz w:val="19"/>
          <w:szCs w:val="19"/>
          <w:color w:val="auto"/>
        </w:rPr>
        <w:t>GAAP product margin was 49.1% in the first quarter of 2017 versus 57.5% in the year ago period. The decrease was due primarily to increased unit product costs from lower production volumes and fixed amortization of developed technology over lower revenues and, to a lesser extent, to lower average instrument selling prices and unfavorable instrument sales mix. Non-GAAP product margin was 66.4% in the first quarter of 2017, compared with 72.1% in the year ago period. The decrease was due primarily to increased unit product costs from lower production volumes and, to a lesser extent, to lower average instrument selling prices and unfavorable instrument sales mix. Non-GAAP product margin excludes the effects of amortization of developed technology, depreciation and amortization, and stock-based compensation expense (see accompanying table for the reconciliation of GAAP and non-GAAP product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-1210310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-747395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cash equivalents, and investments as of March 31, 2017:</w:t>
      </w:r>
    </w:p>
    <w:p>
      <w:pPr>
        <w:spacing w:after="0" w:line="212" w:lineRule="exact"/>
        <w:rPr>
          <w:sz w:val="20"/>
          <w:szCs w:val="20"/>
          <w:color w:val="auto"/>
        </w:rPr>
      </w:pPr>
    </w:p>
    <w:p>
      <w:pPr>
        <w:ind w:left="540" w:right="160"/>
        <w:spacing w:after="0" w:line="251" w:lineRule="auto"/>
        <w:rPr>
          <w:sz w:val="20"/>
          <w:szCs w:val="20"/>
          <w:color w:val="auto"/>
        </w:rPr>
      </w:pPr>
      <w:r>
        <w:rPr>
          <w:rFonts w:ascii="Arial" w:cs="Arial" w:eastAsia="Arial" w:hAnsi="Arial"/>
          <w:sz w:val="22"/>
          <w:szCs w:val="22"/>
          <w:color w:val="auto"/>
        </w:rPr>
        <w:t>As of March 31, 2017, Fluidigm had $50.3 million in cash, cash equivalents, and investments, compared with $59.4 million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Strategic Priorities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Foster Innovation and Partnerships</w:t>
      </w:r>
    </w:p>
    <w:p>
      <w:pPr>
        <w:sectPr>
          <w:pgSz w:w="11900" w:h="16838" w:orient="portrait"/>
          <w:cols w:equalWidth="0" w:num="1">
            <w:col w:w="11420"/>
          </w:cols>
          <w:pgMar w:left="240" w:top="112" w:right="239" w:bottom="97" w:gutter="0" w:footer="0" w:header="0"/>
        </w:sectPr>
      </w:pPr>
    </w:p>
    <w:bookmarkStart w:id="5" w:name="page6"/>
    <w:bookmarkEnd w:id="5"/>
    <w:p>
      <w:pPr>
        <w:spacing w:after="0" w:line="83" w:lineRule="exact"/>
        <w:rPr>
          <w:sz w:val="20"/>
          <w:szCs w:val="20"/>
          <w:color w:val="auto"/>
        </w:rPr>
      </w:pPr>
    </w:p>
    <w:p>
      <w:pPr>
        <w:ind w:left="540"/>
        <w:spacing w:after="0" w:line="246" w:lineRule="auto"/>
        <w:rPr>
          <w:sz w:val="20"/>
          <w:szCs w:val="20"/>
          <w:color w:val="auto"/>
        </w:rPr>
      </w:pPr>
      <w:r>
        <w:rPr>
          <w:rFonts w:ascii="Arial" w:cs="Arial" w:eastAsia="Arial" w:hAnsi="Arial"/>
          <w:sz w:val="21"/>
          <w:szCs w:val="21"/>
          <w:b w:val="1"/>
          <w:bCs w:val="1"/>
          <w:i w:val="1"/>
          <w:iCs w:val="1"/>
          <w:color w:val="auto"/>
        </w:rPr>
        <w:t>Delivering on product innovation</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 March 2017, we began shipment of our Advanta™ Immuno-Oncology Gene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Expression Assay, a qPCR panel set that enables profiling of genes important in tumor immunobiology for translational research, including development of new biomarker signatures from FFPE samples. Designed for use with the Biomark™ HD system, this focused panel set was optimized with input from leading academic research institutions and biopharma companies, and provides a highly efficient workflow with a wide dynamic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-720090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67" w:lineRule="auto"/>
        <w:rPr>
          <w:sz w:val="20"/>
          <w:szCs w:val="20"/>
          <w:color w:val="auto"/>
        </w:rPr>
      </w:pPr>
      <w:r>
        <w:rPr>
          <w:rFonts w:ascii="Arial" w:cs="Arial" w:eastAsia="Arial" w:hAnsi="Arial"/>
          <w:sz w:val="19"/>
          <w:szCs w:val="19"/>
          <w:b w:val="1"/>
          <w:bCs w:val="1"/>
          <w:i w:val="1"/>
          <w:iCs w:val="1"/>
          <w:color w:val="auto"/>
        </w:rPr>
        <w:t xml:space="preserve">Driving customer success. </w:t>
      </w:r>
      <w:r>
        <w:rPr>
          <w:rFonts w:ascii="Arial" w:cs="Arial" w:eastAsia="Arial" w:hAnsi="Arial"/>
          <w:sz w:val="19"/>
          <w:szCs w:val="19"/>
          <w:color w:val="auto"/>
        </w:rPr>
        <w:t>In March 2017, we held a user meeting in London with the recently announced Medical Research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Council (MRC) Consortium for Mass Cytometry following successful installation of seven Helios™ systems. This meeting brought together scientists from 19 major UK research centers to share best practices and research advances fueled by mass cytometry. "By organizing the UK users meeting, Fluidigm is helping to make this vision, of pooled knowledge and shared infrastructure, a reality," said Professor Robert Beynon, PhD, academic head of the Technology Directorate at the University of Liverpool and key leader in the procurement and development of the MRC Consortium for Mass Cytometry.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-875665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00"/>
        <w:spacing w:after="0" w:line="233" w:lineRule="auto"/>
        <w:rPr>
          <w:sz w:val="20"/>
          <w:szCs w:val="20"/>
          <w:color w:val="auto"/>
        </w:rPr>
      </w:pPr>
      <w:r>
        <w:rPr>
          <w:rFonts w:ascii="Arial" w:cs="Arial" w:eastAsia="Arial" w:hAnsi="Arial"/>
          <w:sz w:val="22"/>
          <w:szCs w:val="22"/>
          <w:b w:val="1"/>
          <w:bCs w:val="1"/>
          <w:i w:val="1"/>
          <w:iCs w:val="1"/>
          <w:color w:val="auto"/>
        </w:rPr>
        <w:t xml:space="preserve">Delivering on our commitments. </w:t>
      </w:r>
      <w:r>
        <w:rPr>
          <w:rFonts w:ascii="Arial" w:cs="Arial" w:eastAsia="Arial" w:hAnsi="Arial"/>
          <w:sz w:val="22"/>
          <w:szCs w:val="22"/>
          <w:color w:val="auto"/>
        </w:rPr>
        <w:t>We enabled 11 additional early-adopting customers with imaging mass cytometry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capabilities. The overall response by our early customers on the user experience and system performance has been very positive. We will continue to focus on empowering these early customers while we expand our global network to establish a strong foundational base for commercial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-573405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Increase Operational Efficiency and Reduce Costs</w:t>
      </w:r>
    </w:p>
    <w:p>
      <w:pPr>
        <w:spacing w:after="0" w:line="206" w:lineRule="exact"/>
        <w:rPr>
          <w:sz w:val="20"/>
          <w:szCs w:val="20"/>
          <w:color w:val="auto"/>
        </w:rPr>
      </w:pPr>
    </w:p>
    <w:p>
      <w:pPr>
        <w:ind w:left="540" w:right="80"/>
        <w:spacing w:after="0" w:line="234" w:lineRule="auto"/>
        <w:rPr>
          <w:sz w:val="20"/>
          <w:szCs w:val="20"/>
          <w:color w:val="auto"/>
        </w:rPr>
      </w:pPr>
      <w:r>
        <w:rPr>
          <w:rFonts w:ascii="Arial" w:cs="Arial" w:eastAsia="Arial" w:hAnsi="Arial"/>
          <w:sz w:val="22"/>
          <w:szCs w:val="22"/>
          <w:b w:val="1"/>
          <w:bCs w:val="1"/>
          <w:i w:val="1"/>
          <w:iCs w:val="1"/>
          <w:color w:val="auto"/>
        </w:rPr>
        <w:t xml:space="preserve">Strengthened information technology organization. </w:t>
      </w:r>
      <w:r>
        <w:rPr>
          <w:rFonts w:ascii="Arial" w:cs="Arial" w:eastAsia="Arial" w:hAnsi="Arial"/>
          <w:sz w:val="22"/>
          <w:szCs w:val="22"/>
          <w:color w:val="auto"/>
        </w:rPr>
        <w:t>Sudhakar Chilukuri joined in March 2017 as our Senior Vice President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Chief Information Officer to lead our global information technology organization. His priorities this year include improving operational efficiencies through technology enablement, while enhancing information technology security and integrating and automating business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-565150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40"/>
        <w:spacing w:after="0" w:line="230" w:lineRule="auto"/>
        <w:rPr>
          <w:sz w:val="20"/>
          <w:szCs w:val="20"/>
          <w:color w:val="auto"/>
        </w:rPr>
      </w:pPr>
      <w:r>
        <w:rPr>
          <w:rFonts w:ascii="Arial" w:cs="Arial" w:eastAsia="Arial" w:hAnsi="Arial"/>
          <w:sz w:val="22"/>
          <w:szCs w:val="22"/>
          <w:b w:val="1"/>
          <w:bCs w:val="1"/>
          <w:i w:val="1"/>
          <w:iCs w:val="1"/>
          <w:color w:val="auto"/>
        </w:rPr>
        <w:t xml:space="preserve">Operating with excellence. </w:t>
      </w:r>
      <w:r>
        <w:rPr>
          <w:rFonts w:ascii="Arial" w:cs="Arial" w:eastAsia="Arial" w:hAnsi="Arial"/>
          <w:sz w:val="22"/>
          <w:szCs w:val="22"/>
          <w:color w:val="auto"/>
        </w:rPr>
        <w:t>In February 2017, we completed our first International Organization for Standardization (ISO)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surveillance audit at our South San Francisco and Singapore facilities, concluding with the auditor recommending re-certification under ISO 13485 and ISO 9001.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80"/>
        <w:spacing w:after="0" w:line="237" w:lineRule="auto"/>
        <w:rPr>
          <w:sz w:val="20"/>
          <w:szCs w:val="20"/>
          <w:color w:val="auto"/>
        </w:rPr>
      </w:pPr>
      <w:r>
        <w:rPr>
          <w:rFonts w:ascii="Arial" w:cs="Arial" w:eastAsia="Arial" w:hAnsi="Arial"/>
          <w:sz w:val="22"/>
          <w:szCs w:val="22"/>
          <w:b w:val="1"/>
          <w:bCs w:val="1"/>
          <w:i w:val="1"/>
          <w:iCs w:val="1"/>
          <w:color w:val="auto"/>
        </w:rPr>
        <w:t xml:space="preserve">Established a business process excellence function. </w:t>
      </w:r>
      <w:r>
        <w:rPr>
          <w:rFonts w:ascii="Arial" w:cs="Arial" w:eastAsia="Arial" w:hAnsi="Arial"/>
          <w:sz w:val="22"/>
          <w:szCs w:val="22"/>
          <w:color w:val="auto"/>
        </w:rPr>
        <w:t>Our Operations Council has developed an operational excellence plan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that includes continuous improvement roadmaps across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Improve Financial Discipline and Realign Talent Capital</w:t>
      </w:r>
    </w:p>
    <w:p>
      <w:pPr>
        <w:spacing w:after="0" w:line="206" w:lineRule="exact"/>
        <w:rPr>
          <w:sz w:val="20"/>
          <w:szCs w:val="20"/>
          <w:color w:val="auto"/>
        </w:rPr>
      </w:pPr>
    </w:p>
    <w:p>
      <w:pPr>
        <w:ind w:left="540"/>
        <w:spacing w:after="0" w:line="236" w:lineRule="auto"/>
        <w:rPr>
          <w:sz w:val="20"/>
          <w:szCs w:val="20"/>
          <w:color w:val="auto"/>
        </w:rPr>
      </w:pPr>
      <w:r>
        <w:rPr>
          <w:rFonts w:ascii="Arial" w:cs="Arial" w:eastAsia="Arial" w:hAnsi="Arial"/>
          <w:sz w:val="22"/>
          <w:szCs w:val="22"/>
          <w:b w:val="1"/>
          <w:bCs w:val="1"/>
          <w:i w:val="1"/>
          <w:iCs w:val="1"/>
          <w:color w:val="auto"/>
        </w:rPr>
        <w:t xml:space="preserve">Strengthening cash management. </w:t>
      </w:r>
      <w:r>
        <w:rPr>
          <w:rFonts w:ascii="Arial" w:cs="Arial" w:eastAsia="Arial" w:hAnsi="Arial"/>
          <w:sz w:val="22"/>
          <w:szCs w:val="22"/>
          <w:color w:val="auto"/>
        </w:rPr>
        <w:t>While continuing to invest in our growth initiatives, we are instilling financial discipline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reducing operating costs. Total cash outflow of $9.2 million in the first quarter of 2017 decreased sequentially with $11.8 million in the fourth quarter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-412115</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
        <w:spacing w:after="0" w:line="230" w:lineRule="auto"/>
        <w:rPr>
          <w:sz w:val="20"/>
          <w:szCs w:val="20"/>
          <w:color w:val="auto"/>
        </w:rPr>
      </w:pPr>
      <w:r>
        <w:rPr>
          <w:rFonts w:ascii="Arial" w:cs="Arial" w:eastAsia="Arial" w:hAnsi="Arial"/>
          <w:sz w:val="22"/>
          <w:szCs w:val="22"/>
          <w:b w:val="1"/>
          <w:bCs w:val="1"/>
          <w:i w:val="1"/>
          <w:iCs w:val="1"/>
          <w:color w:val="auto"/>
        </w:rPr>
        <w:t xml:space="preserve">Transforming commercial leadership. </w:t>
      </w:r>
      <w:r>
        <w:rPr>
          <w:rFonts w:ascii="Arial" w:cs="Arial" w:eastAsia="Arial" w:hAnsi="Arial"/>
          <w:sz w:val="22"/>
          <w:szCs w:val="22"/>
          <w:color w:val="auto"/>
        </w:rPr>
        <w:t>We are making solid progress in strengthening and realigning our commercial team</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 our strategy. We reintegrated our commercial organization last year, continued to fill high-priority commercial positions in Asia, and appointed new commercial leadership across all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Arial" w:cs="Arial" w:eastAsia="Arial" w:hAnsi="Arial"/>
          <w:sz w:val="22"/>
          <w:szCs w:val="22"/>
          <w:b w:val="1"/>
          <w:bCs w:val="1"/>
          <w:i w:val="1"/>
          <w:iCs w:val="1"/>
          <w:color w:val="auto"/>
        </w:rPr>
        <w:t>Aligning Board composition with strategic objectives</w:t>
      </w:r>
      <w:r>
        <w:rPr>
          <w:rFonts w:ascii="Arial" w:cs="Arial" w:eastAsia="Arial" w:hAnsi="Arial"/>
          <w:sz w:val="22"/>
          <w:szCs w:val="22"/>
          <w:color w:val="auto"/>
        </w:rPr>
        <w:t>. Nicolas Barthelemy and Carlos Paya joined our Board of Directors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March 2017. Their immuno-oncology expertise and extensive sales and marketing experience provide invaluable insight as we work to improve our performance and drive stockholder value. They have already made a significant contribution to the Board over the past few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-565785</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0" w:firstLine="8"/>
        <w:spacing w:after="0" w:line="267" w:lineRule="auto"/>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color w:val="auto"/>
        </w:rPr>
        <w:t>Barthelemy brings to the Board a strong track record in driving sustainable growth and business turnarounds. His deep expertise in commercial operations in the life science industry is particularly relevant to our organizational goals.</w:t>
      </w:r>
    </w:p>
    <w:p>
      <w:pPr>
        <w:ind w:left="540" w:right="280" w:firstLine="8"/>
        <w:spacing w:after="0" w:line="234"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Paya is a seasoned CEO, executive leader, and world-class researcher with expertise in immunology and oncology. His academic and industrial experiences in these disease research areas will be invaluable as we continue to innovate for these high-impact markets.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Second Quarter 2017 Guidance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Total revenue for the second quarter of 2017 is projected to be in the range of $22 million to $24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40"/>
        <w:spacing w:after="0" w:line="233" w:lineRule="auto"/>
        <w:rPr>
          <w:sz w:val="20"/>
          <w:szCs w:val="20"/>
          <w:color w:val="auto"/>
        </w:rPr>
      </w:pPr>
      <w:r>
        <w:rPr>
          <w:rFonts w:ascii="Arial" w:cs="Arial" w:eastAsia="Arial" w:hAnsi="Arial"/>
          <w:sz w:val="22"/>
          <w:szCs w:val="22"/>
          <w:color w:val="auto"/>
        </w:rPr>
        <w:t>GAAP operating expenses are projected to be in the range of $28 million to $29 million. Non-GAAP operating expenses are projected to be in the range of $24.5 million to $25.5 million, excluding stock-based compensation and depreciation and amortization expense of approximately $2.5 million and $1.1 million, respectively. Total cash outflow is projected to be in the range of $7.5 million to $8.5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-573405</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-419100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Information</w:t>
      </w:r>
    </w:p>
    <w:p>
      <w:pPr>
        <w:spacing w:after="0" w:line="14" w:lineRule="exact"/>
        <w:rPr>
          <w:sz w:val="20"/>
          <w:szCs w:val="20"/>
          <w:color w:val="auto"/>
        </w:rPr>
      </w:pPr>
    </w:p>
    <w:p>
      <w:pPr>
        <w:ind w:right="220"/>
        <w:spacing w:after="0" w:line="245" w:lineRule="auto"/>
        <w:rPr>
          <w:sz w:val="20"/>
          <w:szCs w:val="20"/>
          <w:color w:val="auto"/>
        </w:rPr>
      </w:pPr>
      <w:r>
        <w:rPr>
          <w:rFonts w:ascii="Arial" w:cs="Arial" w:eastAsia="Arial" w:hAnsi="Arial"/>
          <w:sz w:val="21"/>
          <w:szCs w:val="21"/>
          <w:color w:val="auto"/>
        </w:rPr>
        <w:t>Fluidigm will host a conference call today, May 4, 2017, at 2:00 p.m. PT (5:00 p.m. ET). Individuals interested in listening to the conference call may do so by dialing (877) 556-5248 for domestic callers, or (720) 545-0029 for international callers. Please reference Conference ID 91968572. Interested parties may access the live teleconference in the Investor Relations section of the company’s website at: http://investors.fluidigm.com/events.cfm. The link will not be active until 1:45 p.m. PT (4:45 p.m. ET) on May 4, 2017.</w:t>
      </w:r>
    </w:p>
    <w:p>
      <w:pPr>
        <w:spacing w:after="0" w:line="181"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A telephone replay of the teleconference will be available 90 minutes after the end of the call at (855) 859-2056 (domestic toll-free), or (404) 537-3406 (international toll), Conference ID 91968572. The conference call will also be archived on the Fluidigm Investors page at: http://investors.fluidigm.com/.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14"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Fluidigm has presented certain financial information in accordance with U.S. GAAP and also on a non-GAAP basis for the first quarters of 2017 and 2016. Management believes that non-GAAP financial measures, taken in conjunction with GAAP financial measures, provide useful information for both management and investors by excluding certain non-cash and other expenses that are</w:t>
      </w:r>
    </w:p>
    <w:p>
      <w:pPr>
        <w:sectPr>
          <w:pgSz w:w="11900" w:h="16921" w:orient="portrait"/>
          <w:cols w:equalWidth="0" w:num="1">
            <w:col w:w="11380"/>
          </w:cols>
          <w:pgMar w:left="240" w:top="111" w:right="279" w:bottom="0" w:gutter="0" w:footer="0" w:header="0"/>
        </w:sectPr>
      </w:pPr>
    </w:p>
    <w:bookmarkStart w:id="6" w:name="page7"/>
    <w:bookmarkEnd w:id="6"/>
    <w:p>
      <w:pPr>
        <w:ind w:right="20"/>
        <w:spacing w:after="0" w:line="272" w:lineRule="auto"/>
        <w:rPr>
          <w:sz w:val="20"/>
          <w:szCs w:val="20"/>
          <w:color w:val="auto"/>
        </w:rPr>
      </w:pPr>
      <w:r>
        <w:rPr>
          <w:rFonts w:ascii="Arial" w:cs="Arial" w:eastAsia="Arial" w:hAnsi="Arial"/>
          <w:sz w:val="19"/>
          <w:szCs w:val="19"/>
          <w:color w:val="auto"/>
        </w:rPr>
        <w:t>not indicative of the company’s core operating results. Management uses non-GAAP measures to compare the company’s performance relative to forecasts and strategic plans and to benchmark the company’s performance externally against competitors. Our estimates of forward-looking non-GAAP operating expenses exclude estimates for stock-based compensation expense, depreciation and amortization; loss on disposal of property and equipment; future changes relating to developed and acquired technologies; other intangible assets; and income taxes, among other items, certain of which are presented in the table accompanying our earnings release. The time and amount of certain material items needed to estimate non-GAAP financial measures are inherently unpredictable or outside of our controls to predict. Accordingly, we cannot provide a quantitative reconciliation of our non-GAAP margins without unreasonable effort. Material changes to any of these items could have a significant effect on guidance and future GAAP results.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212" w:lineRule="exact"/>
        <w:rPr>
          <w:sz w:val="20"/>
          <w:szCs w:val="20"/>
          <w:color w:val="auto"/>
        </w:rPr>
      </w:pPr>
    </w:p>
    <w:p>
      <w:pPr>
        <w:spacing w:after="0" w:line="246" w:lineRule="exact"/>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including, among others, statements regarding planned strategic initiatives and expected timing and benefits of such initiatives, the planned uses and expected benefits to customers of recently-introduced products, plans to increase operational efficiency and improve financial discipline, and projected revenues, expenses and cash flows for the second quarter of 2017.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are subject to numerous risks and uncertainties that could cause actual results to differ materially from currently anticipated results, including but not limited to risks relating to introductions of new capital equipment products driving volatility in revenue from period to period, the future financial performance of Fluidigm product lines, particularly with respect to legacy instruments that may have contributed significant revenue in prior periods; challenges inherent in developing, manufacturing, launching, marketing, and selling new products; potential product performance and quality issues; the possible loss of key employees, customers, or suppliers; intellectual property risks; competition; Fluidigm research and development, sales, marketing, and distribution plans and capabilities; reduction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and uncertainties and other information affecting Fluidigm’s business and operating results is contained in Fluidigm’s Annual Report on Form 10-K for the year ended December 31, 2016. These forward-looking statements speak only as of the date hereof. Fluidigm disclaims any obligation to update these forward-looking statements except as may be required by law.</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14" w:lineRule="exact"/>
        <w:rPr>
          <w:sz w:val="20"/>
          <w:szCs w:val="20"/>
          <w:color w:val="auto"/>
        </w:rPr>
      </w:pPr>
    </w:p>
    <w:p>
      <w:pPr>
        <w:ind w:right="40"/>
        <w:spacing w:after="0" w:line="244" w:lineRule="auto"/>
        <w:rPr>
          <w:sz w:val="20"/>
          <w:szCs w:val="20"/>
          <w:color w:val="auto"/>
        </w:rPr>
      </w:pPr>
      <w:r>
        <w:rPr>
          <w:rFonts w:ascii="Arial" w:cs="Arial" w:eastAsia="Arial" w:hAnsi="Arial"/>
          <w:sz w:val="21"/>
          <w:szCs w:val="21"/>
          <w:color w:val="auto"/>
        </w:rPr>
        <w:t>Fluidigm (NASDAQ:FLDM) develops, manufactures, and markets life science analytical and preparatory systems for markets such as mass cytometry, high-throughput genomics, and single-cell genomics. We sell to leading academic institutions, clinical research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auto"/>
        </w:rPr>
        <w:t>Fluidigm, the Fluidigm logo, Advanta, Biomark, and Helios are trademarks or registered trademarks of Fluidigm Corporation.</w:t>
      </w:r>
    </w:p>
    <w:p>
      <w:pPr>
        <w:spacing w:after="0" w:line="200" w:lineRule="exact"/>
        <w:rPr>
          <w:sz w:val="20"/>
          <w:szCs w:val="20"/>
          <w:color w:val="auto"/>
        </w:rPr>
      </w:pPr>
    </w:p>
    <w:p>
      <w:pPr>
        <w:spacing w:after="0" w:line="318" w:lineRule="exact"/>
        <w:rPr>
          <w:sz w:val="20"/>
          <w:szCs w:val="20"/>
          <w:color w:val="auto"/>
        </w:rPr>
      </w:pPr>
    </w:p>
    <w:p>
      <w:pPr>
        <w:jc w:val="center"/>
        <w:ind w:right="2960"/>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2960"/>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17" w:lineRule="exact"/>
        <w:rPr>
          <w:sz w:val="20"/>
          <w:szCs w:val="20"/>
          <w:color w:val="auto"/>
        </w:rPr>
      </w:pPr>
    </w:p>
    <w:p>
      <w:pPr>
        <w:jc w:val="center"/>
        <w:ind w:right="2960"/>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17" w:lineRule="exact"/>
        <w:rPr>
          <w:sz w:val="20"/>
          <w:szCs w:val="20"/>
          <w:color w:val="auto"/>
        </w:rPr>
      </w:pPr>
    </w:p>
    <w:p>
      <w:pPr>
        <w:jc w:val="center"/>
        <w:ind w:right="2960"/>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5440" w:type="dxa"/>
            <w:vAlign w:val="bottom"/>
          </w:tcPr>
          <w:p>
            <w:pPr>
              <w:spacing w:after="0"/>
              <w:rPr>
                <w:sz w:val="24"/>
                <w:szCs w:val="24"/>
                <w:color w:val="auto"/>
              </w:rPr>
            </w:pPr>
          </w:p>
        </w:tc>
        <w:tc>
          <w:tcPr>
            <w:tcW w:w="300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b w:val="1"/>
                <w:bCs w:val="1"/>
                <w:color w:val="auto"/>
                <w:w w:val="91"/>
              </w:rPr>
              <w:t>Three Months Ended March 31,</w:t>
            </w:r>
          </w:p>
        </w:tc>
      </w:tr>
      <w:tr>
        <w:trPr>
          <w:trHeight w:val="265"/>
        </w:trPr>
        <w:tc>
          <w:tcPr>
            <w:tcW w:w="54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2017</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2016</w:t>
            </w:r>
          </w:p>
        </w:tc>
      </w:tr>
      <w:tr>
        <w:trPr>
          <w:trHeight w:val="256"/>
        </w:trPr>
        <w:tc>
          <w:tcPr>
            <w:tcW w:w="5440" w:type="dxa"/>
            <w:vAlign w:val="bottom"/>
          </w:tcPr>
          <w:p>
            <w:pPr>
              <w:spacing w:after="0"/>
              <w:rPr>
                <w:sz w:val="20"/>
                <w:szCs w:val="20"/>
                <w:color w:val="auto"/>
              </w:rPr>
            </w:pPr>
            <w:r>
              <w:rPr>
                <w:rFonts w:ascii="Arial" w:cs="Arial" w:eastAsia="Arial" w:hAnsi="Arial"/>
                <w:sz w:val="22"/>
                <w:szCs w:val="22"/>
                <w:color w:val="auto"/>
              </w:rPr>
              <w:t>Revenue:</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0"/>
        </w:trPr>
        <w:tc>
          <w:tcPr>
            <w:tcW w:w="5440" w:type="dxa"/>
            <w:vAlign w:val="bottom"/>
          </w:tcPr>
          <w:p>
            <w:pPr>
              <w:ind w:left="200"/>
              <w:spacing w:after="0"/>
              <w:rPr>
                <w:sz w:val="20"/>
                <w:szCs w:val="20"/>
                <w:color w:val="auto"/>
              </w:rPr>
            </w:pPr>
            <w:r>
              <w:rPr>
                <w:rFonts w:ascii="Arial" w:cs="Arial" w:eastAsia="Arial" w:hAnsi="Arial"/>
                <w:sz w:val="22"/>
                <w:szCs w:val="22"/>
                <w:color w:val="auto"/>
              </w:rPr>
              <w:t>Instruments</w:t>
            </w: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32"/>
              <w:spacing w:after="0"/>
              <w:rPr>
                <w:sz w:val="20"/>
                <w:szCs w:val="20"/>
                <w:color w:val="auto"/>
              </w:rPr>
            </w:pPr>
            <w:r>
              <w:rPr>
                <w:rFonts w:ascii="Arial" w:cs="Arial" w:eastAsia="Arial" w:hAnsi="Arial"/>
                <w:sz w:val="22"/>
                <w:szCs w:val="22"/>
                <w:color w:val="auto"/>
              </w:rPr>
              <w:t>10,737</w:t>
            </w:r>
          </w:p>
        </w:tc>
        <w:tc>
          <w:tcPr>
            <w:tcW w:w="100" w:type="dxa"/>
            <w:vAlign w:val="bottom"/>
          </w:tcPr>
          <w:p>
            <w:pPr>
              <w:spacing w:after="0"/>
              <w:rPr>
                <w:sz w:val="23"/>
                <w:szCs w:val="23"/>
                <w:color w:val="auto"/>
              </w:rPr>
            </w:pPr>
          </w:p>
        </w:tc>
        <w:tc>
          <w:tcPr>
            <w:tcW w:w="36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32"/>
              <w:spacing w:after="0"/>
              <w:rPr>
                <w:sz w:val="20"/>
                <w:szCs w:val="20"/>
                <w:color w:val="auto"/>
              </w:rPr>
            </w:pPr>
            <w:r>
              <w:rPr>
                <w:rFonts w:ascii="Arial" w:cs="Arial" w:eastAsia="Arial" w:hAnsi="Arial"/>
                <w:sz w:val="22"/>
                <w:szCs w:val="22"/>
                <w:color w:val="auto"/>
              </w:rPr>
              <w:t>13,814</w:t>
            </w:r>
          </w:p>
        </w:tc>
      </w:tr>
      <w:tr>
        <w:trPr>
          <w:trHeight w:val="275"/>
        </w:trPr>
        <w:tc>
          <w:tcPr>
            <w:tcW w:w="5440" w:type="dxa"/>
            <w:vAlign w:val="bottom"/>
          </w:tcPr>
          <w:p>
            <w:pPr>
              <w:ind w:left="200"/>
              <w:spacing w:after="0"/>
              <w:rPr>
                <w:sz w:val="20"/>
                <w:szCs w:val="20"/>
                <w:color w:val="auto"/>
              </w:rPr>
            </w:pPr>
            <w:r>
              <w:rPr>
                <w:rFonts w:ascii="Arial" w:cs="Arial" w:eastAsia="Arial" w:hAnsi="Arial"/>
                <w:sz w:val="22"/>
                <w:szCs w:val="22"/>
                <w:color w:val="auto"/>
              </w:rPr>
              <w:t>Consumables</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10,570</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11,556</w:t>
            </w:r>
          </w:p>
        </w:tc>
      </w:tr>
      <w:tr>
        <w:trPr>
          <w:trHeight w:val="259"/>
        </w:trPr>
        <w:tc>
          <w:tcPr>
            <w:tcW w:w="5440" w:type="dxa"/>
            <w:vAlign w:val="bottom"/>
          </w:tcPr>
          <w:p>
            <w:pPr>
              <w:ind w:left="120"/>
              <w:spacing w:after="0"/>
              <w:rPr>
                <w:sz w:val="20"/>
                <w:szCs w:val="20"/>
                <w:color w:val="auto"/>
              </w:rPr>
            </w:pPr>
            <w:r>
              <w:rPr>
                <w:rFonts w:ascii="Arial" w:cs="Arial" w:eastAsia="Arial" w:hAnsi="Arial"/>
                <w:sz w:val="22"/>
                <w:szCs w:val="22"/>
                <w:color w:val="auto"/>
              </w:rPr>
              <w:t>Product revenue</w:t>
            </w:r>
          </w:p>
        </w:tc>
        <w:tc>
          <w:tcPr>
            <w:tcW w:w="3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22"/>
                <w:szCs w:val="22"/>
                <w:color w:val="auto"/>
              </w:rPr>
              <w:t>21,307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22"/>
                <w:szCs w:val="22"/>
                <w:color w:val="auto"/>
              </w:rPr>
              <w:t>25,370</w:t>
            </w: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Service revenue</w:t>
            </w:r>
          </w:p>
        </w:tc>
        <w:tc>
          <w:tcPr>
            <w:tcW w:w="3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22"/>
                <w:szCs w:val="22"/>
                <w:color w:val="auto"/>
              </w:rPr>
              <w:t>4,167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22"/>
                <w:szCs w:val="22"/>
                <w:color w:val="auto"/>
              </w:rPr>
              <w:t>3,544</w:t>
            </w:r>
          </w:p>
        </w:tc>
      </w:tr>
      <w:tr>
        <w:trPr>
          <w:trHeight w:val="275"/>
        </w:trPr>
        <w:tc>
          <w:tcPr>
            <w:tcW w:w="5440" w:type="dxa"/>
            <w:vAlign w:val="bottom"/>
          </w:tcPr>
          <w:p>
            <w:pPr>
              <w:ind w:left="120"/>
              <w:spacing w:after="0"/>
              <w:rPr>
                <w:sz w:val="20"/>
                <w:szCs w:val="20"/>
                <w:color w:val="auto"/>
              </w:rPr>
            </w:pPr>
            <w:r>
              <w:rPr>
                <w:rFonts w:ascii="Arial" w:cs="Arial" w:eastAsia="Arial" w:hAnsi="Arial"/>
                <w:sz w:val="22"/>
                <w:szCs w:val="22"/>
                <w:color w:val="auto"/>
              </w:rPr>
              <w:t>License revenue</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59</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89</w:t>
            </w:r>
          </w:p>
        </w:tc>
      </w:tr>
      <w:tr>
        <w:trPr>
          <w:trHeight w:val="272"/>
        </w:trPr>
        <w:tc>
          <w:tcPr>
            <w:tcW w:w="5440" w:type="dxa"/>
            <w:vAlign w:val="bottom"/>
          </w:tcPr>
          <w:p>
            <w:pPr>
              <w:spacing w:after="0"/>
              <w:rPr>
                <w:sz w:val="20"/>
                <w:szCs w:val="20"/>
                <w:color w:val="auto"/>
              </w:rPr>
            </w:pPr>
            <w:r>
              <w:rPr>
                <w:rFonts w:ascii="Arial" w:cs="Arial" w:eastAsia="Arial" w:hAnsi="Arial"/>
                <w:sz w:val="22"/>
                <w:szCs w:val="22"/>
                <w:color w:val="auto"/>
              </w:rPr>
              <w:t>Total revenue</w:t>
            </w:r>
          </w:p>
        </w:tc>
        <w:tc>
          <w:tcPr>
            <w:tcW w:w="34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22"/>
                <w:szCs w:val="22"/>
                <w:color w:val="auto"/>
              </w:rPr>
              <w:t>25,533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22"/>
                <w:szCs w:val="22"/>
                <w:color w:val="auto"/>
              </w:rPr>
              <w:t>29,003</w:t>
            </w:r>
          </w:p>
        </w:tc>
      </w:tr>
    </w:tbl>
    <w:p>
      <w:pPr>
        <w:sectPr>
          <w:pgSz w:w="11900" w:h="16838" w:orient="portrait"/>
          <w:cols w:equalWidth="0" w:num="1">
            <w:col w:w="11420"/>
          </w:cols>
          <w:pgMar w:left="240" w:top="118"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440" w:type="dxa"/>
            <w:vAlign w:val="bottom"/>
          </w:tcPr>
          <w:p>
            <w:pPr>
              <w:spacing w:after="0"/>
              <w:rPr>
                <w:sz w:val="20"/>
                <w:szCs w:val="20"/>
                <w:color w:val="auto"/>
              </w:rPr>
            </w:pPr>
            <w:r>
              <w:rPr>
                <w:rFonts w:ascii="Arial" w:cs="Arial" w:eastAsia="Arial" w:hAnsi="Arial"/>
                <w:sz w:val="22"/>
                <w:szCs w:val="22"/>
                <w:color w:val="auto"/>
              </w:rPr>
              <w:t>Costs and expenses:</w:t>
            </w: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Cost of product revenue</w:t>
            </w:r>
          </w:p>
        </w:tc>
        <w:tc>
          <w:tcPr>
            <w:tcW w:w="40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10,851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10,787</w:t>
            </w: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Cost of service revenue</w:t>
            </w:r>
          </w:p>
        </w:tc>
        <w:tc>
          <w:tcPr>
            <w:tcW w:w="40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1,118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1,198</w:t>
            </w:r>
          </w:p>
        </w:tc>
      </w:tr>
      <w:tr>
        <w:trPr>
          <w:trHeight w:val="270"/>
        </w:trPr>
        <w:tc>
          <w:tcPr>
            <w:tcW w:w="5440" w:type="dxa"/>
            <w:vAlign w:val="bottom"/>
          </w:tcPr>
          <w:p>
            <w:pPr>
              <w:ind w:left="120"/>
              <w:spacing w:after="0"/>
              <w:rPr>
                <w:sz w:val="20"/>
                <w:szCs w:val="20"/>
                <w:color w:val="auto"/>
              </w:rPr>
            </w:pPr>
            <w:r>
              <w:rPr>
                <w:rFonts w:ascii="Arial" w:cs="Arial" w:eastAsia="Arial" w:hAnsi="Arial"/>
                <w:sz w:val="22"/>
                <w:szCs w:val="22"/>
                <w:color w:val="auto"/>
              </w:rPr>
              <w:t>Research and development</w:t>
            </w:r>
          </w:p>
        </w:tc>
        <w:tc>
          <w:tcPr>
            <w:tcW w:w="40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8,524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Arial" w:cs="Arial" w:eastAsia="Arial" w:hAnsi="Arial"/>
                <w:sz w:val="22"/>
                <w:szCs w:val="22"/>
                <w:color w:val="auto"/>
              </w:rPr>
              <w:t>10,412</w:t>
            </w:r>
          </w:p>
        </w:tc>
      </w:tr>
      <w:tr>
        <w:trPr>
          <w:trHeight w:val="275"/>
        </w:trPr>
        <w:tc>
          <w:tcPr>
            <w:tcW w:w="5440" w:type="dxa"/>
            <w:vAlign w:val="bottom"/>
          </w:tcPr>
          <w:p>
            <w:pPr>
              <w:ind w:left="120"/>
              <w:spacing w:after="0"/>
              <w:rPr>
                <w:sz w:val="20"/>
                <w:szCs w:val="20"/>
                <w:color w:val="auto"/>
              </w:rPr>
            </w:pPr>
            <w:r>
              <w:rPr>
                <w:rFonts w:ascii="Arial" w:cs="Arial" w:eastAsia="Arial" w:hAnsi="Arial"/>
                <w:sz w:val="22"/>
                <w:szCs w:val="22"/>
                <w:color w:val="auto"/>
              </w:rPr>
              <w:t>Selling, general and administrative</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22,576</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25,475</w:t>
            </w:r>
          </w:p>
        </w:tc>
      </w:tr>
      <w:tr>
        <w:trPr>
          <w:trHeight w:val="267"/>
        </w:trPr>
        <w:tc>
          <w:tcPr>
            <w:tcW w:w="5440" w:type="dxa"/>
            <w:vAlign w:val="bottom"/>
          </w:tcPr>
          <w:p>
            <w:pPr>
              <w:spacing w:after="0"/>
              <w:rPr>
                <w:sz w:val="20"/>
                <w:szCs w:val="20"/>
                <w:color w:val="auto"/>
              </w:rPr>
            </w:pPr>
            <w:r>
              <w:rPr>
                <w:rFonts w:ascii="Arial" w:cs="Arial" w:eastAsia="Arial" w:hAnsi="Arial"/>
                <w:sz w:val="22"/>
                <w:szCs w:val="22"/>
                <w:color w:val="auto"/>
              </w:rPr>
              <w:t>Total costs and expenses</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43,069</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47,872</w:t>
            </w:r>
          </w:p>
        </w:tc>
      </w:tr>
      <w:tr>
        <w:trPr>
          <w:trHeight w:val="256"/>
        </w:trPr>
        <w:tc>
          <w:tcPr>
            <w:tcW w:w="5440" w:type="dxa"/>
            <w:vAlign w:val="bottom"/>
          </w:tcPr>
          <w:p>
            <w:pPr>
              <w:spacing w:after="0"/>
              <w:rPr>
                <w:sz w:val="20"/>
                <w:szCs w:val="20"/>
                <w:color w:val="auto"/>
              </w:rPr>
            </w:pPr>
            <w:r>
              <w:rPr>
                <w:rFonts w:ascii="Arial" w:cs="Arial" w:eastAsia="Arial" w:hAnsi="Arial"/>
                <w:sz w:val="22"/>
                <w:szCs w:val="22"/>
                <w:color w:val="auto"/>
              </w:rPr>
              <w:t>Loss from operations</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(17,536)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(18,869)</w:t>
            </w:r>
          </w:p>
        </w:tc>
      </w:tr>
      <w:tr>
        <w:trPr>
          <w:trHeight w:val="270"/>
        </w:trPr>
        <w:tc>
          <w:tcPr>
            <w:tcW w:w="5440" w:type="dxa"/>
            <w:vAlign w:val="bottom"/>
          </w:tcPr>
          <w:p>
            <w:pPr>
              <w:spacing w:after="0"/>
              <w:rPr>
                <w:sz w:val="20"/>
                <w:szCs w:val="20"/>
                <w:color w:val="auto"/>
              </w:rPr>
            </w:pPr>
            <w:r>
              <w:rPr>
                <w:rFonts w:ascii="Arial" w:cs="Arial" w:eastAsia="Arial" w:hAnsi="Arial"/>
                <w:sz w:val="22"/>
                <w:szCs w:val="22"/>
                <w:color w:val="auto"/>
              </w:rPr>
              <w:t>Interest expense</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(1,455)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(1,453)</w:t>
            </w:r>
          </w:p>
        </w:tc>
      </w:tr>
      <w:tr>
        <w:trPr>
          <w:trHeight w:val="275"/>
        </w:trPr>
        <w:tc>
          <w:tcPr>
            <w:tcW w:w="5440" w:type="dxa"/>
            <w:vAlign w:val="bottom"/>
          </w:tcPr>
          <w:p>
            <w:pPr>
              <w:spacing w:after="0"/>
              <w:rPr>
                <w:sz w:val="20"/>
                <w:szCs w:val="20"/>
                <w:color w:val="auto"/>
              </w:rPr>
            </w:pPr>
            <w:r>
              <w:rPr>
                <w:rFonts w:ascii="Arial" w:cs="Arial" w:eastAsia="Arial" w:hAnsi="Arial"/>
                <w:sz w:val="22"/>
                <w:szCs w:val="22"/>
                <w:color w:val="auto"/>
              </w:rPr>
              <w:t>Other income (expense), net</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9</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(324)</w:t>
            </w:r>
          </w:p>
        </w:tc>
      </w:tr>
      <w:tr>
        <w:trPr>
          <w:trHeight w:val="259"/>
        </w:trPr>
        <w:tc>
          <w:tcPr>
            <w:tcW w:w="5440" w:type="dxa"/>
            <w:vAlign w:val="bottom"/>
          </w:tcPr>
          <w:p>
            <w:pPr>
              <w:spacing w:after="0"/>
              <w:rPr>
                <w:sz w:val="20"/>
                <w:szCs w:val="20"/>
                <w:color w:val="auto"/>
              </w:rPr>
            </w:pPr>
            <w:r>
              <w:rPr>
                <w:rFonts w:ascii="Arial" w:cs="Arial" w:eastAsia="Arial" w:hAnsi="Arial"/>
                <w:sz w:val="22"/>
                <w:szCs w:val="22"/>
                <w:color w:val="auto"/>
              </w:rPr>
              <w:t>Loss before income taxes</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(18,982)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2"/>
                <w:szCs w:val="22"/>
                <w:color w:val="auto"/>
              </w:rPr>
              <w:t>(20,646)</w:t>
            </w:r>
          </w:p>
        </w:tc>
      </w:tr>
      <w:tr>
        <w:trPr>
          <w:trHeight w:val="276"/>
        </w:trPr>
        <w:tc>
          <w:tcPr>
            <w:tcW w:w="5440" w:type="dxa"/>
            <w:vAlign w:val="bottom"/>
          </w:tcPr>
          <w:p>
            <w:pPr>
              <w:spacing w:after="0"/>
              <w:rPr>
                <w:sz w:val="20"/>
                <w:szCs w:val="20"/>
                <w:color w:val="auto"/>
              </w:rPr>
            </w:pPr>
            <w:r>
              <w:rPr>
                <w:rFonts w:ascii="Arial" w:cs="Arial" w:eastAsia="Arial" w:hAnsi="Arial"/>
                <w:sz w:val="22"/>
                <w:szCs w:val="22"/>
                <w:color w:val="auto"/>
              </w:rPr>
              <w:t>Benefit from income taxes</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1,780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762</w:t>
            </w:r>
          </w:p>
        </w:tc>
      </w:tr>
      <w:tr>
        <w:trPr>
          <w:trHeight w:val="265"/>
        </w:trPr>
        <w:tc>
          <w:tcPr>
            <w:tcW w:w="5440" w:type="dxa"/>
            <w:vAlign w:val="bottom"/>
          </w:tcPr>
          <w:p>
            <w:pPr>
              <w:spacing w:after="0"/>
              <w:rPr>
                <w:sz w:val="20"/>
                <w:szCs w:val="20"/>
                <w:color w:val="auto"/>
              </w:rPr>
            </w:pPr>
            <w:r>
              <w:rPr>
                <w:rFonts w:ascii="Arial" w:cs="Arial" w:eastAsia="Arial" w:hAnsi="Arial"/>
                <w:sz w:val="22"/>
                <w:szCs w:val="22"/>
                <w:color w:val="auto"/>
              </w:rPr>
              <w:t>Net loss</w:t>
            </w: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(17,202)</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(19,884)</w:t>
            </w:r>
          </w:p>
        </w:tc>
      </w:tr>
      <w:tr>
        <w:trPr>
          <w:trHeight w:val="21"/>
        </w:trPr>
        <w:tc>
          <w:tcPr>
            <w:tcW w:w="5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34"/>
        </w:trPr>
        <w:tc>
          <w:tcPr>
            <w:tcW w:w="5440" w:type="dxa"/>
            <w:vAlign w:val="bottom"/>
          </w:tcPr>
          <w:p>
            <w:pPr>
              <w:spacing w:after="0"/>
              <w:rPr>
                <w:sz w:val="20"/>
                <w:szCs w:val="20"/>
                <w:color w:val="auto"/>
              </w:rPr>
            </w:pPr>
            <w:r>
              <w:rPr>
                <w:rFonts w:ascii="Arial" w:cs="Arial" w:eastAsia="Arial" w:hAnsi="Arial"/>
                <w:sz w:val="22"/>
                <w:szCs w:val="22"/>
                <w:color w:val="auto"/>
              </w:rPr>
              <w:t>Net loss per share, basic and diluted</w:t>
            </w: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(0.59)</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(0.69)</w:t>
            </w:r>
          </w:p>
        </w:tc>
      </w:tr>
      <w:tr>
        <w:trPr>
          <w:trHeight w:val="21"/>
        </w:trPr>
        <w:tc>
          <w:tcPr>
            <w:tcW w:w="5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34"/>
        </w:trPr>
        <w:tc>
          <w:tcPr>
            <w:tcW w:w="5440" w:type="dxa"/>
            <w:vAlign w:val="bottom"/>
          </w:tcPr>
          <w:p>
            <w:pPr>
              <w:spacing w:after="0"/>
              <w:rPr>
                <w:sz w:val="20"/>
                <w:szCs w:val="20"/>
                <w:color w:val="auto"/>
              </w:rPr>
            </w:pPr>
            <w:r>
              <w:rPr>
                <w:rFonts w:ascii="Arial" w:cs="Arial" w:eastAsia="Arial" w:hAnsi="Arial"/>
                <w:sz w:val="22"/>
                <w:szCs w:val="22"/>
                <w:color w:val="auto"/>
                <w:w w:val="88"/>
              </w:rPr>
              <w:t>Shares used in computing net loss per share, basic and diluted</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29,239</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28,863</w:t>
            </w:r>
          </w:p>
        </w:tc>
      </w:tr>
      <w:tr>
        <w:trPr>
          <w:trHeight w:val="21"/>
        </w:trPr>
        <w:tc>
          <w:tcPr>
            <w:tcW w:w="5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839"/>
        <w:spacing w:after="0" w:line="269" w:lineRule="auto"/>
        <w:rPr>
          <w:sz w:val="20"/>
          <w:szCs w:val="20"/>
          <w:color w:val="auto"/>
        </w:rPr>
      </w:pPr>
      <w:r>
        <w:rPr>
          <w:rFonts w:ascii="Arial" w:cs="Arial" w:eastAsia="Arial" w:hAnsi="Arial"/>
          <w:sz w:val="22"/>
          <w:szCs w:val="22"/>
          <w:b w:val="1"/>
          <w:bCs w:val="1"/>
          <w:color w:val="auto"/>
        </w:rPr>
        <w:t>FLUIDIGM CORPORATION CONDENSED CONSOLIDATED BALANCE SHEETS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494"/>
        </w:trPr>
        <w:tc>
          <w:tcPr>
            <w:tcW w:w="4780" w:type="dxa"/>
            <w:vAlign w:val="bottom"/>
          </w:tcPr>
          <w:p>
            <w:pPr>
              <w:spacing w:after="0"/>
              <w:rPr>
                <w:sz w:val="24"/>
                <w:szCs w:val="24"/>
                <w:color w:val="auto"/>
              </w:rPr>
            </w:pPr>
          </w:p>
        </w:tc>
        <w:tc>
          <w:tcPr>
            <w:tcW w:w="3580" w:type="dxa"/>
            <w:vAlign w:val="bottom"/>
            <w:gridSpan w:val="5"/>
          </w:tcPr>
          <w:p>
            <w:pPr>
              <w:jc w:val="right"/>
              <w:spacing w:after="0"/>
              <w:rPr>
                <w:sz w:val="20"/>
                <w:szCs w:val="20"/>
                <w:color w:val="auto"/>
              </w:rPr>
            </w:pPr>
            <w:r>
              <w:rPr>
                <w:rFonts w:ascii="Arial" w:cs="Arial" w:eastAsia="Arial" w:hAnsi="Arial"/>
                <w:sz w:val="22"/>
                <w:szCs w:val="22"/>
                <w:b w:val="1"/>
                <w:bCs w:val="1"/>
                <w:color w:val="auto"/>
                <w:w w:val="78"/>
              </w:rPr>
              <w:t xml:space="preserve">March 31, 2017 </w:t>
            </w:r>
            <w:r>
              <w:rPr>
                <w:rFonts w:ascii="Arial" w:cs="Arial" w:eastAsia="Arial" w:hAnsi="Arial"/>
                <w:sz w:val="43"/>
                <w:szCs w:val="43"/>
                <w:b w:val="1"/>
                <w:bCs w:val="1"/>
                <w:color w:val="auto"/>
                <w:w w:val="78"/>
                <w:vertAlign w:val="superscript"/>
              </w:rPr>
              <w:t>December 31, 2016</w:t>
            </w:r>
            <w:r>
              <w:rPr>
                <w:rFonts w:ascii="Arial" w:cs="Arial" w:eastAsia="Arial" w:hAnsi="Arial"/>
                <w:sz w:val="22"/>
                <w:szCs w:val="22"/>
                <w:b w:val="1"/>
                <w:bCs w:val="1"/>
                <w:color w:val="auto"/>
                <w:w w:val="78"/>
              </w:rPr>
              <w:t xml:space="preserve"> </w:t>
            </w:r>
            <w:r>
              <w:rPr>
                <w:rFonts w:ascii="Arial" w:cs="Arial" w:eastAsia="Arial" w:hAnsi="Arial"/>
                <w:sz w:val="18"/>
                <w:szCs w:val="18"/>
                <w:b w:val="1"/>
                <w:bCs w:val="1"/>
                <w:color w:val="auto"/>
                <w:w w:val="78"/>
              </w:rPr>
              <w:t>(1)</w:t>
            </w:r>
          </w:p>
        </w:tc>
        <w:tc>
          <w:tcPr>
            <w:tcW w:w="0" w:type="dxa"/>
            <w:vAlign w:val="bottom"/>
          </w:tcPr>
          <w:p>
            <w:pPr>
              <w:spacing w:after="0"/>
              <w:rPr>
                <w:sz w:val="1"/>
                <w:szCs w:val="1"/>
                <w:color w:val="auto"/>
              </w:rPr>
            </w:pPr>
          </w:p>
        </w:tc>
      </w:tr>
      <w:tr>
        <w:trPr>
          <w:trHeight w:val="274"/>
        </w:trPr>
        <w:tc>
          <w:tcPr>
            <w:tcW w:w="478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16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jc w:val="right"/>
              <w:ind w:right="72"/>
              <w:spacing w:after="0"/>
              <w:rPr>
                <w:sz w:val="20"/>
                <w:szCs w:val="20"/>
                <w:color w:val="auto"/>
              </w:rPr>
            </w:pPr>
            <w:r>
              <w:rPr>
                <w:rFonts w:ascii="Arial" w:cs="Arial" w:eastAsia="Arial" w:hAnsi="Arial"/>
                <w:sz w:val="22"/>
                <w:szCs w:val="22"/>
                <w:b w:val="1"/>
                <w:bCs w:val="1"/>
                <w:color w:val="auto"/>
                <w:w w:val="89"/>
              </w:rPr>
              <w:t>(Unaudited)</w:t>
            </w:r>
          </w:p>
        </w:tc>
        <w:tc>
          <w:tcPr>
            <w:tcW w:w="80" w:type="dxa"/>
            <w:vAlign w:val="bottom"/>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47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22"/>
                <w:szCs w:val="22"/>
                <w:color w:val="auto"/>
              </w:rPr>
              <w:t>Current assets:</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120"/>
              <w:spacing w:after="0"/>
              <w:rPr>
                <w:sz w:val="20"/>
                <w:szCs w:val="20"/>
                <w:color w:val="auto"/>
              </w:rPr>
            </w:pPr>
            <w:r>
              <w:rPr>
                <w:rFonts w:ascii="Arial" w:cs="Arial" w:eastAsia="Arial" w:hAnsi="Arial"/>
                <w:sz w:val="22"/>
                <w:szCs w:val="22"/>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44,097</w:t>
            </w:r>
          </w:p>
        </w:tc>
        <w:tc>
          <w:tcPr>
            <w:tcW w:w="80" w:type="dxa"/>
            <w:vAlign w:val="bottom"/>
          </w:tcPr>
          <w:p>
            <w:pPr>
              <w:spacing w:after="0"/>
              <w:rPr>
                <w:sz w:val="23"/>
                <w:szCs w:val="23"/>
                <w:color w:val="auto"/>
              </w:rPr>
            </w:pPr>
          </w:p>
        </w:tc>
        <w:tc>
          <w:tcPr>
            <w:tcW w:w="800" w:type="dxa"/>
            <w:vAlign w:val="bottom"/>
          </w:tcPr>
          <w:p>
            <w:pPr>
              <w:jc w:val="right"/>
              <w:ind w:right="43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35,045</w:t>
            </w:r>
          </w:p>
        </w:tc>
        <w:tc>
          <w:tcPr>
            <w:tcW w:w="0" w:type="dxa"/>
            <w:vAlign w:val="bottom"/>
          </w:tcPr>
          <w:p>
            <w:pPr>
              <w:spacing w:after="0"/>
              <w:rPr>
                <w:sz w:val="1"/>
                <w:szCs w:val="1"/>
                <w:color w:val="auto"/>
              </w:rPr>
            </w:pPr>
          </w:p>
        </w:tc>
      </w:tr>
      <w:tr>
        <w:trPr>
          <w:trHeight w:val="270"/>
        </w:trPr>
        <w:tc>
          <w:tcPr>
            <w:tcW w:w="4780" w:type="dxa"/>
            <w:vAlign w:val="bottom"/>
          </w:tcPr>
          <w:p>
            <w:pPr>
              <w:ind w:left="120"/>
              <w:spacing w:after="0"/>
              <w:rPr>
                <w:sz w:val="20"/>
                <w:szCs w:val="20"/>
                <w:color w:val="auto"/>
              </w:rPr>
            </w:pPr>
            <w:r>
              <w:rPr>
                <w:rFonts w:ascii="Arial" w:cs="Arial" w:eastAsia="Arial" w:hAnsi="Arial"/>
                <w:sz w:val="22"/>
                <w:szCs w:val="22"/>
                <w:color w:val="auto"/>
              </w:rPr>
              <w:t>Short-term investments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6,183</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24,385</w:t>
            </w:r>
          </w:p>
        </w:tc>
        <w:tc>
          <w:tcPr>
            <w:tcW w:w="0" w:type="dxa"/>
            <w:vAlign w:val="bottom"/>
          </w:tcPr>
          <w:p>
            <w:pPr>
              <w:spacing w:after="0"/>
              <w:rPr>
                <w:sz w:val="1"/>
                <w:szCs w:val="1"/>
                <w:color w:val="auto"/>
              </w:rPr>
            </w:pPr>
          </w:p>
        </w:tc>
      </w:tr>
      <w:tr>
        <w:trPr>
          <w:trHeight w:val="270"/>
        </w:trPr>
        <w:tc>
          <w:tcPr>
            <w:tcW w:w="4780" w:type="dxa"/>
            <w:vAlign w:val="bottom"/>
          </w:tcPr>
          <w:p>
            <w:pPr>
              <w:ind w:left="120"/>
              <w:spacing w:after="0"/>
              <w:rPr>
                <w:sz w:val="20"/>
                <w:szCs w:val="20"/>
                <w:color w:val="auto"/>
              </w:rPr>
            </w:pPr>
            <w:r>
              <w:rPr>
                <w:rFonts w:ascii="Arial" w:cs="Arial" w:eastAsia="Arial" w:hAnsi="Arial"/>
                <w:sz w:val="22"/>
                <w:szCs w:val="22"/>
                <w:color w:val="auto"/>
              </w:rPr>
              <w:t>Accounts receivable, net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14,391</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14,610</w:t>
            </w:r>
          </w:p>
        </w:tc>
        <w:tc>
          <w:tcPr>
            <w:tcW w:w="0" w:type="dxa"/>
            <w:vAlign w:val="bottom"/>
          </w:tcPr>
          <w:p>
            <w:pPr>
              <w:spacing w:after="0"/>
              <w:rPr>
                <w:sz w:val="1"/>
                <w:szCs w:val="1"/>
                <w:color w:val="auto"/>
              </w:rPr>
            </w:pPr>
          </w:p>
        </w:tc>
      </w:tr>
      <w:tr>
        <w:trPr>
          <w:trHeight w:val="270"/>
        </w:trPr>
        <w:tc>
          <w:tcPr>
            <w:tcW w:w="4780" w:type="dxa"/>
            <w:vAlign w:val="bottom"/>
          </w:tcPr>
          <w:p>
            <w:pPr>
              <w:ind w:left="120"/>
              <w:spacing w:after="0"/>
              <w:rPr>
                <w:sz w:val="20"/>
                <w:szCs w:val="20"/>
                <w:color w:val="auto"/>
              </w:rPr>
            </w:pPr>
            <w:r>
              <w:rPr>
                <w:rFonts w:ascii="Arial" w:cs="Arial" w:eastAsia="Arial" w:hAnsi="Arial"/>
                <w:sz w:val="22"/>
                <w:szCs w:val="22"/>
                <w:color w:val="auto"/>
              </w:rPr>
              <w:t>Inventories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19,715</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20,114</w:t>
            </w:r>
          </w:p>
        </w:tc>
        <w:tc>
          <w:tcPr>
            <w:tcW w:w="0" w:type="dxa"/>
            <w:vAlign w:val="bottom"/>
          </w:tcPr>
          <w:p>
            <w:pPr>
              <w:spacing w:after="0"/>
              <w:rPr>
                <w:sz w:val="1"/>
                <w:szCs w:val="1"/>
                <w:color w:val="auto"/>
              </w:rPr>
            </w:pPr>
          </w:p>
        </w:tc>
      </w:tr>
      <w:tr>
        <w:trPr>
          <w:trHeight w:val="275"/>
        </w:trPr>
        <w:tc>
          <w:tcPr>
            <w:tcW w:w="4780" w:type="dxa"/>
            <w:vAlign w:val="bottom"/>
          </w:tcPr>
          <w:p>
            <w:pPr>
              <w:ind w:left="120"/>
              <w:spacing w:after="0"/>
              <w:rPr>
                <w:sz w:val="20"/>
                <w:szCs w:val="20"/>
                <w:color w:val="auto"/>
              </w:rPr>
            </w:pPr>
            <w:r>
              <w:rPr>
                <w:rFonts w:ascii="Arial" w:cs="Arial" w:eastAsia="Arial" w:hAnsi="Arial"/>
                <w:sz w:val="22"/>
                <w:szCs w:val="22"/>
                <w:color w:val="auto"/>
              </w:rPr>
              <w:t>Prepaid expenses and other current assets</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1,726</w:t>
            </w:r>
          </w:p>
        </w:tc>
        <w:tc>
          <w:tcPr>
            <w:tcW w:w="8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2,517</w:t>
            </w: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Arial" w:cs="Arial" w:eastAsia="Arial" w:hAnsi="Arial"/>
                <w:sz w:val="22"/>
                <w:szCs w:val="22"/>
                <w:color w:val="auto"/>
              </w:rPr>
              <w:t>Total current assets</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86,112</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96,671</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15,258</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16,525</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22"/>
                <w:szCs w:val="22"/>
                <w:color w:val="auto"/>
              </w:rPr>
              <w:t>Other non-current assets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9,990</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9,291</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22"/>
                <w:szCs w:val="22"/>
                <w:color w:val="auto"/>
              </w:rPr>
              <w:t>Developed technology, net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77,000</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79,800</w:t>
            </w:r>
          </w:p>
        </w:tc>
        <w:tc>
          <w:tcPr>
            <w:tcW w:w="0" w:type="dxa"/>
            <w:vAlign w:val="bottom"/>
          </w:tcPr>
          <w:p>
            <w:pPr>
              <w:spacing w:after="0"/>
              <w:rPr>
                <w:sz w:val="1"/>
                <w:szCs w:val="1"/>
                <w:color w:val="auto"/>
              </w:rPr>
            </w:pPr>
          </w:p>
        </w:tc>
      </w:tr>
      <w:tr>
        <w:trPr>
          <w:trHeight w:val="276"/>
        </w:trPr>
        <w:tc>
          <w:tcPr>
            <w:tcW w:w="4780" w:type="dxa"/>
            <w:vAlign w:val="bottom"/>
          </w:tcPr>
          <w:p>
            <w:pPr>
              <w:spacing w:after="0"/>
              <w:rPr>
                <w:sz w:val="20"/>
                <w:szCs w:val="20"/>
                <w:color w:val="auto"/>
              </w:rPr>
            </w:pPr>
            <w:r>
              <w:rPr>
                <w:rFonts w:ascii="Arial" w:cs="Arial" w:eastAsia="Arial" w:hAnsi="Arial"/>
                <w:sz w:val="22"/>
                <w:szCs w:val="22"/>
                <w:color w:val="auto"/>
              </w:rPr>
              <w:t>Goodwill</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104,108</w:t>
            </w: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0"/>
                <w:szCs w:val="20"/>
                <w:color w:val="auto"/>
              </w:rPr>
            </w:pPr>
            <w:r>
              <w:rPr>
                <w:rFonts w:ascii="Arial" w:cs="Arial" w:eastAsia="Arial" w:hAnsi="Arial"/>
                <w:sz w:val="22"/>
                <w:szCs w:val="22"/>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292,468</w:t>
            </w:r>
          </w:p>
        </w:tc>
        <w:tc>
          <w:tcPr>
            <w:tcW w:w="80" w:type="dxa"/>
            <w:vAlign w:val="bottom"/>
          </w:tcPr>
          <w:p>
            <w:pPr>
              <w:spacing w:after="0"/>
              <w:rPr>
                <w:sz w:val="23"/>
                <w:szCs w:val="23"/>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306,395</w:t>
            </w:r>
          </w:p>
        </w:tc>
        <w:tc>
          <w:tcPr>
            <w:tcW w:w="0" w:type="dxa"/>
            <w:vAlign w:val="bottom"/>
          </w:tcPr>
          <w:p>
            <w:pPr>
              <w:spacing w:after="0"/>
              <w:rPr>
                <w:sz w:val="1"/>
                <w:szCs w:val="1"/>
                <w:color w:val="auto"/>
              </w:rPr>
            </w:pPr>
          </w:p>
        </w:tc>
      </w:tr>
      <w:tr>
        <w:trPr>
          <w:trHeight w:val="21"/>
        </w:trPr>
        <w:tc>
          <w:tcPr>
            <w:tcW w:w="4780" w:type="dxa"/>
            <w:vAlign w:val="bottom"/>
            <w:vMerge w:val="restart"/>
          </w:tcPr>
          <w:p>
            <w:pPr>
              <w:spacing w:after="0"/>
              <w:rPr>
                <w:sz w:val="20"/>
                <w:szCs w:val="20"/>
                <w:color w:val="auto"/>
              </w:rPr>
            </w:pPr>
            <w:r>
              <w:rPr>
                <w:rFonts w:ascii="Arial" w:cs="Arial" w:eastAsia="Arial" w:hAnsi="Arial"/>
                <w:sz w:val="22"/>
                <w:szCs w:val="22"/>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22"/>
                <w:szCs w:val="22"/>
                <w:color w:val="auto"/>
              </w:rPr>
              <w:t>Current liabilities:</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80" w:type="dxa"/>
            <w:vAlign w:val="bottom"/>
          </w:tcPr>
          <w:p>
            <w:pPr>
              <w:ind w:left="120"/>
              <w:spacing w:after="0"/>
              <w:rPr>
                <w:sz w:val="20"/>
                <w:szCs w:val="20"/>
                <w:color w:val="auto"/>
              </w:rPr>
            </w:pPr>
            <w:r>
              <w:rPr>
                <w:rFonts w:ascii="Arial" w:cs="Arial" w:eastAsia="Arial" w:hAnsi="Arial"/>
                <w:sz w:val="22"/>
                <w:szCs w:val="22"/>
                <w:color w:val="auto"/>
              </w:rPr>
              <w:t>Accounts payable</w:t>
            </w:r>
          </w:p>
        </w:tc>
        <w:tc>
          <w:tcPr>
            <w:tcW w:w="160" w:type="dxa"/>
            <w:vAlign w:val="bottom"/>
          </w:tcPr>
          <w:p>
            <w:pPr>
              <w:jc w:val="right"/>
              <w:spacing w:after="0"/>
              <w:rPr>
                <w:sz w:val="20"/>
                <w:szCs w:val="20"/>
                <w:color w:val="auto"/>
              </w:rPr>
            </w:pPr>
            <w:r>
              <w:rPr>
                <w:rFonts w:ascii="Arial" w:cs="Arial" w:eastAsia="Arial" w:hAnsi="Arial"/>
                <w:sz w:val="22"/>
                <w:szCs w:val="22"/>
                <w:color w:val="auto"/>
              </w:rPr>
              <w:t>$</w:t>
            </w:r>
          </w:p>
        </w:tc>
        <w:tc>
          <w:tcPr>
            <w:tcW w:w="1300" w:type="dxa"/>
            <w:vAlign w:val="bottom"/>
          </w:tcPr>
          <w:p>
            <w:pPr>
              <w:jc w:val="right"/>
              <w:spacing w:after="0"/>
              <w:rPr>
                <w:sz w:val="20"/>
                <w:szCs w:val="20"/>
                <w:color w:val="auto"/>
              </w:rPr>
            </w:pPr>
            <w:r>
              <w:rPr>
                <w:rFonts w:ascii="Arial" w:cs="Arial" w:eastAsia="Arial" w:hAnsi="Arial"/>
                <w:sz w:val="22"/>
                <w:szCs w:val="22"/>
                <w:color w:val="auto"/>
              </w:rPr>
              <w:t>3,731</w:t>
            </w:r>
          </w:p>
        </w:tc>
        <w:tc>
          <w:tcPr>
            <w:tcW w:w="80" w:type="dxa"/>
            <w:vAlign w:val="bottom"/>
          </w:tcPr>
          <w:p>
            <w:pPr>
              <w:spacing w:after="0"/>
              <w:rPr>
                <w:sz w:val="23"/>
                <w:szCs w:val="23"/>
                <w:color w:val="auto"/>
              </w:rPr>
            </w:pPr>
          </w:p>
        </w:tc>
        <w:tc>
          <w:tcPr>
            <w:tcW w:w="800" w:type="dxa"/>
            <w:vAlign w:val="bottom"/>
          </w:tcPr>
          <w:p>
            <w:pPr>
              <w:jc w:val="right"/>
              <w:ind w:right="432"/>
              <w:spacing w:after="0"/>
              <w:rPr>
                <w:sz w:val="20"/>
                <w:szCs w:val="20"/>
                <w:color w:val="auto"/>
              </w:rPr>
            </w:pPr>
            <w:r>
              <w:rPr>
                <w:rFonts w:ascii="Arial" w:cs="Arial" w:eastAsia="Arial" w:hAnsi="Arial"/>
                <w:sz w:val="22"/>
                <w:szCs w:val="22"/>
                <w:color w:val="auto"/>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3,967</w:t>
            </w:r>
          </w:p>
        </w:tc>
        <w:tc>
          <w:tcPr>
            <w:tcW w:w="0" w:type="dxa"/>
            <w:vAlign w:val="bottom"/>
          </w:tcPr>
          <w:p>
            <w:pPr>
              <w:spacing w:after="0"/>
              <w:rPr>
                <w:sz w:val="1"/>
                <w:szCs w:val="1"/>
                <w:color w:val="auto"/>
              </w:rPr>
            </w:pPr>
          </w:p>
        </w:tc>
      </w:tr>
      <w:tr>
        <w:trPr>
          <w:trHeight w:val="270"/>
        </w:trPr>
        <w:tc>
          <w:tcPr>
            <w:tcW w:w="4780" w:type="dxa"/>
            <w:vAlign w:val="bottom"/>
          </w:tcPr>
          <w:p>
            <w:pPr>
              <w:ind w:left="120"/>
              <w:spacing w:after="0"/>
              <w:rPr>
                <w:sz w:val="20"/>
                <w:szCs w:val="20"/>
                <w:color w:val="auto"/>
              </w:rPr>
            </w:pPr>
            <w:r>
              <w:rPr>
                <w:rFonts w:ascii="Arial" w:cs="Arial" w:eastAsia="Arial" w:hAnsi="Arial"/>
                <w:sz w:val="22"/>
                <w:szCs w:val="22"/>
                <w:color w:val="auto"/>
              </w:rPr>
              <w:t>Accrued compensation and related benefits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7,735</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3,996</w:t>
            </w:r>
          </w:p>
        </w:tc>
        <w:tc>
          <w:tcPr>
            <w:tcW w:w="0" w:type="dxa"/>
            <w:vAlign w:val="bottom"/>
          </w:tcPr>
          <w:p>
            <w:pPr>
              <w:spacing w:after="0"/>
              <w:rPr>
                <w:sz w:val="1"/>
                <w:szCs w:val="1"/>
                <w:color w:val="auto"/>
              </w:rPr>
            </w:pPr>
          </w:p>
        </w:tc>
      </w:tr>
      <w:tr>
        <w:trPr>
          <w:trHeight w:val="270"/>
        </w:trPr>
        <w:tc>
          <w:tcPr>
            <w:tcW w:w="4780" w:type="dxa"/>
            <w:vAlign w:val="bottom"/>
          </w:tcPr>
          <w:p>
            <w:pPr>
              <w:ind w:left="120"/>
              <w:spacing w:after="0"/>
              <w:rPr>
                <w:sz w:val="20"/>
                <w:szCs w:val="20"/>
                <w:color w:val="auto"/>
              </w:rPr>
            </w:pPr>
            <w:r>
              <w:rPr>
                <w:rFonts w:ascii="Arial" w:cs="Arial" w:eastAsia="Arial" w:hAnsi="Arial"/>
                <w:sz w:val="22"/>
                <w:szCs w:val="22"/>
                <w:color w:val="auto"/>
              </w:rPr>
              <w:t>Other accrued liabilities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9,923</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12,374</w:t>
            </w:r>
          </w:p>
        </w:tc>
        <w:tc>
          <w:tcPr>
            <w:tcW w:w="0" w:type="dxa"/>
            <w:vAlign w:val="bottom"/>
          </w:tcPr>
          <w:p>
            <w:pPr>
              <w:spacing w:after="0"/>
              <w:rPr>
                <w:sz w:val="1"/>
                <w:szCs w:val="1"/>
                <w:color w:val="auto"/>
              </w:rPr>
            </w:pPr>
          </w:p>
        </w:tc>
      </w:tr>
      <w:tr>
        <w:trPr>
          <w:trHeight w:val="275"/>
        </w:trPr>
        <w:tc>
          <w:tcPr>
            <w:tcW w:w="4780" w:type="dxa"/>
            <w:vAlign w:val="bottom"/>
          </w:tcPr>
          <w:p>
            <w:pPr>
              <w:ind w:left="120"/>
              <w:spacing w:after="0"/>
              <w:rPr>
                <w:sz w:val="20"/>
                <w:szCs w:val="20"/>
                <w:color w:val="auto"/>
              </w:rPr>
            </w:pPr>
            <w:r>
              <w:rPr>
                <w:rFonts w:ascii="Arial" w:cs="Arial" w:eastAsia="Arial" w:hAnsi="Arial"/>
                <w:sz w:val="22"/>
                <w:szCs w:val="22"/>
                <w:color w:val="auto"/>
              </w:rPr>
              <w:t>Deferred revenue, current portion</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9,900</w:t>
            </w:r>
          </w:p>
        </w:tc>
        <w:tc>
          <w:tcPr>
            <w:tcW w:w="8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9,163</w:t>
            </w: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Arial" w:cs="Arial" w:eastAsia="Arial" w:hAnsi="Arial"/>
                <w:sz w:val="22"/>
                <w:szCs w:val="22"/>
                <w:color w:val="auto"/>
              </w:rPr>
              <w:t>Total current liabilities</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31,289</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29,500</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22"/>
                <w:szCs w:val="22"/>
                <w:color w:val="auto"/>
              </w:rPr>
              <w:t>Convertible notes, net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195,022</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194,951</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22"/>
                <w:szCs w:val="22"/>
                <w:color w:val="auto"/>
              </w:rPr>
              <w:t>Deferred tax liability, net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20,137</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21,140</w:t>
            </w:r>
          </w:p>
        </w:tc>
        <w:tc>
          <w:tcPr>
            <w:tcW w:w="0" w:type="dxa"/>
            <w:vAlign w:val="bottom"/>
          </w:tcPr>
          <w:p>
            <w:pPr>
              <w:spacing w:after="0"/>
              <w:rPr>
                <w:sz w:val="1"/>
                <w:szCs w:val="1"/>
                <w:color w:val="auto"/>
              </w:rPr>
            </w:pPr>
          </w:p>
        </w:tc>
      </w:tr>
      <w:tr>
        <w:trPr>
          <w:trHeight w:val="275"/>
        </w:trPr>
        <w:tc>
          <w:tcPr>
            <w:tcW w:w="4780" w:type="dxa"/>
            <w:vAlign w:val="bottom"/>
          </w:tcPr>
          <w:p>
            <w:pPr>
              <w:spacing w:after="0"/>
              <w:rPr>
                <w:sz w:val="20"/>
                <w:szCs w:val="20"/>
                <w:color w:val="auto"/>
              </w:rPr>
            </w:pPr>
            <w:r>
              <w:rPr>
                <w:rFonts w:ascii="Arial" w:cs="Arial" w:eastAsia="Arial" w:hAnsi="Arial"/>
                <w:sz w:val="22"/>
                <w:szCs w:val="22"/>
                <w:color w:val="auto"/>
              </w:rPr>
              <w:t>Other non-current liabilities</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7,517</w:t>
            </w:r>
          </w:p>
        </w:tc>
        <w:tc>
          <w:tcPr>
            <w:tcW w:w="80" w:type="dxa"/>
            <w:vAlign w:val="bottom"/>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7,571</w:t>
            </w: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0"/>
                <w:szCs w:val="20"/>
                <w:color w:val="auto"/>
              </w:rPr>
            </w:pPr>
            <w:r>
              <w:rPr>
                <w:rFonts w:ascii="Arial" w:cs="Arial" w:eastAsia="Arial" w:hAnsi="Arial"/>
                <w:sz w:val="22"/>
                <w:szCs w:val="22"/>
                <w:color w:val="auto"/>
              </w:rPr>
              <w:t>Total liabilities</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22"/>
                <w:szCs w:val="22"/>
                <w:color w:val="auto"/>
              </w:rPr>
              <w:t>253,965</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253,162</w:t>
            </w:r>
          </w:p>
        </w:tc>
        <w:tc>
          <w:tcPr>
            <w:tcW w:w="0" w:type="dxa"/>
            <w:vAlign w:val="bottom"/>
          </w:tcPr>
          <w:p>
            <w:pPr>
              <w:spacing w:after="0"/>
              <w:rPr>
                <w:sz w:val="1"/>
                <w:szCs w:val="1"/>
                <w:color w:val="auto"/>
              </w:rPr>
            </w:pPr>
          </w:p>
        </w:tc>
      </w:tr>
      <w:tr>
        <w:trPr>
          <w:trHeight w:val="276"/>
        </w:trPr>
        <w:tc>
          <w:tcPr>
            <w:tcW w:w="4780" w:type="dxa"/>
            <w:vAlign w:val="bottom"/>
          </w:tcPr>
          <w:p>
            <w:pPr>
              <w:spacing w:after="0"/>
              <w:rPr>
                <w:sz w:val="20"/>
                <w:szCs w:val="20"/>
                <w:color w:val="auto"/>
              </w:rPr>
            </w:pPr>
            <w:r>
              <w:rPr>
                <w:rFonts w:ascii="Arial" w:cs="Arial" w:eastAsia="Arial" w:hAnsi="Arial"/>
                <w:sz w:val="22"/>
                <w:szCs w:val="22"/>
                <w:color w:val="auto"/>
              </w:rPr>
              <w:t>Total stockholders' equity</w:t>
            </w: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38,503</w:t>
            </w:r>
          </w:p>
        </w:tc>
        <w:tc>
          <w:tcPr>
            <w:tcW w:w="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53,233</w:t>
            </w:r>
          </w:p>
        </w:tc>
        <w:tc>
          <w:tcPr>
            <w:tcW w:w="0" w:type="dxa"/>
            <w:vAlign w:val="bottom"/>
          </w:tcPr>
          <w:p>
            <w:pPr>
              <w:spacing w:after="0"/>
              <w:rPr>
                <w:sz w:val="1"/>
                <w:szCs w:val="1"/>
                <w:color w:val="auto"/>
              </w:rPr>
            </w:pPr>
          </w:p>
        </w:tc>
      </w:tr>
      <w:tr>
        <w:trPr>
          <w:trHeight w:val="265"/>
        </w:trPr>
        <w:tc>
          <w:tcPr>
            <w:tcW w:w="4780" w:type="dxa"/>
            <w:vAlign w:val="bottom"/>
          </w:tcPr>
          <w:p>
            <w:pPr>
              <w:spacing w:after="0"/>
              <w:rPr>
                <w:sz w:val="20"/>
                <w:szCs w:val="20"/>
                <w:color w:val="auto"/>
              </w:rPr>
            </w:pPr>
            <w:r>
              <w:rPr>
                <w:rFonts w:ascii="Arial" w:cs="Arial" w:eastAsia="Arial" w:hAnsi="Arial"/>
                <w:sz w:val="22"/>
                <w:szCs w:val="22"/>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292,468</w:t>
            </w:r>
          </w:p>
        </w:tc>
        <w:tc>
          <w:tcPr>
            <w:tcW w:w="80" w:type="dxa"/>
            <w:vAlign w:val="bottom"/>
          </w:tcPr>
          <w:p>
            <w:pPr>
              <w:spacing w:after="0"/>
              <w:rPr>
                <w:sz w:val="23"/>
                <w:szCs w:val="23"/>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306,395</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(1) Derived from audited consolidated financial statements</w:t>
      </w:r>
    </w:p>
    <w:p>
      <w:pPr>
        <w:sectPr>
          <w:pgSz w:w="11900" w:h="16838" w:orient="portrait"/>
          <w:cols w:equalWidth="0" w:num="1">
            <w:col w:w="10199"/>
          </w:cols>
          <w:pgMar w:left="260" w:top="118" w:right="1440" w:bottom="777" w:gutter="0" w:footer="0" w:header="0"/>
        </w:sectPr>
      </w:pPr>
    </w:p>
    <w:bookmarkStart w:id="8" w:name="page9"/>
    <w:bookmarkEnd w:id="8"/>
    <w:p>
      <w:pPr>
        <w:jc w:val="center"/>
        <w:ind w:right="879"/>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879"/>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17" w:lineRule="exact"/>
        <w:rPr>
          <w:sz w:val="20"/>
          <w:szCs w:val="20"/>
          <w:color w:val="auto"/>
        </w:rPr>
      </w:pPr>
    </w:p>
    <w:p>
      <w:pPr>
        <w:jc w:val="center"/>
        <w:ind w:right="879"/>
        <w:spacing w:after="0"/>
        <w:rPr>
          <w:sz w:val="20"/>
          <w:szCs w:val="20"/>
          <w:color w:val="auto"/>
        </w:rPr>
      </w:pPr>
      <w:r>
        <w:rPr>
          <w:rFonts w:ascii="Arial" w:cs="Arial" w:eastAsia="Arial" w:hAnsi="Arial"/>
          <w:sz w:val="22"/>
          <w:szCs w:val="22"/>
          <w:b w:val="1"/>
          <w:bCs w:val="1"/>
          <w:color w:val="auto"/>
        </w:rPr>
        <w:t>(In thousands)</w:t>
      </w:r>
    </w:p>
    <w:p>
      <w:pPr>
        <w:spacing w:after="0" w:line="17" w:lineRule="exact"/>
        <w:rPr>
          <w:sz w:val="20"/>
          <w:szCs w:val="20"/>
          <w:color w:val="auto"/>
        </w:rPr>
      </w:pPr>
    </w:p>
    <w:p>
      <w:pPr>
        <w:jc w:val="center"/>
        <w:ind w:right="879"/>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340" w:type="dxa"/>
            <w:vAlign w:val="bottom"/>
          </w:tcPr>
          <w:p>
            <w:pPr>
              <w:spacing w:after="0"/>
              <w:rPr>
                <w:sz w:val="24"/>
                <w:szCs w:val="24"/>
                <w:color w:val="auto"/>
              </w:rPr>
            </w:pPr>
          </w:p>
        </w:tc>
        <w:tc>
          <w:tcPr>
            <w:tcW w:w="3000" w:type="dxa"/>
            <w:vAlign w:val="bottom"/>
            <w:tcBorders>
              <w:bottom w:val="single" w:sz="8" w:color="auto"/>
            </w:tcBorders>
            <w:gridSpan w:val="5"/>
          </w:tcPr>
          <w:p>
            <w:pPr>
              <w:jc w:val="right"/>
              <w:spacing w:after="0"/>
              <w:rPr>
                <w:sz w:val="20"/>
                <w:szCs w:val="20"/>
                <w:color w:val="auto"/>
              </w:rPr>
            </w:pPr>
            <w:r>
              <w:rPr>
                <w:rFonts w:ascii="Arial" w:cs="Arial" w:eastAsia="Arial" w:hAnsi="Arial"/>
                <w:sz w:val="22"/>
                <w:szCs w:val="22"/>
                <w:b w:val="1"/>
                <w:bCs w:val="1"/>
                <w:color w:val="auto"/>
                <w:w w:val="91"/>
              </w:rPr>
              <w:t>Three Months Ended March 31,</w:t>
            </w:r>
          </w:p>
        </w:tc>
      </w:tr>
      <w:tr>
        <w:trPr>
          <w:trHeight w:val="265"/>
        </w:trPr>
        <w:tc>
          <w:tcPr>
            <w:tcW w:w="63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b w:val="1"/>
                <w:bCs w:val="1"/>
                <w:color w:val="auto"/>
              </w:rPr>
              <w:t>2017</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22"/>
                <w:szCs w:val="22"/>
                <w:b w:val="1"/>
                <w:bCs w:val="1"/>
                <w:color w:val="auto"/>
              </w:rPr>
              <w:t>2016</w:t>
            </w:r>
          </w:p>
        </w:tc>
      </w:tr>
      <w:tr>
        <w:trPr>
          <w:trHeight w:val="256"/>
        </w:trPr>
        <w:tc>
          <w:tcPr>
            <w:tcW w:w="6340" w:type="dxa"/>
            <w:vAlign w:val="bottom"/>
          </w:tcPr>
          <w:p>
            <w:pPr>
              <w:spacing w:after="0"/>
              <w:rPr>
                <w:sz w:val="20"/>
                <w:szCs w:val="20"/>
                <w:color w:val="auto"/>
              </w:rPr>
            </w:pPr>
            <w:r>
              <w:rPr>
                <w:rFonts w:ascii="Arial" w:cs="Arial" w:eastAsia="Arial" w:hAnsi="Arial"/>
                <w:sz w:val="22"/>
                <w:szCs w:val="22"/>
                <w:b w:val="1"/>
                <w:bCs w:val="1"/>
                <w:color w:val="auto"/>
              </w:rPr>
              <w:t>Operating activities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auto"/>
              </w:rPr>
              <w:t>Net loss</w:t>
            </w:r>
          </w:p>
        </w:tc>
        <w:tc>
          <w:tcPr>
            <w:tcW w:w="340" w:type="dxa"/>
            <w:vAlign w:val="bottom"/>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Pr>
          <w:p>
            <w:pPr>
              <w:jc w:val="right"/>
              <w:spacing w:after="0"/>
              <w:rPr>
                <w:sz w:val="20"/>
                <w:szCs w:val="20"/>
                <w:color w:val="auto"/>
              </w:rPr>
            </w:pPr>
            <w:r>
              <w:rPr>
                <w:rFonts w:ascii="Arial" w:cs="Arial" w:eastAsia="Arial" w:hAnsi="Arial"/>
                <w:sz w:val="22"/>
                <w:szCs w:val="22"/>
                <w:color w:val="auto"/>
              </w:rPr>
              <w:t>(17,202)</w:t>
            </w:r>
          </w:p>
        </w:tc>
        <w:tc>
          <w:tcPr>
            <w:tcW w:w="120" w:type="dxa"/>
            <w:vAlign w:val="bottom"/>
          </w:tcPr>
          <w:p>
            <w:pPr>
              <w:spacing w:after="0"/>
              <w:rPr>
                <w:sz w:val="23"/>
                <w:szCs w:val="23"/>
                <w:color w:val="auto"/>
              </w:rPr>
            </w:pPr>
          </w:p>
        </w:tc>
        <w:tc>
          <w:tcPr>
            <w:tcW w:w="34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(19,884)</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1,951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22"/>
                <w:szCs w:val="22"/>
                <w:color w:val="auto"/>
              </w:rPr>
              <w:t>1,565</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3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2,446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22"/>
                <w:szCs w:val="22"/>
                <w:color w:val="auto"/>
              </w:rPr>
              <w:t>3,717</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auto"/>
              </w:rPr>
              <w:t>Amortization of developed technology</w:t>
            </w:r>
          </w:p>
        </w:tc>
        <w:tc>
          <w:tcPr>
            <w:tcW w:w="3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2,800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22"/>
                <w:szCs w:val="22"/>
                <w:color w:val="auto"/>
              </w:rPr>
              <w:t>2,800</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auto"/>
              </w:rPr>
              <w:t>Other non-cash items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22"/>
                <w:szCs w:val="22"/>
                <w:color w:val="auto"/>
              </w:rPr>
              <w:t>227</w:t>
            </w:r>
          </w:p>
        </w:tc>
      </w:tr>
      <w:tr>
        <w:trPr>
          <w:trHeight w:val="275"/>
        </w:trPr>
        <w:tc>
          <w:tcPr>
            <w:tcW w:w="6340" w:type="dxa"/>
            <w:vAlign w:val="bottom"/>
          </w:tcPr>
          <w:p>
            <w:pPr>
              <w:spacing w:after="0"/>
              <w:rPr>
                <w:sz w:val="20"/>
                <w:szCs w:val="20"/>
                <w:color w:val="auto"/>
              </w:rPr>
            </w:pPr>
            <w:r>
              <w:rPr>
                <w:rFonts w:ascii="Arial" w:cs="Arial" w:eastAsia="Arial" w:hAnsi="Arial"/>
                <w:sz w:val="22"/>
                <w:szCs w:val="22"/>
                <w:color w:val="auto"/>
              </w:rPr>
              <w:t>Changes in assets and liabilities, net</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1,643</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3,783</w:t>
            </w:r>
          </w:p>
        </w:tc>
      </w:tr>
      <w:tr>
        <w:trPr>
          <w:trHeight w:val="272"/>
        </w:trPr>
        <w:tc>
          <w:tcPr>
            <w:tcW w:w="6340" w:type="dxa"/>
            <w:vAlign w:val="bottom"/>
          </w:tcPr>
          <w:p>
            <w:pPr>
              <w:spacing w:after="0"/>
              <w:rPr>
                <w:sz w:val="20"/>
                <w:szCs w:val="20"/>
                <w:color w:val="auto"/>
              </w:rPr>
            </w:pPr>
            <w:r>
              <w:rPr>
                <w:rFonts w:ascii="Arial" w:cs="Arial" w:eastAsia="Arial" w:hAnsi="Arial"/>
                <w:sz w:val="22"/>
                <w:szCs w:val="22"/>
                <w:color w:val="auto"/>
              </w:rPr>
              <w:t>Net cash used in operating activities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(8,488)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(7,792)</w:t>
            </w:r>
          </w:p>
        </w:tc>
      </w:tr>
      <w:tr>
        <w:trPr>
          <w:trHeight w:val="528"/>
        </w:trPr>
        <w:tc>
          <w:tcPr>
            <w:tcW w:w="6340" w:type="dxa"/>
            <w:vAlign w:val="bottom"/>
          </w:tcPr>
          <w:p>
            <w:pPr>
              <w:spacing w:after="0"/>
              <w:rPr>
                <w:sz w:val="20"/>
                <w:szCs w:val="20"/>
                <w:color w:val="auto"/>
              </w:rPr>
            </w:pPr>
            <w:r>
              <w:rPr>
                <w:rFonts w:ascii="Arial" w:cs="Arial" w:eastAsia="Arial" w:hAnsi="Arial"/>
                <w:sz w:val="22"/>
                <w:szCs w:val="22"/>
                <w:b w:val="1"/>
                <w:bCs w:val="1"/>
                <w:color w:val="auto"/>
              </w:rPr>
              <w:t>Investing activities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auto"/>
              </w:rPr>
              <w:t>Purchases of investments</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(1,183)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(8,514)</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auto"/>
              </w:rPr>
              <w:t>Proceeds from sales and maturities of investments</w:t>
            </w:r>
          </w:p>
        </w:tc>
        <w:tc>
          <w:tcPr>
            <w:tcW w:w="3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19,375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22"/>
                <w:szCs w:val="22"/>
                <w:color w:val="auto"/>
              </w:rPr>
              <w:t>28,532</w:t>
            </w:r>
          </w:p>
        </w:tc>
      </w:tr>
      <w:tr>
        <w:trPr>
          <w:trHeight w:val="270"/>
        </w:trPr>
        <w:tc>
          <w:tcPr>
            <w:tcW w:w="6340" w:type="dxa"/>
            <w:vAlign w:val="bottom"/>
          </w:tcPr>
          <w:p>
            <w:pPr>
              <w:spacing w:after="0"/>
              <w:rPr>
                <w:sz w:val="20"/>
                <w:szCs w:val="20"/>
                <w:color w:val="auto"/>
              </w:rPr>
            </w:pPr>
            <w:r>
              <w:rPr>
                <w:rFonts w:ascii="Arial" w:cs="Arial" w:eastAsia="Arial" w:hAnsi="Arial"/>
                <w:sz w:val="22"/>
                <w:szCs w:val="22"/>
                <w:color w:val="auto"/>
              </w:rPr>
              <w:t>Proceeds from sale of investment in Verinata</w:t>
            </w:r>
          </w:p>
        </w:tc>
        <w:tc>
          <w:tcPr>
            <w:tcW w:w="3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22"/>
                <w:szCs w:val="22"/>
                <w:color w:val="auto"/>
              </w:rPr>
              <w:t>2,330</w:t>
            </w:r>
          </w:p>
        </w:tc>
      </w:tr>
      <w:tr>
        <w:trPr>
          <w:trHeight w:val="275"/>
        </w:trPr>
        <w:tc>
          <w:tcPr>
            <w:tcW w:w="6340" w:type="dxa"/>
            <w:vAlign w:val="bottom"/>
          </w:tcPr>
          <w:p>
            <w:pPr>
              <w:spacing w:after="0"/>
              <w:rPr>
                <w:sz w:val="20"/>
                <w:szCs w:val="20"/>
                <w:color w:val="auto"/>
              </w:rPr>
            </w:pPr>
            <w:r>
              <w:rPr>
                <w:rFonts w:ascii="Arial" w:cs="Arial" w:eastAsia="Arial" w:hAnsi="Arial"/>
                <w:sz w:val="22"/>
                <w:szCs w:val="22"/>
                <w:color w:val="auto"/>
              </w:rPr>
              <w:t>Purchases of property and equipment</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(692)</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(1,144)</w:t>
            </w:r>
          </w:p>
        </w:tc>
      </w:tr>
      <w:tr>
        <w:trPr>
          <w:trHeight w:val="272"/>
        </w:trPr>
        <w:tc>
          <w:tcPr>
            <w:tcW w:w="6340" w:type="dxa"/>
            <w:vAlign w:val="bottom"/>
          </w:tcPr>
          <w:p>
            <w:pPr>
              <w:spacing w:after="0"/>
              <w:rPr>
                <w:sz w:val="20"/>
                <w:szCs w:val="20"/>
                <w:color w:val="auto"/>
              </w:rPr>
            </w:pPr>
            <w:r>
              <w:rPr>
                <w:rFonts w:ascii="Arial" w:cs="Arial" w:eastAsia="Arial" w:hAnsi="Arial"/>
                <w:sz w:val="22"/>
                <w:szCs w:val="22"/>
                <w:color w:val="auto"/>
              </w:rPr>
              <w:t>Net cash provided by investing activities</w:t>
            </w:r>
          </w:p>
        </w:tc>
        <w:tc>
          <w:tcPr>
            <w:tcW w:w="34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17,500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22"/>
                <w:szCs w:val="22"/>
                <w:color w:val="auto"/>
              </w:rPr>
              <w:t>21,204</w:t>
            </w:r>
          </w:p>
        </w:tc>
      </w:tr>
      <w:tr>
        <w:trPr>
          <w:trHeight w:val="528"/>
        </w:trPr>
        <w:tc>
          <w:tcPr>
            <w:tcW w:w="6340" w:type="dxa"/>
            <w:vAlign w:val="bottom"/>
          </w:tcPr>
          <w:p>
            <w:pPr>
              <w:spacing w:after="0"/>
              <w:rPr>
                <w:sz w:val="20"/>
                <w:szCs w:val="20"/>
                <w:color w:val="auto"/>
              </w:rPr>
            </w:pPr>
            <w:r>
              <w:rPr>
                <w:rFonts w:ascii="Arial" w:cs="Arial" w:eastAsia="Arial" w:hAnsi="Arial"/>
                <w:sz w:val="22"/>
                <w:szCs w:val="22"/>
                <w:b w:val="1"/>
                <w:bCs w:val="1"/>
                <w:color w:val="auto"/>
              </w:rPr>
              <w:t>Financing activities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5"/>
        </w:trPr>
        <w:tc>
          <w:tcPr>
            <w:tcW w:w="6340" w:type="dxa"/>
            <w:vAlign w:val="bottom"/>
          </w:tcPr>
          <w:p>
            <w:pPr>
              <w:spacing w:after="0"/>
              <w:rPr>
                <w:sz w:val="20"/>
                <w:szCs w:val="20"/>
                <w:color w:val="auto"/>
              </w:rPr>
            </w:pPr>
            <w:r>
              <w:rPr>
                <w:rFonts w:ascii="Arial" w:cs="Arial" w:eastAsia="Arial" w:hAnsi="Arial"/>
                <w:sz w:val="22"/>
                <w:szCs w:val="22"/>
                <w:color w:val="auto"/>
                <w:w w:val="89"/>
              </w:rPr>
              <w:t>Proceeds from issuance of common stock through stock plans, net of tax</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5</w:t>
            </w:r>
          </w:p>
        </w:tc>
      </w:tr>
      <w:tr>
        <w:trPr>
          <w:trHeight w:val="259"/>
        </w:trPr>
        <w:tc>
          <w:tcPr>
            <w:tcW w:w="6340" w:type="dxa"/>
            <w:vAlign w:val="bottom"/>
          </w:tcPr>
          <w:p>
            <w:pPr>
              <w:spacing w:after="0"/>
              <w:rPr>
                <w:sz w:val="20"/>
                <w:szCs w:val="20"/>
                <w:color w:val="auto"/>
              </w:rPr>
            </w:pPr>
            <w:r>
              <w:rPr>
                <w:rFonts w:ascii="Arial" w:cs="Arial" w:eastAsia="Arial" w:hAnsi="Arial"/>
                <w:sz w:val="22"/>
                <w:szCs w:val="22"/>
                <w:color w:val="auto"/>
              </w:rPr>
              <w:t>Net cash provided by financing activities</w:t>
            </w:r>
          </w:p>
        </w:tc>
        <w:tc>
          <w:tcPr>
            <w:tcW w:w="34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52"/>
              <w:spacing w:after="0"/>
              <w:rPr>
                <w:sz w:val="20"/>
                <w:szCs w:val="20"/>
                <w:color w:val="auto"/>
              </w:rPr>
            </w:pPr>
            <w:r>
              <w:rPr>
                <w:rFonts w:ascii="Arial" w:cs="Arial" w:eastAsia="Arial" w:hAnsi="Arial"/>
                <w:sz w:val="22"/>
                <w:szCs w:val="22"/>
                <w:color w:val="auto"/>
              </w:rPr>
              <w:t>5</w:t>
            </w:r>
          </w:p>
        </w:tc>
      </w:tr>
      <w:tr>
        <w:trPr>
          <w:trHeight w:val="275"/>
        </w:trPr>
        <w:tc>
          <w:tcPr>
            <w:tcW w:w="6340" w:type="dxa"/>
            <w:vAlign w:val="bottom"/>
          </w:tcPr>
          <w:p>
            <w:pPr>
              <w:spacing w:after="0"/>
              <w:rPr>
                <w:sz w:val="20"/>
                <w:szCs w:val="20"/>
                <w:color w:val="auto"/>
              </w:rPr>
            </w:pPr>
            <w:r>
              <w:rPr>
                <w:rFonts w:ascii="Arial" w:cs="Arial" w:eastAsia="Arial" w:hAnsi="Arial"/>
                <w:sz w:val="22"/>
                <w:szCs w:val="22"/>
                <w:color w:val="auto"/>
                <w:w w:val="88"/>
              </w:rPr>
              <w:t>Effect of foreign exchange rate fluctuations on cash and cash equivalents</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37</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320</w:t>
            </w:r>
          </w:p>
        </w:tc>
      </w:tr>
      <w:tr>
        <w:trPr>
          <w:trHeight w:val="259"/>
        </w:trPr>
        <w:tc>
          <w:tcPr>
            <w:tcW w:w="6340" w:type="dxa"/>
            <w:vAlign w:val="bottom"/>
          </w:tcPr>
          <w:p>
            <w:pPr>
              <w:spacing w:after="0"/>
              <w:rPr>
                <w:sz w:val="20"/>
                <w:szCs w:val="20"/>
                <w:color w:val="auto"/>
              </w:rPr>
            </w:pPr>
            <w:r>
              <w:rPr>
                <w:rFonts w:ascii="Arial" w:cs="Arial" w:eastAsia="Arial" w:hAnsi="Arial"/>
                <w:sz w:val="22"/>
                <w:szCs w:val="22"/>
                <w:color w:val="auto"/>
              </w:rPr>
              <w:t>Net increase in cash and cash equivalents</w:t>
            </w:r>
          </w:p>
        </w:tc>
        <w:tc>
          <w:tcPr>
            <w:tcW w:w="34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22"/>
                <w:szCs w:val="22"/>
                <w:color w:val="auto"/>
              </w:rPr>
              <w:t>9,052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52"/>
              <w:spacing w:after="0"/>
              <w:rPr>
                <w:sz w:val="20"/>
                <w:szCs w:val="20"/>
                <w:color w:val="auto"/>
              </w:rPr>
            </w:pPr>
            <w:r>
              <w:rPr>
                <w:rFonts w:ascii="Arial" w:cs="Arial" w:eastAsia="Arial" w:hAnsi="Arial"/>
                <w:sz w:val="22"/>
                <w:szCs w:val="22"/>
                <w:color w:val="auto"/>
              </w:rPr>
              <w:t>13,737</w:t>
            </w:r>
          </w:p>
        </w:tc>
      </w:tr>
      <w:tr>
        <w:trPr>
          <w:trHeight w:val="276"/>
        </w:trPr>
        <w:tc>
          <w:tcPr>
            <w:tcW w:w="6340" w:type="dxa"/>
            <w:vAlign w:val="bottom"/>
          </w:tcPr>
          <w:p>
            <w:pPr>
              <w:spacing w:after="0"/>
              <w:rPr>
                <w:sz w:val="20"/>
                <w:szCs w:val="20"/>
                <w:color w:val="auto"/>
              </w:rPr>
            </w:pPr>
            <w:r>
              <w:rPr>
                <w:rFonts w:ascii="Arial" w:cs="Arial" w:eastAsia="Arial" w:hAnsi="Arial"/>
                <w:sz w:val="22"/>
                <w:szCs w:val="22"/>
                <w:color w:val="auto"/>
              </w:rPr>
              <w:t>Cash and cash equivalents at beginning of period</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35,045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29,117</w:t>
            </w:r>
          </w:p>
        </w:tc>
      </w:tr>
      <w:tr>
        <w:trPr>
          <w:trHeight w:val="265"/>
        </w:trPr>
        <w:tc>
          <w:tcPr>
            <w:tcW w:w="6340" w:type="dxa"/>
            <w:vAlign w:val="bottom"/>
          </w:tcPr>
          <w:p>
            <w:pPr>
              <w:spacing w:after="0"/>
              <w:rPr>
                <w:sz w:val="20"/>
                <w:szCs w:val="20"/>
                <w:color w:val="auto"/>
              </w:rPr>
            </w:pPr>
            <w:r>
              <w:rPr>
                <w:rFonts w:ascii="Arial" w:cs="Arial" w:eastAsia="Arial" w:hAnsi="Arial"/>
                <w:sz w:val="22"/>
                <w:szCs w:val="22"/>
                <w:color w:val="auto"/>
              </w:rPr>
              <w:t>Cash and cash equivalents at end of period</w:t>
            </w:r>
          </w:p>
        </w:tc>
        <w:tc>
          <w:tcPr>
            <w:tcW w:w="34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44,097</w:t>
            </w:r>
          </w:p>
        </w:tc>
        <w:tc>
          <w:tcPr>
            <w:tcW w:w="120" w:type="dxa"/>
            <w:vAlign w:val="bottom"/>
          </w:tcPr>
          <w:p>
            <w:pPr>
              <w:spacing w:after="0"/>
              <w:rPr>
                <w:sz w:val="23"/>
                <w:szCs w:val="23"/>
                <w:color w:val="auto"/>
              </w:rPr>
            </w:pPr>
          </w:p>
        </w:tc>
        <w:tc>
          <w:tcPr>
            <w:tcW w:w="34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rPr>
              <w:t>42,854</w:t>
            </w:r>
          </w:p>
        </w:tc>
      </w:tr>
      <w:tr>
        <w:trPr>
          <w:trHeight w:val="21"/>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9"/>
        <w:spacing w:after="0"/>
        <w:rPr>
          <w:sz w:val="20"/>
          <w:szCs w:val="20"/>
          <w:color w:val="auto"/>
        </w:rPr>
      </w:pPr>
      <w:r>
        <w:rPr>
          <w:rFonts w:ascii="Arial" w:cs="Arial" w:eastAsia="Arial" w:hAnsi="Arial"/>
          <w:sz w:val="22"/>
          <w:szCs w:val="22"/>
          <w:b w:val="1"/>
          <w:bCs w:val="1"/>
          <w:color w:val="auto"/>
        </w:rPr>
        <w:t>FLUIDIGM CORPORATION</w:t>
      </w:r>
    </w:p>
    <w:p>
      <w:pPr>
        <w:spacing w:after="0" w:line="28" w:lineRule="exact"/>
        <w:rPr>
          <w:sz w:val="20"/>
          <w:szCs w:val="20"/>
          <w:color w:val="auto"/>
        </w:rPr>
      </w:pPr>
    </w:p>
    <w:p>
      <w:pPr>
        <w:jc w:val="center"/>
        <w:ind w:right="659"/>
        <w:spacing w:after="0"/>
        <w:rPr>
          <w:sz w:val="20"/>
          <w:szCs w:val="20"/>
          <w:color w:val="auto"/>
        </w:rPr>
      </w:pPr>
      <w:r>
        <w:rPr>
          <w:rFonts w:ascii="Arial" w:cs="Arial" w:eastAsia="Arial" w:hAnsi="Arial"/>
          <w:sz w:val="22"/>
          <w:szCs w:val="22"/>
          <w:b w:val="1"/>
          <w:bCs w:val="1"/>
          <w:color w:val="auto"/>
        </w:rPr>
        <w:t>RECONCILIATION OF GAAP TO NON-GAAP FINANCIAL INFORMATION</w:t>
      </w:r>
    </w:p>
    <w:p>
      <w:pPr>
        <w:spacing w:after="0" w:line="17" w:lineRule="exact"/>
        <w:rPr>
          <w:sz w:val="20"/>
          <w:szCs w:val="20"/>
          <w:color w:val="auto"/>
        </w:rPr>
      </w:pPr>
    </w:p>
    <w:p>
      <w:pPr>
        <w:jc w:val="center"/>
        <w:ind w:right="599"/>
        <w:spacing w:after="0"/>
        <w:rPr>
          <w:sz w:val="20"/>
          <w:szCs w:val="20"/>
          <w:color w:val="auto"/>
        </w:rPr>
      </w:pPr>
      <w:r>
        <w:rPr>
          <w:rFonts w:ascii="Arial" w:cs="Arial" w:eastAsia="Arial" w:hAnsi="Arial"/>
          <w:sz w:val="22"/>
          <w:szCs w:val="22"/>
          <w:b w:val="1"/>
          <w:bCs w:val="1"/>
          <w:color w:val="auto"/>
        </w:rPr>
        <w:t>(In thousands, except per share amounts)</w:t>
      </w:r>
    </w:p>
    <w:p>
      <w:pPr>
        <w:spacing w:after="0" w:line="17" w:lineRule="exact"/>
        <w:rPr>
          <w:sz w:val="20"/>
          <w:szCs w:val="20"/>
          <w:color w:val="auto"/>
        </w:rPr>
      </w:pPr>
    </w:p>
    <w:p>
      <w:pPr>
        <w:jc w:val="center"/>
        <w:ind w:right="599"/>
        <w:spacing w:after="0"/>
        <w:rPr>
          <w:sz w:val="20"/>
          <w:szCs w:val="20"/>
          <w:color w:val="auto"/>
        </w:rPr>
      </w:pPr>
      <w:r>
        <w:rPr>
          <w:rFonts w:ascii="Arial" w:cs="Arial" w:eastAsia="Arial" w:hAnsi="Arial"/>
          <w:sz w:val="22"/>
          <w:szCs w:val="22"/>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22"/>
                <w:szCs w:val="22"/>
                <w:b w:val="1"/>
                <w:bCs w:val="1"/>
                <w:color w:val="auto"/>
                <w:w w:val="94"/>
              </w:rPr>
              <w:t>Three Months Ended March 31,</w:t>
            </w:r>
          </w:p>
        </w:tc>
        <w:tc>
          <w:tcPr>
            <w:tcW w:w="0" w:type="dxa"/>
            <w:vAlign w:val="bottom"/>
          </w:tcPr>
          <w:p>
            <w:pPr>
              <w:spacing w:after="0"/>
              <w:rPr>
                <w:sz w:val="1"/>
                <w:szCs w:val="1"/>
                <w:color w:val="auto"/>
              </w:rPr>
            </w:pPr>
          </w:p>
        </w:tc>
      </w:tr>
      <w:tr>
        <w:trPr>
          <w:trHeight w:val="265"/>
        </w:trPr>
        <w:tc>
          <w:tcPr>
            <w:tcW w:w="57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2017</w:t>
            </w:r>
          </w:p>
        </w:tc>
        <w:tc>
          <w:tcPr>
            <w:tcW w:w="14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2016</w:t>
            </w:r>
          </w:p>
        </w:tc>
        <w:tc>
          <w:tcPr>
            <w:tcW w:w="0" w:type="dxa"/>
            <w:vAlign w:val="bottom"/>
          </w:tcPr>
          <w:p>
            <w:pPr>
              <w:spacing w:after="0"/>
              <w:rPr>
                <w:sz w:val="1"/>
                <w:szCs w:val="1"/>
                <w:color w:val="auto"/>
              </w:rPr>
            </w:pPr>
          </w:p>
        </w:tc>
      </w:tr>
      <w:tr>
        <w:trPr>
          <w:trHeight w:val="526"/>
        </w:trPr>
        <w:tc>
          <w:tcPr>
            <w:tcW w:w="5720" w:type="dxa"/>
            <w:vAlign w:val="bottom"/>
          </w:tcPr>
          <w:p>
            <w:pPr>
              <w:spacing w:after="0"/>
              <w:rPr>
                <w:sz w:val="20"/>
                <w:szCs w:val="20"/>
                <w:color w:val="auto"/>
              </w:rPr>
            </w:pPr>
            <w:r>
              <w:rPr>
                <w:rFonts w:ascii="Arial" w:cs="Arial" w:eastAsia="Arial" w:hAnsi="Arial"/>
                <w:sz w:val="22"/>
                <w:szCs w:val="22"/>
                <w:color w:val="auto"/>
              </w:rPr>
              <w:t>Net loss (GAAP)</w:t>
            </w:r>
          </w:p>
        </w:tc>
        <w:tc>
          <w:tcPr>
            <w:tcW w:w="3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520" w:type="dxa"/>
            <w:vAlign w:val="bottom"/>
          </w:tcPr>
          <w:p>
            <w:pPr>
              <w:jc w:val="right"/>
              <w:ind w:right="152"/>
              <w:spacing w:after="0"/>
              <w:rPr>
                <w:sz w:val="20"/>
                <w:szCs w:val="20"/>
                <w:color w:val="auto"/>
              </w:rPr>
            </w:pPr>
            <w:r>
              <w:rPr>
                <w:rFonts w:ascii="Arial" w:cs="Arial" w:eastAsia="Arial" w:hAnsi="Arial"/>
                <w:sz w:val="22"/>
                <w:szCs w:val="22"/>
                <w:color w:val="auto"/>
              </w:rPr>
              <w:t>(17,202)</w:t>
            </w:r>
          </w:p>
        </w:tc>
        <w:tc>
          <w:tcPr>
            <w:tcW w:w="140" w:type="dxa"/>
            <w:vAlign w:val="bottom"/>
          </w:tcPr>
          <w:p>
            <w:pPr>
              <w:spacing w:after="0"/>
              <w:rPr>
                <w:sz w:val="24"/>
                <w:szCs w:val="24"/>
                <w:color w:val="auto"/>
              </w:rPr>
            </w:pPr>
          </w:p>
        </w:tc>
        <w:tc>
          <w:tcPr>
            <w:tcW w:w="5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172"/>
              <w:spacing w:after="0"/>
              <w:rPr>
                <w:sz w:val="20"/>
                <w:szCs w:val="20"/>
                <w:color w:val="auto"/>
              </w:rPr>
            </w:pPr>
            <w:r>
              <w:rPr>
                <w:rFonts w:ascii="Arial" w:cs="Arial" w:eastAsia="Arial" w:hAnsi="Arial"/>
                <w:sz w:val="22"/>
                <w:szCs w:val="22"/>
                <w:color w:val="auto"/>
              </w:rPr>
              <w:t>(19,884)</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320" w:type="dxa"/>
            <w:vAlign w:val="bottom"/>
          </w:tcPr>
          <w:p>
            <w:pPr>
              <w:spacing w:after="0"/>
              <w:rPr>
                <w:sz w:val="23"/>
                <w:szCs w:val="23"/>
                <w:color w:val="auto"/>
              </w:rPr>
            </w:pPr>
          </w:p>
        </w:tc>
        <w:tc>
          <w:tcPr>
            <w:tcW w:w="1520" w:type="dxa"/>
            <w:vAlign w:val="bottom"/>
          </w:tcPr>
          <w:p>
            <w:pPr>
              <w:jc w:val="right"/>
              <w:ind w:right="232"/>
              <w:spacing w:after="0"/>
              <w:rPr>
                <w:sz w:val="20"/>
                <w:szCs w:val="20"/>
                <w:color w:val="auto"/>
              </w:rPr>
            </w:pPr>
            <w:r>
              <w:rPr>
                <w:rFonts w:ascii="Arial" w:cs="Arial" w:eastAsia="Arial" w:hAnsi="Arial"/>
                <w:sz w:val="22"/>
                <w:szCs w:val="22"/>
                <w:color w:val="auto"/>
              </w:rPr>
              <w:t>2,446</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tcPr>
          <w:p>
            <w:pPr>
              <w:jc w:val="right"/>
              <w:ind w:right="252"/>
              <w:spacing w:after="0"/>
              <w:rPr>
                <w:sz w:val="20"/>
                <w:szCs w:val="20"/>
                <w:color w:val="auto"/>
              </w:rPr>
            </w:pPr>
            <w:r>
              <w:rPr>
                <w:rFonts w:ascii="Arial" w:cs="Arial" w:eastAsia="Arial" w:hAnsi="Arial"/>
                <w:sz w:val="22"/>
                <w:szCs w:val="22"/>
                <w:color w:val="auto"/>
              </w:rPr>
              <w:t>3,717</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320" w:type="dxa"/>
            <w:vAlign w:val="bottom"/>
          </w:tcPr>
          <w:p>
            <w:pPr>
              <w:spacing w:after="0"/>
              <w:rPr>
                <w:sz w:val="23"/>
                <w:szCs w:val="23"/>
                <w:color w:val="auto"/>
              </w:rPr>
            </w:pPr>
          </w:p>
        </w:tc>
        <w:tc>
          <w:tcPr>
            <w:tcW w:w="1520" w:type="dxa"/>
            <w:vAlign w:val="bottom"/>
          </w:tcPr>
          <w:p>
            <w:pPr>
              <w:jc w:val="right"/>
              <w:ind w:right="232"/>
              <w:spacing w:after="0"/>
              <w:rPr>
                <w:sz w:val="20"/>
                <w:szCs w:val="20"/>
                <w:color w:val="auto"/>
              </w:rPr>
            </w:pPr>
            <w:r>
              <w:rPr>
                <w:rFonts w:ascii="Arial" w:cs="Arial" w:eastAsia="Arial" w:hAnsi="Arial"/>
                <w:sz w:val="22"/>
                <w:szCs w:val="22"/>
                <w:color w:val="auto"/>
              </w:rPr>
              <w:t>2,800</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tcPr>
          <w:p>
            <w:pPr>
              <w:jc w:val="right"/>
              <w:ind w:right="252"/>
              <w:spacing w:after="0"/>
              <w:rPr>
                <w:sz w:val="20"/>
                <w:szCs w:val="20"/>
                <w:color w:val="auto"/>
              </w:rPr>
            </w:pPr>
            <w:r>
              <w:rPr>
                <w:rFonts w:ascii="Arial" w:cs="Arial" w:eastAsia="Arial" w:hAnsi="Arial"/>
                <w:sz w:val="22"/>
                <w:szCs w:val="22"/>
                <w:color w:val="auto"/>
              </w:rPr>
              <w:t>2,800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22"/>
                <w:szCs w:val="22"/>
                <w:color w:val="auto"/>
              </w:rPr>
              <w:t>Interest expense (b)</w:t>
            </w:r>
          </w:p>
        </w:tc>
        <w:tc>
          <w:tcPr>
            <w:tcW w:w="320" w:type="dxa"/>
            <w:vAlign w:val="bottom"/>
          </w:tcPr>
          <w:p>
            <w:pPr>
              <w:spacing w:after="0"/>
              <w:rPr>
                <w:sz w:val="23"/>
                <w:szCs w:val="23"/>
                <w:color w:val="auto"/>
              </w:rPr>
            </w:pPr>
          </w:p>
        </w:tc>
        <w:tc>
          <w:tcPr>
            <w:tcW w:w="1520" w:type="dxa"/>
            <w:vAlign w:val="bottom"/>
          </w:tcPr>
          <w:p>
            <w:pPr>
              <w:jc w:val="right"/>
              <w:ind w:right="232"/>
              <w:spacing w:after="0"/>
              <w:rPr>
                <w:sz w:val="20"/>
                <w:szCs w:val="20"/>
                <w:color w:val="auto"/>
              </w:rPr>
            </w:pPr>
            <w:r>
              <w:rPr>
                <w:rFonts w:ascii="Arial" w:cs="Arial" w:eastAsia="Arial" w:hAnsi="Arial"/>
                <w:sz w:val="22"/>
                <w:szCs w:val="22"/>
                <w:color w:val="auto"/>
              </w:rPr>
              <w:t>1,455</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tcPr>
          <w:p>
            <w:pPr>
              <w:jc w:val="right"/>
              <w:ind w:right="252"/>
              <w:spacing w:after="0"/>
              <w:rPr>
                <w:sz w:val="20"/>
                <w:szCs w:val="20"/>
                <w:color w:val="auto"/>
              </w:rPr>
            </w:pPr>
            <w:r>
              <w:rPr>
                <w:rFonts w:ascii="Arial" w:cs="Arial" w:eastAsia="Arial" w:hAnsi="Arial"/>
                <w:sz w:val="22"/>
                <w:szCs w:val="22"/>
                <w:color w:val="auto"/>
              </w:rPr>
              <w:t>1,453</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320" w:type="dxa"/>
            <w:vAlign w:val="bottom"/>
          </w:tcPr>
          <w:p>
            <w:pPr>
              <w:spacing w:after="0"/>
              <w:rPr>
                <w:sz w:val="23"/>
                <w:szCs w:val="23"/>
                <w:color w:val="auto"/>
              </w:rPr>
            </w:pPr>
          </w:p>
        </w:tc>
        <w:tc>
          <w:tcPr>
            <w:tcW w:w="1520" w:type="dxa"/>
            <w:vAlign w:val="bottom"/>
          </w:tcPr>
          <w:p>
            <w:pPr>
              <w:jc w:val="right"/>
              <w:ind w:right="232"/>
              <w:spacing w:after="0"/>
              <w:rPr>
                <w:sz w:val="20"/>
                <w:szCs w:val="20"/>
                <w:color w:val="auto"/>
              </w:rPr>
            </w:pPr>
            <w:r>
              <w:rPr>
                <w:rFonts w:ascii="Arial" w:cs="Arial" w:eastAsia="Arial" w:hAnsi="Arial"/>
                <w:sz w:val="22"/>
                <w:szCs w:val="22"/>
                <w:color w:val="auto"/>
              </w:rPr>
              <w:t>1,871</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tcPr>
          <w:p>
            <w:pPr>
              <w:jc w:val="right"/>
              <w:ind w:right="252"/>
              <w:spacing w:after="0"/>
              <w:rPr>
                <w:sz w:val="20"/>
                <w:szCs w:val="20"/>
                <w:color w:val="auto"/>
              </w:rPr>
            </w:pPr>
            <w:r>
              <w:rPr>
                <w:rFonts w:ascii="Arial" w:cs="Arial" w:eastAsia="Arial" w:hAnsi="Arial"/>
                <w:sz w:val="22"/>
                <w:szCs w:val="22"/>
                <w:color w:val="auto"/>
              </w:rPr>
              <w:t>1,464</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22"/>
                <w:szCs w:val="22"/>
                <w:color w:val="auto"/>
              </w:rPr>
              <w:t>Benefit from acquisition related income taxes (c)</w:t>
            </w:r>
          </w:p>
        </w:tc>
        <w:tc>
          <w:tcPr>
            <w:tcW w:w="320" w:type="dxa"/>
            <w:vAlign w:val="bottom"/>
          </w:tcPr>
          <w:p>
            <w:pPr>
              <w:spacing w:after="0"/>
              <w:rPr>
                <w:sz w:val="23"/>
                <w:szCs w:val="23"/>
                <w:color w:val="auto"/>
              </w:rPr>
            </w:pPr>
          </w:p>
        </w:tc>
        <w:tc>
          <w:tcPr>
            <w:tcW w:w="1520" w:type="dxa"/>
            <w:vAlign w:val="bottom"/>
          </w:tcPr>
          <w:p>
            <w:pPr>
              <w:jc w:val="right"/>
              <w:ind w:right="152"/>
              <w:spacing w:after="0"/>
              <w:rPr>
                <w:sz w:val="20"/>
                <w:szCs w:val="20"/>
                <w:color w:val="auto"/>
              </w:rPr>
            </w:pPr>
            <w:r>
              <w:rPr>
                <w:rFonts w:ascii="Arial" w:cs="Arial" w:eastAsia="Arial" w:hAnsi="Arial"/>
                <w:sz w:val="22"/>
                <w:szCs w:val="22"/>
                <w:color w:val="auto"/>
              </w:rPr>
              <w:t>(1,003)</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tcPr>
          <w:p>
            <w:pPr>
              <w:jc w:val="right"/>
              <w:ind w:right="172"/>
              <w:spacing w:after="0"/>
              <w:rPr>
                <w:sz w:val="20"/>
                <w:szCs w:val="20"/>
                <w:color w:val="auto"/>
              </w:rPr>
            </w:pPr>
            <w:r>
              <w:rPr>
                <w:rFonts w:ascii="Arial" w:cs="Arial" w:eastAsia="Arial" w:hAnsi="Arial"/>
                <w:sz w:val="22"/>
                <w:szCs w:val="22"/>
                <w:color w:val="auto"/>
              </w:rPr>
              <w:t>(1,018)</w:t>
            </w:r>
          </w:p>
        </w:tc>
        <w:tc>
          <w:tcPr>
            <w:tcW w:w="0" w:type="dxa"/>
            <w:vAlign w:val="bottom"/>
          </w:tcPr>
          <w:p>
            <w:pPr>
              <w:spacing w:after="0"/>
              <w:rPr>
                <w:sz w:val="1"/>
                <w:szCs w:val="1"/>
                <w:color w:val="auto"/>
              </w:rPr>
            </w:pPr>
          </w:p>
        </w:tc>
      </w:tr>
      <w:tr>
        <w:trPr>
          <w:trHeight w:val="276"/>
        </w:trPr>
        <w:tc>
          <w:tcPr>
            <w:tcW w:w="5720" w:type="dxa"/>
            <w:vAlign w:val="bottom"/>
          </w:tcPr>
          <w:p>
            <w:pPr>
              <w:spacing w:after="0"/>
              <w:rPr>
                <w:sz w:val="20"/>
                <w:szCs w:val="20"/>
                <w:color w:val="auto"/>
              </w:rPr>
            </w:pPr>
            <w:r>
              <w:rPr>
                <w:rFonts w:ascii="Arial" w:cs="Arial" w:eastAsia="Arial" w:hAnsi="Arial"/>
                <w:sz w:val="22"/>
                <w:szCs w:val="22"/>
                <w:color w:val="auto"/>
              </w:rPr>
              <w:t>Loss on disposal of property and equipment</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65"/>
        </w:trPr>
        <w:tc>
          <w:tcPr>
            <w:tcW w:w="5720" w:type="dxa"/>
            <w:vAlign w:val="bottom"/>
          </w:tcPr>
          <w:p>
            <w:pPr>
              <w:spacing w:after="0"/>
              <w:rPr>
                <w:sz w:val="20"/>
                <w:szCs w:val="20"/>
                <w:color w:val="auto"/>
              </w:rPr>
            </w:pPr>
            <w:r>
              <w:rPr>
                <w:rFonts w:ascii="Arial" w:cs="Arial" w:eastAsia="Arial" w:hAnsi="Arial"/>
                <w:sz w:val="22"/>
                <w:szCs w:val="22"/>
                <w:color w:val="auto"/>
              </w:rPr>
              <w:t>Net loss (Non-GAAP)</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5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(9,633)</w:t>
            </w:r>
          </w:p>
        </w:tc>
        <w:tc>
          <w:tcPr>
            <w:tcW w:w="140" w:type="dxa"/>
            <w:vAlign w:val="bottom"/>
          </w:tcPr>
          <w:p>
            <w:pPr>
              <w:spacing w:after="0"/>
              <w:rPr>
                <w:sz w:val="23"/>
                <w:szCs w:val="23"/>
                <w:color w:val="auto"/>
              </w:rPr>
            </w:pPr>
          </w:p>
        </w:tc>
        <w:tc>
          <w:tcPr>
            <w:tcW w:w="54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(11,461)</w:t>
            </w:r>
          </w:p>
        </w:tc>
        <w:tc>
          <w:tcPr>
            <w:tcW w:w="0" w:type="dxa"/>
            <w:vAlign w:val="bottom"/>
          </w:tcPr>
          <w:p>
            <w:pPr>
              <w:spacing w:after="0"/>
              <w:rPr>
                <w:sz w:val="1"/>
                <w:szCs w:val="1"/>
                <w:color w:val="auto"/>
              </w:rPr>
            </w:pPr>
          </w:p>
        </w:tc>
      </w:tr>
      <w:tr>
        <w:trPr>
          <w:trHeight w:val="21"/>
        </w:trPr>
        <w:tc>
          <w:tcPr>
            <w:tcW w:w="5720" w:type="dxa"/>
            <w:vAlign w:val="bottom"/>
            <w:vMerge w:val="restart"/>
          </w:tcPr>
          <w:p>
            <w:pPr>
              <w:spacing w:after="0"/>
              <w:rPr>
                <w:sz w:val="20"/>
                <w:szCs w:val="20"/>
                <w:color w:val="auto"/>
              </w:rPr>
            </w:pPr>
            <w:r>
              <w:rPr>
                <w:rFonts w:ascii="Arial" w:cs="Arial" w:eastAsia="Arial" w:hAnsi="Arial"/>
                <w:sz w:val="22"/>
                <w:szCs w:val="22"/>
                <w:color w:val="auto"/>
              </w:rPr>
              <w:t>Shares used in net loss per share calculation -</w:t>
            </w: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572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vMerge w:val="restart"/>
          </w:tcPr>
          <w:p>
            <w:pPr>
              <w:jc w:val="right"/>
              <w:ind w:right="232"/>
              <w:spacing w:after="0"/>
              <w:rPr>
                <w:sz w:val="20"/>
                <w:szCs w:val="20"/>
                <w:color w:val="auto"/>
              </w:rPr>
            </w:pPr>
            <w:r>
              <w:rPr>
                <w:rFonts w:ascii="Arial" w:cs="Arial" w:eastAsia="Arial" w:hAnsi="Arial"/>
                <w:sz w:val="22"/>
                <w:szCs w:val="22"/>
                <w:color w:val="auto"/>
              </w:rPr>
              <w:t>29,239</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vMerge w:val="restart"/>
          </w:tcPr>
          <w:p>
            <w:pPr>
              <w:jc w:val="right"/>
              <w:ind w:right="252"/>
              <w:spacing w:after="0"/>
              <w:rPr>
                <w:sz w:val="20"/>
                <w:szCs w:val="20"/>
                <w:color w:val="auto"/>
              </w:rPr>
            </w:pPr>
            <w:r>
              <w:rPr>
                <w:rFonts w:ascii="Arial" w:cs="Arial" w:eastAsia="Arial" w:hAnsi="Arial"/>
                <w:sz w:val="22"/>
                <w:szCs w:val="22"/>
                <w:color w:val="auto"/>
              </w:rPr>
              <w:t>28,863</w:t>
            </w:r>
          </w:p>
        </w:tc>
        <w:tc>
          <w:tcPr>
            <w:tcW w:w="0" w:type="dxa"/>
            <w:vAlign w:val="bottom"/>
          </w:tcPr>
          <w:p>
            <w:pPr>
              <w:spacing w:after="0"/>
              <w:rPr>
                <w:sz w:val="1"/>
                <w:szCs w:val="1"/>
                <w:color w:val="auto"/>
              </w:rPr>
            </w:pPr>
          </w:p>
        </w:tc>
      </w:tr>
      <w:tr>
        <w:trPr>
          <w:trHeight w:val="274"/>
        </w:trPr>
        <w:tc>
          <w:tcPr>
            <w:tcW w:w="5720" w:type="dxa"/>
            <w:vAlign w:val="bottom"/>
          </w:tcPr>
          <w:p>
            <w:pPr>
              <w:ind w:left="120"/>
              <w:spacing w:after="0"/>
              <w:rPr>
                <w:sz w:val="20"/>
                <w:szCs w:val="20"/>
                <w:color w:val="auto"/>
              </w:rPr>
            </w:pPr>
            <w:r>
              <w:rPr>
                <w:rFonts w:ascii="Arial" w:cs="Arial" w:eastAsia="Arial" w:hAnsi="Arial"/>
                <w:sz w:val="22"/>
                <w:szCs w:val="22"/>
                <w:color w:val="auto"/>
              </w:rPr>
              <w:t>basic and diluted (GAAP and Non-GAAP)</w:t>
            </w:r>
          </w:p>
        </w:tc>
        <w:tc>
          <w:tcPr>
            <w:tcW w:w="3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vMerge w:val="continue"/>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720" w:type="dxa"/>
            <w:vAlign w:val="bottom"/>
          </w:tcPr>
          <w:p>
            <w:pPr>
              <w:spacing w:after="0"/>
              <w:rPr>
                <w:sz w:val="20"/>
                <w:szCs w:val="20"/>
                <w:color w:val="auto"/>
              </w:rPr>
            </w:pPr>
            <w:r>
              <w:rPr>
                <w:rFonts w:ascii="Arial" w:cs="Arial" w:eastAsia="Arial" w:hAnsi="Arial"/>
                <w:sz w:val="22"/>
                <w:szCs w:val="22"/>
                <w:color w:val="auto"/>
              </w:rPr>
              <w:t>Net loss per share - basic and diluted (GAAP)</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5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(0.59)</w:t>
            </w:r>
          </w:p>
        </w:tc>
        <w:tc>
          <w:tcPr>
            <w:tcW w:w="140" w:type="dxa"/>
            <w:vAlign w:val="bottom"/>
          </w:tcPr>
          <w:p>
            <w:pPr>
              <w:spacing w:after="0"/>
              <w:rPr>
                <w:sz w:val="24"/>
                <w:szCs w:val="24"/>
                <w:color w:val="auto"/>
              </w:rPr>
            </w:pPr>
          </w:p>
        </w:tc>
        <w:tc>
          <w:tcPr>
            <w:tcW w:w="54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(0.69)</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720" w:type="dxa"/>
            <w:vAlign w:val="bottom"/>
          </w:tcPr>
          <w:p>
            <w:pPr>
              <w:spacing w:after="0"/>
              <w:rPr>
                <w:sz w:val="20"/>
                <w:szCs w:val="20"/>
                <w:color w:val="auto"/>
              </w:rPr>
            </w:pPr>
            <w:r>
              <w:rPr>
                <w:rFonts w:ascii="Arial" w:cs="Arial" w:eastAsia="Arial" w:hAnsi="Arial"/>
                <w:sz w:val="22"/>
                <w:szCs w:val="22"/>
                <w:color w:val="auto"/>
              </w:rPr>
              <w:t>Net loss per share - basic and diluted (Non-GAAP)</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5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(0.33)</w:t>
            </w:r>
          </w:p>
        </w:tc>
        <w:tc>
          <w:tcPr>
            <w:tcW w:w="140" w:type="dxa"/>
            <w:vAlign w:val="bottom"/>
          </w:tcPr>
          <w:p>
            <w:pPr>
              <w:spacing w:after="0"/>
              <w:rPr>
                <w:sz w:val="22"/>
                <w:szCs w:val="22"/>
                <w:color w:val="auto"/>
              </w:rPr>
            </w:pPr>
          </w:p>
        </w:tc>
        <w:tc>
          <w:tcPr>
            <w:tcW w:w="54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(0.40)</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ITEMIZED RECONCILIATION BETWEEN GAAP AND NON-GAAP PRODUCT MARGIN</w:t>
      </w:r>
    </w:p>
    <w:p>
      <w:pPr>
        <w:sectPr>
          <w:pgSz w:w="11900" w:h="16838" w:orient="portrait"/>
          <w:cols w:equalWidth="0" w:num="1">
            <w:col w:w="10199"/>
          </w:cols>
          <w:pgMar w:left="260" w:top="382" w:right="1440" w:bottom="0" w:gutter="0" w:footer="0" w:header="0"/>
        </w:sectPr>
      </w:pPr>
    </w:p>
    <w:bookmarkStart w:id="9" w:name="page10"/>
    <w:bookmarkEnd w:id="9"/>
    <w:tbl>
      <w:tblPr>
        <w:tblLayout w:type="fixed"/>
        <w:tblInd w:w="20" w:type="dxa"/>
        <w:tblCellMar>
          <w:top w:w="0" w:type="dxa"/>
          <w:left w:w="0" w:type="dxa"/>
          <w:bottom w:w="0" w:type="dxa"/>
          <w:right w:w="0" w:type="dxa"/>
        </w:tblCellMar>
      </w:tblPr>
      <w:tr>
        <w:trPr>
          <w:trHeight w:val="282"/>
        </w:trPr>
        <w:tc>
          <w:tcPr>
            <w:tcW w:w="5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22"/>
                <w:szCs w:val="22"/>
                <w:b w:val="1"/>
                <w:bCs w:val="1"/>
                <w:color w:val="auto"/>
                <w:w w:val="94"/>
              </w:rPr>
              <w:t>Three Months Ended March 31,</w:t>
            </w:r>
          </w:p>
        </w:tc>
      </w:tr>
      <w:tr>
        <w:trPr>
          <w:trHeight w:val="265"/>
        </w:trPr>
        <w:tc>
          <w:tcPr>
            <w:tcW w:w="57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2017</w:t>
            </w:r>
          </w:p>
        </w:tc>
        <w:tc>
          <w:tcPr>
            <w:tcW w:w="14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2016</w:t>
            </w:r>
          </w:p>
        </w:tc>
      </w:tr>
      <w:tr>
        <w:trPr>
          <w:trHeight w:val="256"/>
        </w:trPr>
        <w:tc>
          <w:tcPr>
            <w:tcW w:w="5720" w:type="dxa"/>
            <w:vAlign w:val="bottom"/>
          </w:tcPr>
          <w:p>
            <w:pPr>
              <w:spacing w:after="0"/>
              <w:rPr>
                <w:sz w:val="20"/>
                <w:szCs w:val="20"/>
                <w:color w:val="auto"/>
              </w:rPr>
            </w:pPr>
            <w:r>
              <w:rPr>
                <w:rFonts w:ascii="Arial" w:cs="Arial" w:eastAsia="Arial" w:hAnsi="Arial"/>
                <w:sz w:val="22"/>
                <w:szCs w:val="22"/>
                <w:color w:val="auto"/>
              </w:rPr>
              <w:t>Product margin (GAAP)</w:t>
            </w:r>
          </w:p>
        </w:tc>
        <w:tc>
          <w:tcPr>
            <w:tcW w:w="3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520" w:type="dxa"/>
            <w:vAlign w:val="bottom"/>
          </w:tcPr>
          <w:p>
            <w:pPr>
              <w:jc w:val="right"/>
              <w:ind w:right="232"/>
              <w:spacing w:after="0"/>
              <w:rPr>
                <w:sz w:val="20"/>
                <w:szCs w:val="20"/>
                <w:color w:val="auto"/>
              </w:rPr>
            </w:pPr>
            <w:r>
              <w:rPr>
                <w:rFonts w:ascii="Arial" w:cs="Arial" w:eastAsia="Arial" w:hAnsi="Arial"/>
                <w:sz w:val="22"/>
                <w:szCs w:val="22"/>
                <w:color w:val="auto"/>
              </w:rPr>
              <w:t>10,456</w:t>
            </w:r>
          </w:p>
        </w:tc>
        <w:tc>
          <w:tcPr>
            <w:tcW w:w="140" w:type="dxa"/>
            <w:vAlign w:val="bottom"/>
          </w:tcPr>
          <w:p>
            <w:pPr>
              <w:spacing w:after="0"/>
              <w:rPr>
                <w:sz w:val="22"/>
                <w:szCs w:val="22"/>
                <w:color w:val="auto"/>
              </w:rPr>
            </w:pPr>
          </w:p>
        </w:tc>
        <w:tc>
          <w:tcPr>
            <w:tcW w:w="580" w:type="dxa"/>
            <w:vAlign w:val="bottom"/>
          </w:tcPr>
          <w:p>
            <w:pPr>
              <w:jc w:val="right"/>
              <w:ind w:right="27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252"/>
              <w:spacing w:after="0"/>
              <w:rPr>
                <w:sz w:val="20"/>
                <w:szCs w:val="20"/>
                <w:color w:val="auto"/>
              </w:rPr>
            </w:pPr>
            <w:r>
              <w:rPr>
                <w:rFonts w:ascii="Arial" w:cs="Arial" w:eastAsia="Arial" w:hAnsi="Arial"/>
                <w:sz w:val="22"/>
                <w:szCs w:val="22"/>
                <w:color w:val="auto"/>
              </w:rPr>
              <w:t>14,583</w:t>
            </w:r>
          </w:p>
        </w:tc>
      </w:tr>
      <w:tr>
        <w:trPr>
          <w:trHeight w:val="270"/>
        </w:trPr>
        <w:tc>
          <w:tcPr>
            <w:tcW w:w="572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320" w:type="dxa"/>
            <w:vAlign w:val="bottom"/>
          </w:tcPr>
          <w:p>
            <w:pPr>
              <w:spacing w:after="0"/>
              <w:rPr>
                <w:sz w:val="23"/>
                <w:szCs w:val="23"/>
                <w:color w:val="auto"/>
              </w:rPr>
            </w:pPr>
          </w:p>
        </w:tc>
        <w:tc>
          <w:tcPr>
            <w:tcW w:w="1520" w:type="dxa"/>
            <w:vAlign w:val="bottom"/>
          </w:tcPr>
          <w:p>
            <w:pPr>
              <w:jc w:val="right"/>
              <w:ind w:right="232"/>
              <w:spacing w:after="0"/>
              <w:rPr>
                <w:sz w:val="20"/>
                <w:szCs w:val="20"/>
                <w:color w:val="auto"/>
              </w:rPr>
            </w:pPr>
            <w:r>
              <w:rPr>
                <w:rFonts w:ascii="Arial" w:cs="Arial" w:eastAsia="Arial" w:hAnsi="Arial"/>
                <w:sz w:val="22"/>
                <w:szCs w:val="22"/>
                <w:color w:val="auto"/>
              </w:rPr>
              <w:t>2,800</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20" w:type="dxa"/>
            <w:vAlign w:val="bottom"/>
          </w:tcPr>
          <w:p>
            <w:pPr>
              <w:jc w:val="right"/>
              <w:ind w:right="252"/>
              <w:spacing w:after="0"/>
              <w:rPr>
                <w:sz w:val="20"/>
                <w:szCs w:val="20"/>
                <w:color w:val="auto"/>
              </w:rPr>
            </w:pPr>
            <w:r>
              <w:rPr>
                <w:rFonts w:ascii="Arial" w:cs="Arial" w:eastAsia="Arial" w:hAnsi="Arial"/>
                <w:sz w:val="22"/>
                <w:szCs w:val="22"/>
                <w:color w:val="auto"/>
              </w:rPr>
              <w:t>2,800</w:t>
            </w:r>
          </w:p>
        </w:tc>
      </w:tr>
      <w:tr>
        <w:trPr>
          <w:trHeight w:val="270"/>
        </w:trPr>
        <w:tc>
          <w:tcPr>
            <w:tcW w:w="5720" w:type="dxa"/>
            <w:vAlign w:val="bottom"/>
          </w:tcPr>
          <w:p>
            <w:pPr>
              <w:spacing w:after="0"/>
              <w:rPr>
                <w:sz w:val="20"/>
                <w:szCs w:val="20"/>
                <w:color w:val="auto"/>
              </w:rPr>
            </w:pPr>
            <w:r>
              <w:rPr>
                <w:rFonts w:ascii="Arial" w:cs="Arial" w:eastAsia="Arial" w:hAnsi="Arial"/>
                <w:sz w:val="22"/>
                <w:szCs w:val="22"/>
                <w:color w:val="auto"/>
              </w:rPr>
              <w:t>Depreciation and amortization (d)</w:t>
            </w:r>
          </w:p>
        </w:tc>
        <w:tc>
          <w:tcPr>
            <w:tcW w:w="320" w:type="dxa"/>
            <w:vAlign w:val="bottom"/>
          </w:tcPr>
          <w:p>
            <w:pPr>
              <w:spacing w:after="0"/>
              <w:rPr>
                <w:sz w:val="23"/>
                <w:szCs w:val="23"/>
                <w:color w:val="auto"/>
              </w:rPr>
            </w:pPr>
          </w:p>
        </w:tc>
        <w:tc>
          <w:tcPr>
            <w:tcW w:w="1520" w:type="dxa"/>
            <w:vAlign w:val="bottom"/>
          </w:tcPr>
          <w:p>
            <w:pPr>
              <w:jc w:val="right"/>
              <w:ind w:right="232"/>
              <w:spacing w:after="0"/>
              <w:rPr>
                <w:sz w:val="20"/>
                <w:szCs w:val="20"/>
                <w:color w:val="auto"/>
              </w:rPr>
            </w:pPr>
            <w:r>
              <w:rPr>
                <w:rFonts w:ascii="Arial" w:cs="Arial" w:eastAsia="Arial" w:hAnsi="Arial"/>
                <w:sz w:val="22"/>
                <w:szCs w:val="22"/>
                <w:color w:val="auto"/>
              </w:rPr>
              <w:t>551</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20" w:type="dxa"/>
            <w:vAlign w:val="bottom"/>
          </w:tcPr>
          <w:p>
            <w:pPr>
              <w:jc w:val="right"/>
              <w:ind w:right="252"/>
              <w:spacing w:after="0"/>
              <w:rPr>
                <w:sz w:val="20"/>
                <w:szCs w:val="20"/>
                <w:color w:val="auto"/>
              </w:rPr>
            </w:pPr>
            <w:r>
              <w:rPr>
                <w:rFonts w:ascii="Arial" w:cs="Arial" w:eastAsia="Arial" w:hAnsi="Arial"/>
                <w:sz w:val="22"/>
                <w:szCs w:val="22"/>
                <w:color w:val="auto"/>
              </w:rPr>
              <w:t>539</w:t>
            </w:r>
          </w:p>
        </w:tc>
      </w:tr>
      <w:tr>
        <w:trPr>
          <w:trHeight w:val="276"/>
        </w:trPr>
        <w:tc>
          <w:tcPr>
            <w:tcW w:w="5720" w:type="dxa"/>
            <w:vAlign w:val="bottom"/>
          </w:tcPr>
          <w:p>
            <w:pPr>
              <w:spacing w:after="0"/>
              <w:rPr>
                <w:sz w:val="20"/>
                <w:szCs w:val="20"/>
                <w:color w:val="auto"/>
              </w:rPr>
            </w:pPr>
            <w:r>
              <w:rPr>
                <w:rFonts w:ascii="Arial" w:cs="Arial" w:eastAsia="Arial" w:hAnsi="Arial"/>
                <w:sz w:val="22"/>
                <w:szCs w:val="22"/>
                <w:color w:val="auto"/>
              </w:rPr>
              <w:t>Stock-based compensation expense (d)</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340</w:t>
            </w:r>
          </w:p>
        </w:tc>
        <w:tc>
          <w:tcPr>
            <w:tcW w:w="1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378</w:t>
            </w:r>
          </w:p>
        </w:tc>
      </w:tr>
      <w:tr>
        <w:trPr>
          <w:trHeight w:val="265"/>
        </w:trPr>
        <w:tc>
          <w:tcPr>
            <w:tcW w:w="5720" w:type="dxa"/>
            <w:vAlign w:val="bottom"/>
          </w:tcPr>
          <w:p>
            <w:pPr>
              <w:spacing w:after="0"/>
              <w:rPr>
                <w:sz w:val="20"/>
                <w:szCs w:val="20"/>
                <w:color w:val="auto"/>
              </w:rPr>
            </w:pPr>
            <w:r>
              <w:rPr>
                <w:rFonts w:ascii="Arial" w:cs="Arial" w:eastAsia="Arial" w:hAnsi="Arial"/>
                <w:sz w:val="22"/>
                <w:szCs w:val="22"/>
                <w:color w:val="auto"/>
              </w:rPr>
              <w:t>Product margin (Non-GAAP)</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5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14,147</w:t>
            </w:r>
          </w:p>
        </w:tc>
        <w:tc>
          <w:tcPr>
            <w:tcW w:w="140" w:type="dxa"/>
            <w:vAlign w:val="bottom"/>
          </w:tcPr>
          <w:p>
            <w:pPr>
              <w:spacing w:after="0"/>
              <w:rPr>
                <w:sz w:val="23"/>
                <w:szCs w:val="23"/>
                <w:color w:val="auto"/>
              </w:rPr>
            </w:pPr>
          </w:p>
        </w:tc>
        <w:tc>
          <w:tcPr>
            <w:tcW w:w="58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w:t>
            </w:r>
          </w:p>
        </w:tc>
        <w:tc>
          <w:tcPr>
            <w:tcW w:w="132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18,300</w:t>
            </w:r>
          </w:p>
        </w:tc>
      </w:tr>
      <w:tr>
        <w:trPr>
          <w:trHeight w:val="21"/>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26"/>
        </w:trPr>
        <w:tc>
          <w:tcPr>
            <w:tcW w:w="5720" w:type="dxa"/>
            <w:vAlign w:val="bottom"/>
          </w:tcPr>
          <w:p>
            <w:pPr>
              <w:spacing w:after="0"/>
              <w:rPr>
                <w:sz w:val="20"/>
                <w:szCs w:val="20"/>
                <w:color w:val="auto"/>
              </w:rPr>
            </w:pPr>
            <w:r>
              <w:rPr>
                <w:rFonts w:ascii="Arial" w:cs="Arial" w:eastAsia="Arial" w:hAnsi="Arial"/>
                <w:sz w:val="22"/>
                <w:szCs w:val="22"/>
                <w:color w:val="auto"/>
              </w:rPr>
              <w:t>Product margin percentage (GAAP)</w:t>
            </w:r>
          </w:p>
        </w:tc>
        <w:tc>
          <w:tcPr>
            <w:tcW w:w="320" w:type="dxa"/>
            <w:vAlign w:val="bottom"/>
          </w:tcPr>
          <w:p>
            <w:pPr>
              <w:spacing w:after="0"/>
              <w:rPr>
                <w:sz w:val="24"/>
                <w:szCs w:val="24"/>
                <w:color w:val="auto"/>
              </w:rPr>
            </w:pPr>
          </w:p>
        </w:tc>
        <w:tc>
          <w:tcPr>
            <w:tcW w:w="1520" w:type="dxa"/>
            <w:vAlign w:val="bottom"/>
          </w:tcPr>
          <w:p>
            <w:pPr>
              <w:jc w:val="right"/>
              <w:ind w:right="52"/>
              <w:spacing w:after="0"/>
              <w:rPr>
                <w:sz w:val="20"/>
                <w:szCs w:val="20"/>
                <w:color w:val="auto"/>
              </w:rPr>
            </w:pPr>
            <w:r>
              <w:rPr>
                <w:rFonts w:ascii="Arial" w:cs="Arial" w:eastAsia="Arial" w:hAnsi="Arial"/>
                <w:sz w:val="22"/>
                <w:szCs w:val="22"/>
                <w:color w:val="auto"/>
              </w:rPr>
              <w:t>49.1%</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jc w:val="right"/>
              <w:ind w:right="72"/>
              <w:spacing w:after="0"/>
              <w:rPr>
                <w:sz w:val="20"/>
                <w:szCs w:val="20"/>
                <w:color w:val="auto"/>
              </w:rPr>
            </w:pPr>
            <w:r>
              <w:rPr>
                <w:rFonts w:ascii="Arial" w:cs="Arial" w:eastAsia="Arial" w:hAnsi="Arial"/>
                <w:sz w:val="22"/>
                <w:szCs w:val="22"/>
                <w:color w:val="auto"/>
              </w:rPr>
              <w:t>57.5%</w:t>
            </w:r>
          </w:p>
        </w:tc>
      </w:tr>
      <w:tr>
        <w:trPr>
          <w:trHeight w:val="275"/>
        </w:trPr>
        <w:tc>
          <w:tcPr>
            <w:tcW w:w="5720" w:type="dxa"/>
            <w:vAlign w:val="bottom"/>
          </w:tcPr>
          <w:p>
            <w:pPr>
              <w:spacing w:after="0"/>
              <w:rPr>
                <w:sz w:val="20"/>
                <w:szCs w:val="20"/>
                <w:color w:val="auto"/>
              </w:rPr>
            </w:pPr>
            <w:r>
              <w:rPr>
                <w:rFonts w:ascii="Arial" w:cs="Arial" w:eastAsia="Arial" w:hAnsi="Arial"/>
                <w:sz w:val="22"/>
                <w:szCs w:val="22"/>
                <w:color w:val="auto"/>
              </w:rPr>
              <w:t>Product margin percentage (Non-GAAP)</w:t>
            </w:r>
          </w:p>
        </w:tc>
        <w:tc>
          <w:tcPr>
            <w:tcW w:w="320" w:type="dxa"/>
            <w:vAlign w:val="bottom"/>
          </w:tcPr>
          <w:p>
            <w:pPr>
              <w:spacing w:after="0"/>
              <w:rPr>
                <w:sz w:val="23"/>
                <w:szCs w:val="23"/>
                <w:color w:val="auto"/>
              </w:rPr>
            </w:pPr>
          </w:p>
        </w:tc>
        <w:tc>
          <w:tcPr>
            <w:tcW w:w="1520" w:type="dxa"/>
            <w:vAlign w:val="bottom"/>
          </w:tcPr>
          <w:p>
            <w:pPr>
              <w:jc w:val="right"/>
              <w:ind w:right="52"/>
              <w:spacing w:after="0"/>
              <w:rPr>
                <w:sz w:val="20"/>
                <w:szCs w:val="20"/>
                <w:color w:val="auto"/>
              </w:rPr>
            </w:pPr>
            <w:r>
              <w:rPr>
                <w:rFonts w:ascii="Arial" w:cs="Arial" w:eastAsia="Arial" w:hAnsi="Arial"/>
                <w:sz w:val="22"/>
                <w:szCs w:val="22"/>
                <w:color w:val="auto"/>
              </w:rPr>
              <w:t>66.4%</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20" w:type="dxa"/>
            <w:vAlign w:val="bottom"/>
          </w:tcPr>
          <w:p>
            <w:pPr>
              <w:jc w:val="right"/>
              <w:ind w:right="72"/>
              <w:spacing w:after="0"/>
              <w:rPr>
                <w:sz w:val="20"/>
                <w:szCs w:val="20"/>
                <w:color w:val="auto"/>
              </w:rPr>
            </w:pPr>
            <w:r>
              <w:rPr>
                <w:rFonts w:ascii="Arial" w:cs="Arial" w:eastAsia="Arial" w:hAnsi="Arial"/>
                <w:sz w:val="22"/>
                <w:szCs w:val="22"/>
                <w:color w:val="auto"/>
              </w:rPr>
              <w:t>72.1%</w:t>
            </w:r>
          </w:p>
        </w:tc>
      </w:tr>
      <w:tr>
        <w:trPr>
          <w:trHeight w:val="810"/>
        </w:trPr>
        <w:tc>
          <w:tcPr>
            <w:tcW w:w="9600" w:type="dxa"/>
            <w:vAlign w:val="bottom"/>
            <w:gridSpan w:val="6"/>
          </w:tcPr>
          <w:p>
            <w:pPr>
              <w:jc w:val="right"/>
              <w:ind w:right="112"/>
              <w:spacing w:after="0"/>
              <w:rPr>
                <w:sz w:val="20"/>
                <w:szCs w:val="20"/>
                <w:color w:val="auto"/>
              </w:rPr>
            </w:pPr>
            <w:r>
              <w:rPr>
                <w:rFonts w:ascii="Arial" w:cs="Arial" w:eastAsia="Arial" w:hAnsi="Arial"/>
                <w:sz w:val="22"/>
                <w:szCs w:val="22"/>
                <w:b w:val="1"/>
                <w:bCs w:val="1"/>
                <w:color w:val="auto"/>
              </w:rPr>
              <w:t>ITEMIZED RECONCILIATION BETWEEN GAAP AND NON-GAAP OPERATING EXPENSES</w:t>
            </w:r>
          </w:p>
        </w:tc>
      </w:tr>
      <w:tr>
        <w:trPr>
          <w:trHeight w:val="542"/>
        </w:trPr>
        <w:tc>
          <w:tcPr>
            <w:tcW w:w="5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22"/>
                <w:szCs w:val="22"/>
                <w:b w:val="1"/>
                <w:bCs w:val="1"/>
                <w:color w:val="auto"/>
                <w:w w:val="94"/>
              </w:rPr>
              <w:t>Three Months Ended March 31,</w:t>
            </w:r>
          </w:p>
        </w:tc>
      </w:tr>
      <w:tr>
        <w:trPr>
          <w:trHeight w:val="265"/>
        </w:trPr>
        <w:tc>
          <w:tcPr>
            <w:tcW w:w="57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2017</w:t>
            </w:r>
          </w:p>
        </w:tc>
        <w:tc>
          <w:tcPr>
            <w:tcW w:w="14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2016</w:t>
            </w:r>
          </w:p>
        </w:tc>
      </w:tr>
      <w:tr>
        <w:trPr>
          <w:trHeight w:val="256"/>
        </w:trPr>
        <w:tc>
          <w:tcPr>
            <w:tcW w:w="5720" w:type="dxa"/>
            <w:vAlign w:val="bottom"/>
          </w:tcPr>
          <w:p>
            <w:pPr>
              <w:spacing w:after="0"/>
              <w:rPr>
                <w:sz w:val="20"/>
                <w:szCs w:val="20"/>
                <w:color w:val="auto"/>
              </w:rPr>
            </w:pPr>
            <w:r>
              <w:rPr>
                <w:rFonts w:ascii="Arial" w:cs="Arial" w:eastAsia="Arial" w:hAnsi="Arial"/>
                <w:sz w:val="22"/>
                <w:szCs w:val="22"/>
                <w:color w:val="auto"/>
              </w:rPr>
              <w:t>Operating expenses (GAAP)</w:t>
            </w:r>
          </w:p>
        </w:tc>
        <w:tc>
          <w:tcPr>
            <w:tcW w:w="3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520" w:type="dxa"/>
            <w:vAlign w:val="bottom"/>
          </w:tcPr>
          <w:p>
            <w:pPr>
              <w:jc w:val="right"/>
              <w:ind w:right="232"/>
              <w:spacing w:after="0"/>
              <w:rPr>
                <w:sz w:val="20"/>
                <w:szCs w:val="20"/>
                <w:color w:val="auto"/>
              </w:rPr>
            </w:pPr>
            <w:r>
              <w:rPr>
                <w:rFonts w:ascii="Arial" w:cs="Arial" w:eastAsia="Arial" w:hAnsi="Arial"/>
                <w:sz w:val="22"/>
                <w:szCs w:val="22"/>
                <w:color w:val="auto"/>
              </w:rPr>
              <w:t>31,100</w:t>
            </w:r>
          </w:p>
        </w:tc>
        <w:tc>
          <w:tcPr>
            <w:tcW w:w="140" w:type="dxa"/>
            <w:vAlign w:val="bottom"/>
          </w:tcPr>
          <w:p>
            <w:pPr>
              <w:spacing w:after="0"/>
              <w:rPr>
                <w:sz w:val="22"/>
                <w:szCs w:val="22"/>
                <w:color w:val="auto"/>
              </w:rPr>
            </w:pPr>
          </w:p>
        </w:tc>
        <w:tc>
          <w:tcPr>
            <w:tcW w:w="580" w:type="dxa"/>
            <w:vAlign w:val="bottom"/>
          </w:tcPr>
          <w:p>
            <w:pPr>
              <w:jc w:val="right"/>
              <w:ind w:right="272"/>
              <w:spacing w:after="0"/>
              <w:rPr>
                <w:sz w:val="20"/>
                <w:szCs w:val="20"/>
                <w:color w:val="auto"/>
              </w:rPr>
            </w:pPr>
            <w:r>
              <w:rPr>
                <w:rFonts w:ascii="Arial" w:cs="Arial" w:eastAsia="Arial" w:hAnsi="Arial"/>
                <w:sz w:val="22"/>
                <w:szCs w:val="22"/>
                <w:color w:val="auto"/>
              </w:rPr>
              <w:t>$</w:t>
            </w:r>
          </w:p>
        </w:tc>
        <w:tc>
          <w:tcPr>
            <w:tcW w:w="1320" w:type="dxa"/>
            <w:vAlign w:val="bottom"/>
          </w:tcPr>
          <w:p>
            <w:pPr>
              <w:jc w:val="right"/>
              <w:ind w:right="252"/>
              <w:spacing w:after="0"/>
              <w:rPr>
                <w:sz w:val="20"/>
                <w:szCs w:val="20"/>
                <w:color w:val="auto"/>
              </w:rPr>
            </w:pPr>
            <w:r>
              <w:rPr>
                <w:rFonts w:ascii="Arial" w:cs="Arial" w:eastAsia="Arial" w:hAnsi="Arial"/>
                <w:sz w:val="22"/>
                <w:szCs w:val="22"/>
                <w:color w:val="auto"/>
              </w:rPr>
              <w:t>35,887</w:t>
            </w:r>
          </w:p>
        </w:tc>
      </w:tr>
      <w:tr>
        <w:trPr>
          <w:trHeight w:val="270"/>
        </w:trPr>
        <w:tc>
          <w:tcPr>
            <w:tcW w:w="5720" w:type="dxa"/>
            <w:vAlign w:val="bottom"/>
          </w:tcPr>
          <w:p>
            <w:pPr>
              <w:spacing w:after="0"/>
              <w:rPr>
                <w:sz w:val="20"/>
                <w:szCs w:val="20"/>
                <w:color w:val="auto"/>
              </w:rPr>
            </w:pPr>
            <w:r>
              <w:rPr>
                <w:rFonts w:ascii="Arial" w:cs="Arial" w:eastAsia="Arial" w:hAnsi="Arial"/>
                <w:sz w:val="22"/>
                <w:szCs w:val="22"/>
                <w:color w:val="auto"/>
              </w:rPr>
              <w:t>Stock-based compensation expense (e)</w:t>
            </w:r>
          </w:p>
        </w:tc>
        <w:tc>
          <w:tcPr>
            <w:tcW w:w="320" w:type="dxa"/>
            <w:vAlign w:val="bottom"/>
          </w:tcPr>
          <w:p>
            <w:pPr>
              <w:spacing w:after="0"/>
              <w:rPr>
                <w:sz w:val="23"/>
                <w:szCs w:val="23"/>
                <w:color w:val="auto"/>
              </w:rPr>
            </w:pPr>
          </w:p>
        </w:tc>
        <w:tc>
          <w:tcPr>
            <w:tcW w:w="1520" w:type="dxa"/>
            <w:vAlign w:val="bottom"/>
          </w:tcPr>
          <w:p>
            <w:pPr>
              <w:jc w:val="right"/>
              <w:ind w:right="152"/>
              <w:spacing w:after="0"/>
              <w:rPr>
                <w:sz w:val="20"/>
                <w:szCs w:val="20"/>
                <w:color w:val="auto"/>
              </w:rPr>
            </w:pPr>
            <w:r>
              <w:rPr>
                <w:rFonts w:ascii="Arial" w:cs="Arial" w:eastAsia="Arial" w:hAnsi="Arial"/>
                <w:sz w:val="22"/>
                <w:szCs w:val="22"/>
                <w:color w:val="auto"/>
              </w:rPr>
              <w:t>(2,106)</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(3,339)</w:t>
            </w:r>
          </w:p>
        </w:tc>
      </w:tr>
      <w:tr>
        <w:trPr>
          <w:trHeight w:val="270"/>
        </w:trPr>
        <w:tc>
          <w:tcPr>
            <w:tcW w:w="572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320" w:type="dxa"/>
            <w:vAlign w:val="bottom"/>
          </w:tcPr>
          <w:p>
            <w:pPr>
              <w:spacing w:after="0"/>
              <w:rPr>
                <w:sz w:val="23"/>
                <w:szCs w:val="23"/>
                <w:color w:val="auto"/>
              </w:rPr>
            </w:pPr>
          </w:p>
        </w:tc>
        <w:tc>
          <w:tcPr>
            <w:tcW w:w="1520" w:type="dxa"/>
            <w:vAlign w:val="bottom"/>
          </w:tcPr>
          <w:p>
            <w:pPr>
              <w:jc w:val="right"/>
              <w:ind w:right="152"/>
              <w:spacing w:after="0"/>
              <w:rPr>
                <w:sz w:val="20"/>
                <w:szCs w:val="20"/>
                <w:color w:val="auto"/>
              </w:rPr>
            </w:pPr>
            <w:r>
              <w:rPr>
                <w:rFonts w:ascii="Arial" w:cs="Arial" w:eastAsia="Arial" w:hAnsi="Arial"/>
                <w:sz w:val="22"/>
                <w:szCs w:val="22"/>
                <w:color w:val="auto"/>
              </w:rPr>
              <w:t>(1,320)</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20" w:type="dxa"/>
            <w:vAlign w:val="bottom"/>
          </w:tcPr>
          <w:p>
            <w:pPr>
              <w:jc w:val="right"/>
              <w:ind w:right="172"/>
              <w:spacing w:after="0"/>
              <w:rPr>
                <w:sz w:val="20"/>
                <w:szCs w:val="20"/>
                <w:color w:val="auto"/>
              </w:rPr>
            </w:pPr>
            <w:r>
              <w:rPr>
                <w:rFonts w:ascii="Arial" w:cs="Arial" w:eastAsia="Arial" w:hAnsi="Arial"/>
                <w:sz w:val="22"/>
                <w:szCs w:val="22"/>
                <w:color w:val="auto"/>
              </w:rPr>
              <w:t>(925)</w:t>
            </w:r>
          </w:p>
        </w:tc>
      </w:tr>
      <w:tr>
        <w:trPr>
          <w:trHeight w:val="276"/>
        </w:trPr>
        <w:tc>
          <w:tcPr>
            <w:tcW w:w="5720" w:type="dxa"/>
            <w:vAlign w:val="bottom"/>
          </w:tcPr>
          <w:p>
            <w:pPr>
              <w:spacing w:after="0"/>
              <w:rPr>
                <w:sz w:val="20"/>
                <w:szCs w:val="20"/>
                <w:color w:val="auto"/>
              </w:rPr>
            </w:pPr>
            <w:r>
              <w:rPr>
                <w:rFonts w:ascii="Arial" w:cs="Arial" w:eastAsia="Arial" w:hAnsi="Arial"/>
                <w:sz w:val="22"/>
                <w:szCs w:val="22"/>
                <w:color w:val="auto"/>
              </w:rPr>
              <w:t>Loss on disposal of property and equipment (e)</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(7)</w:t>
            </w:r>
          </w:p>
        </w:tc>
      </w:tr>
      <w:tr>
        <w:trPr>
          <w:trHeight w:val="265"/>
        </w:trPr>
        <w:tc>
          <w:tcPr>
            <w:tcW w:w="5720" w:type="dxa"/>
            <w:vAlign w:val="bottom"/>
          </w:tcPr>
          <w:p>
            <w:pPr>
              <w:spacing w:after="0"/>
              <w:rPr>
                <w:sz w:val="20"/>
                <w:szCs w:val="20"/>
                <w:color w:val="auto"/>
              </w:rPr>
            </w:pPr>
            <w:r>
              <w:rPr>
                <w:rFonts w:ascii="Arial" w:cs="Arial" w:eastAsia="Arial" w:hAnsi="Arial"/>
                <w:sz w:val="22"/>
                <w:szCs w:val="22"/>
                <w:color w:val="auto"/>
              </w:rPr>
              <w:t>Operating expenses (Non-GAAP)</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5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27,674</w:t>
            </w:r>
          </w:p>
        </w:tc>
        <w:tc>
          <w:tcPr>
            <w:tcW w:w="140" w:type="dxa"/>
            <w:vAlign w:val="bottom"/>
          </w:tcPr>
          <w:p>
            <w:pPr>
              <w:spacing w:after="0"/>
              <w:rPr>
                <w:sz w:val="23"/>
                <w:szCs w:val="23"/>
                <w:color w:val="auto"/>
              </w:rPr>
            </w:pPr>
          </w:p>
        </w:tc>
        <w:tc>
          <w:tcPr>
            <w:tcW w:w="58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w:t>
            </w:r>
          </w:p>
        </w:tc>
        <w:tc>
          <w:tcPr>
            <w:tcW w:w="132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31,616</w:t>
            </w:r>
          </w:p>
        </w:tc>
      </w:tr>
      <w:tr>
        <w:trPr>
          <w:trHeight w:val="21"/>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100"/>
        <w:spacing w:after="0"/>
        <w:rPr>
          <w:sz w:val="20"/>
          <w:szCs w:val="20"/>
          <w:color w:val="auto"/>
        </w:rPr>
      </w:pPr>
      <w:r>
        <w:rPr>
          <w:rFonts w:ascii="Arial" w:cs="Arial" w:eastAsia="Arial" w:hAnsi="Arial"/>
          <w:sz w:val="21"/>
          <w:szCs w:val="21"/>
          <w:b w:val="1"/>
          <w:bCs w:val="1"/>
          <w:color w:val="auto"/>
        </w:rPr>
        <w:t>ITEMIZED RECONCILIATION BETWEEN GAAP AND NON-GAAP LOSS FROM OPERATIONS</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5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22"/>
                <w:szCs w:val="22"/>
                <w:b w:val="1"/>
                <w:bCs w:val="1"/>
                <w:color w:val="auto"/>
                <w:w w:val="94"/>
              </w:rPr>
              <w:t>Three Months Ended March 31,</w:t>
            </w:r>
          </w:p>
        </w:tc>
      </w:tr>
      <w:tr>
        <w:trPr>
          <w:trHeight w:val="265"/>
        </w:trPr>
        <w:tc>
          <w:tcPr>
            <w:tcW w:w="57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2017</w:t>
            </w:r>
          </w:p>
        </w:tc>
        <w:tc>
          <w:tcPr>
            <w:tcW w:w="14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2016</w:t>
            </w:r>
          </w:p>
        </w:tc>
      </w:tr>
      <w:tr>
        <w:trPr>
          <w:trHeight w:val="256"/>
        </w:trPr>
        <w:tc>
          <w:tcPr>
            <w:tcW w:w="5720" w:type="dxa"/>
            <w:vAlign w:val="bottom"/>
          </w:tcPr>
          <w:p>
            <w:pPr>
              <w:spacing w:after="0"/>
              <w:rPr>
                <w:sz w:val="20"/>
                <w:szCs w:val="20"/>
                <w:color w:val="auto"/>
              </w:rPr>
            </w:pPr>
            <w:r>
              <w:rPr>
                <w:rFonts w:ascii="Arial" w:cs="Arial" w:eastAsia="Arial" w:hAnsi="Arial"/>
                <w:sz w:val="22"/>
                <w:szCs w:val="22"/>
                <w:color w:val="auto"/>
              </w:rPr>
              <w:t>Loss from operations (GAAP)</w:t>
            </w:r>
          </w:p>
        </w:tc>
        <w:tc>
          <w:tcPr>
            <w:tcW w:w="32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520" w:type="dxa"/>
            <w:vAlign w:val="bottom"/>
          </w:tcPr>
          <w:p>
            <w:pPr>
              <w:jc w:val="right"/>
              <w:ind w:right="152"/>
              <w:spacing w:after="0"/>
              <w:rPr>
                <w:sz w:val="20"/>
                <w:szCs w:val="20"/>
                <w:color w:val="auto"/>
              </w:rPr>
            </w:pPr>
            <w:r>
              <w:rPr>
                <w:rFonts w:ascii="Arial" w:cs="Arial" w:eastAsia="Arial" w:hAnsi="Arial"/>
                <w:sz w:val="22"/>
                <w:szCs w:val="22"/>
                <w:color w:val="auto"/>
              </w:rPr>
              <w:t>(17,536)</w:t>
            </w:r>
          </w:p>
        </w:tc>
        <w:tc>
          <w:tcPr>
            <w:tcW w:w="140" w:type="dxa"/>
            <w:vAlign w:val="bottom"/>
          </w:tcPr>
          <w:p>
            <w:pPr>
              <w:spacing w:after="0"/>
              <w:rPr>
                <w:sz w:val="22"/>
                <w:szCs w:val="22"/>
                <w:color w:val="auto"/>
              </w:rPr>
            </w:pPr>
          </w:p>
        </w:tc>
        <w:tc>
          <w:tcPr>
            <w:tcW w:w="5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360" w:type="dxa"/>
            <w:vAlign w:val="bottom"/>
          </w:tcPr>
          <w:p>
            <w:pPr>
              <w:jc w:val="right"/>
              <w:ind w:right="172"/>
              <w:spacing w:after="0"/>
              <w:rPr>
                <w:sz w:val="20"/>
                <w:szCs w:val="20"/>
                <w:color w:val="auto"/>
              </w:rPr>
            </w:pPr>
            <w:r>
              <w:rPr>
                <w:rFonts w:ascii="Arial" w:cs="Arial" w:eastAsia="Arial" w:hAnsi="Arial"/>
                <w:sz w:val="22"/>
                <w:szCs w:val="22"/>
                <w:color w:val="auto"/>
              </w:rPr>
              <w:t>(18,869)</w:t>
            </w:r>
          </w:p>
        </w:tc>
      </w:tr>
      <w:tr>
        <w:trPr>
          <w:trHeight w:val="270"/>
        </w:trPr>
        <w:tc>
          <w:tcPr>
            <w:tcW w:w="5720" w:type="dxa"/>
            <w:vAlign w:val="bottom"/>
          </w:tcPr>
          <w:p>
            <w:pPr>
              <w:spacing w:after="0"/>
              <w:rPr>
                <w:sz w:val="20"/>
                <w:szCs w:val="20"/>
                <w:color w:val="auto"/>
              </w:rPr>
            </w:pPr>
            <w:r>
              <w:rPr>
                <w:rFonts w:ascii="Arial" w:cs="Arial" w:eastAsia="Arial" w:hAnsi="Arial"/>
                <w:sz w:val="22"/>
                <w:szCs w:val="22"/>
                <w:color w:val="auto"/>
              </w:rPr>
              <w:t>Stock-based compensation expense</w:t>
            </w:r>
          </w:p>
        </w:tc>
        <w:tc>
          <w:tcPr>
            <w:tcW w:w="320" w:type="dxa"/>
            <w:vAlign w:val="bottom"/>
          </w:tcPr>
          <w:p>
            <w:pPr>
              <w:spacing w:after="0"/>
              <w:rPr>
                <w:sz w:val="23"/>
                <w:szCs w:val="23"/>
                <w:color w:val="auto"/>
              </w:rPr>
            </w:pPr>
          </w:p>
        </w:tc>
        <w:tc>
          <w:tcPr>
            <w:tcW w:w="1520" w:type="dxa"/>
            <w:vAlign w:val="bottom"/>
          </w:tcPr>
          <w:p>
            <w:pPr>
              <w:jc w:val="right"/>
              <w:ind w:right="232"/>
              <w:spacing w:after="0"/>
              <w:rPr>
                <w:sz w:val="20"/>
                <w:szCs w:val="20"/>
                <w:color w:val="auto"/>
              </w:rPr>
            </w:pPr>
            <w:r>
              <w:rPr>
                <w:rFonts w:ascii="Arial" w:cs="Arial" w:eastAsia="Arial" w:hAnsi="Arial"/>
                <w:sz w:val="22"/>
                <w:szCs w:val="22"/>
                <w:color w:val="auto"/>
              </w:rPr>
              <w:t>2,446</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tcPr>
          <w:p>
            <w:pPr>
              <w:jc w:val="right"/>
              <w:ind w:right="252"/>
              <w:spacing w:after="0"/>
              <w:rPr>
                <w:sz w:val="20"/>
                <w:szCs w:val="20"/>
                <w:color w:val="auto"/>
              </w:rPr>
            </w:pPr>
            <w:r>
              <w:rPr>
                <w:rFonts w:ascii="Arial" w:cs="Arial" w:eastAsia="Arial" w:hAnsi="Arial"/>
                <w:sz w:val="22"/>
                <w:szCs w:val="22"/>
                <w:color w:val="auto"/>
              </w:rPr>
              <w:t>3,717</w:t>
            </w:r>
          </w:p>
        </w:tc>
      </w:tr>
      <w:tr>
        <w:trPr>
          <w:trHeight w:val="270"/>
        </w:trPr>
        <w:tc>
          <w:tcPr>
            <w:tcW w:w="5720" w:type="dxa"/>
            <w:vAlign w:val="bottom"/>
          </w:tcPr>
          <w:p>
            <w:pPr>
              <w:spacing w:after="0"/>
              <w:rPr>
                <w:sz w:val="20"/>
                <w:szCs w:val="20"/>
                <w:color w:val="auto"/>
              </w:rPr>
            </w:pPr>
            <w:r>
              <w:rPr>
                <w:rFonts w:ascii="Arial" w:cs="Arial" w:eastAsia="Arial" w:hAnsi="Arial"/>
                <w:sz w:val="22"/>
                <w:szCs w:val="22"/>
                <w:color w:val="auto"/>
              </w:rPr>
              <w:t>Amortization of developed technology (a)</w:t>
            </w:r>
          </w:p>
        </w:tc>
        <w:tc>
          <w:tcPr>
            <w:tcW w:w="320" w:type="dxa"/>
            <w:vAlign w:val="bottom"/>
          </w:tcPr>
          <w:p>
            <w:pPr>
              <w:spacing w:after="0"/>
              <w:rPr>
                <w:sz w:val="23"/>
                <w:szCs w:val="23"/>
                <w:color w:val="auto"/>
              </w:rPr>
            </w:pPr>
          </w:p>
        </w:tc>
        <w:tc>
          <w:tcPr>
            <w:tcW w:w="1520" w:type="dxa"/>
            <w:vAlign w:val="bottom"/>
          </w:tcPr>
          <w:p>
            <w:pPr>
              <w:jc w:val="right"/>
              <w:ind w:right="232"/>
              <w:spacing w:after="0"/>
              <w:rPr>
                <w:sz w:val="20"/>
                <w:szCs w:val="20"/>
                <w:color w:val="auto"/>
              </w:rPr>
            </w:pPr>
            <w:r>
              <w:rPr>
                <w:rFonts w:ascii="Arial" w:cs="Arial" w:eastAsia="Arial" w:hAnsi="Arial"/>
                <w:sz w:val="22"/>
                <w:szCs w:val="22"/>
                <w:color w:val="auto"/>
              </w:rPr>
              <w:t>2,800</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tcPr>
          <w:p>
            <w:pPr>
              <w:jc w:val="right"/>
              <w:ind w:right="252"/>
              <w:spacing w:after="0"/>
              <w:rPr>
                <w:sz w:val="20"/>
                <w:szCs w:val="20"/>
                <w:color w:val="auto"/>
              </w:rPr>
            </w:pPr>
            <w:r>
              <w:rPr>
                <w:rFonts w:ascii="Arial" w:cs="Arial" w:eastAsia="Arial" w:hAnsi="Arial"/>
                <w:sz w:val="22"/>
                <w:szCs w:val="22"/>
                <w:color w:val="auto"/>
              </w:rPr>
              <w:t>2,800</w:t>
            </w:r>
          </w:p>
        </w:tc>
      </w:tr>
      <w:tr>
        <w:trPr>
          <w:trHeight w:val="270"/>
        </w:trPr>
        <w:tc>
          <w:tcPr>
            <w:tcW w:w="5720" w:type="dxa"/>
            <w:vAlign w:val="bottom"/>
          </w:tcPr>
          <w:p>
            <w:pPr>
              <w:spacing w:after="0"/>
              <w:rPr>
                <w:sz w:val="20"/>
                <w:szCs w:val="20"/>
                <w:color w:val="auto"/>
              </w:rPr>
            </w:pPr>
            <w:r>
              <w:rPr>
                <w:rFonts w:ascii="Arial" w:cs="Arial" w:eastAsia="Arial" w:hAnsi="Arial"/>
                <w:sz w:val="22"/>
                <w:szCs w:val="22"/>
                <w:color w:val="auto"/>
              </w:rPr>
              <w:t>Depreciation and amortization (e)</w:t>
            </w:r>
          </w:p>
        </w:tc>
        <w:tc>
          <w:tcPr>
            <w:tcW w:w="320" w:type="dxa"/>
            <w:vAlign w:val="bottom"/>
          </w:tcPr>
          <w:p>
            <w:pPr>
              <w:spacing w:after="0"/>
              <w:rPr>
                <w:sz w:val="23"/>
                <w:szCs w:val="23"/>
                <w:color w:val="auto"/>
              </w:rPr>
            </w:pPr>
          </w:p>
        </w:tc>
        <w:tc>
          <w:tcPr>
            <w:tcW w:w="1520" w:type="dxa"/>
            <w:vAlign w:val="bottom"/>
          </w:tcPr>
          <w:p>
            <w:pPr>
              <w:jc w:val="right"/>
              <w:ind w:right="232"/>
              <w:spacing w:after="0"/>
              <w:rPr>
                <w:sz w:val="20"/>
                <w:szCs w:val="20"/>
                <w:color w:val="auto"/>
              </w:rPr>
            </w:pPr>
            <w:r>
              <w:rPr>
                <w:rFonts w:ascii="Arial" w:cs="Arial" w:eastAsia="Arial" w:hAnsi="Arial"/>
                <w:sz w:val="22"/>
                <w:szCs w:val="22"/>
                <w:color w:val="auto"/>
              </w:rPr>
              <w:t>1,871</w:t>
            </w: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tcPr>
          <w:p>
            <w:pPr>
              <w:jc w:val="right"/>
              <w:ind w:right="252"/>
              <w:spacing w:after="0"/>
              <w:rPr>
                <w:sz w:val="20"/>
                <w:szCs w:val="20"/>
                <w:color w:val="auto"/>
              </w:rPr>
            </w:pPr>
            <w:r>
              <w:rPr>
                <w:rFonts w:ascii="Arial" w:cs="Arial" w:eastAsia="Arial" w:hAnsi="Arial"/>
                <w:sz w:val="22"/>
                <w:szCs w:val="22"/>
                <w:color w:val="auto"/>
              </w:rPr>
              <w:t>1,464</w:t>
            </w:r>
          </w:p>
        </w:tc>
      </w:tr>
      <w:tr>
        <w:trPr>
          <w:trHeight w:val="276"/>
        </w:trPr>
        <w:tc>
          <w:tcPr>
            <w:tcW w:w="5720" w:type="dxa"/>
            <w:vAlign w:val="bottom"/>
          </w:tcPr>
          <w:p>
            <w:pPr>
              <w:spacing w:after="0"/>
              <w:rPr>
                <w:sz w:val="20"/>
                <w:szCs w:val="20"/>
                <w:color w:val="auto"/>
              </w:rPr>
            </w:pPr>
            <w:r>
              <w:rPr>
                <w:rFonts w:ascii="Arial" w:cs="Arial" w:eastAsia="Arial" w:hAnsi="Arial"/>
                <w:sz w:val="22"/>
                <w:szCs w:val="22"/>
                <w:color w:val="auto"/>
              </w:rPr>
              <w:t>Loss on disposal of property and equipment (e)</w:t>
            </w: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7</w:t>
            </w:r>
          </w:p>
        </w:tc>
      </w:tr>
      <w:tr>
        <w:trPr>
          <w:trHeight w:val="265"/>
        </w:trPr>
        <w:tc>
          <w:tcPr>
            <w:tcW w:w="5720" w:type="dxa"/>
            <w:vAlign w:val="bottom"/>
          </w:tcPr>
          <w:p>
            <w:pPr>
              <w:spacing w:after="0"/>
              <w:rPr>
                <w:sz w:val="20"/>
                <w:szCs w:val="20"/>
                <w:color w:val="auto"/>
              </w:rPr>
            </w:pPr>
            <w:r>
              <w:rPr>
                <w:rFonts w:ascii="Arial" w:cs="Arial" w:eastAsia="Arial" w:hAnsi="Arial"/>
                <w:sz w:val="22"/>
                <w:szCs w:val="22"/>
                <w:color w:val="auto"/>
              </w:rPr>
              <w:t>Loss from operations (Non-GAAP)</w:t>
            </w:r>
          </w:p>
        </w:tc>
        <w:tc>
          <w:tcPr>
            <w:tcW w:w="32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520" w:type="dxa"/>
            <w:vAlign w:val="bottom"/>
            <w:tcBorders>
              <w:bottom w:val="single" w:sz="8" w:color="auto"/>
            </w:tcBorders>
          </w:tcPr>
          <w:p>
            <w:pPr>
              <w:jc w:val="right"/>
              <w:ind w:right="152"/>
              <w:spacing w:after="0"/>
              <w:rPr>
                <w:sz w:val="20"/>
                <w:szCs w:val="20"/>
                <w:color w:val="auto"/>
              </w:rPr>
            </w:pPr>
            <w:r>
              <w:rPr>
                <w:rFonts w:ascii="Arial" w:cs="Arial" w:eastAsia="Arial" w:hAnsi="Arial"/>
                <w:sz w:val="22"/>
                <w:szCs w:val="22"/>
                <w:color w:val="auto"/>
              </w:rPr>
              <w:t>(10,419)</w:t>
            </w:r>
          </w:p>
        </w:tc>
        <w:tc>
          <w:tcPr>
            <w:tcW w:w="140" w:type="dxa"/>
            <w:vAlign w:val="bottom"/>
          </w:tcPr>
          <w:p>
            <w:pPr>
              <w:spacing w:after="0"/>
              <w:rPr>
                <w:sz w:val="23"/>
                <w:szCs w:val="23"/>
                <w:color w:val="auto"/>
              </w:rPr>
            </w:pPr>
          </w:p>
        </w:tc>
        <w:tc>
          <w:tcPr>
            <w:tcW w:w="54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22"/>
                <w:szCs w:val="22"/>
                <w:color w:val="auto"/>
              </w:rPr>
              <w:t>(10,881)</w:t>
            </w:r>
          </w:p>
        </w:tc>
      </w:tr>
      <w:tr>
        <w:trPr>
          <w:trHeight w:val="21"/>
        </w:trPr>
        <w:tc>
          <w:tcPr>
            <w:tcW w:w="5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320" w:hanging="298"/>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amortization of developed technology in connection with the DVS acquisition</w:t>
      </w:r>
    </w:p>
    <w:p>
      <w:pPr>
        <w:spacing w:after="0" w:line="21" w:lineRule="exact"/>
        <w:rPr>
          <w:rFonts w:ascii="Arial" w:cs="Arial" w:eastAsia="Arial" w:hAnsi="Arial"/>
          <w:sz w:val="22"/>
          <w:szCs w:val="22"/>
          <w:color w:val="auto"/>
        </w:rPr>
      </w:pPr>
    </w:p>
    <w:p>
      <w:pPr>
        <w:ind w:left="320" w:hanging="298"/>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interest expense on Senior Convertible Notes</w:t>
      </w:r>
    </w:p>
    <w:p>
      <w:pPr>
        <w:spacing w:after="0" w:line="17" w:lineRule="exact"/>
        <w:rPr>
          <w:rFonts w:ascii="Arial" w:cs="Arial" w:eastAsia="Arial" w:hAnsi="Arial"/>
          <w:sz w:val="22"/>
          <w:szCs w:val="22"/>
          <w:color w:val="auto"/>
        </w:rPr>
      </w:pPr>
    </w:p>
    <w:p>
      <w:pPr>
        <w:ind w:left="320" w:hanging="298"/>
        <w:spacing w:after="0"/>
        <w:tabs>
          <w:tab w:leader="none" w:pos="320" w:val="left"/>
        </w:tabs>
        <w:numPr>
          <w:ilvl w:val="0"/>
          <w:numId w:val="2"/>
        </w:numPr>
        <w:rPr>
          <w:rFonts w:ascii="Arial" w:cs="Arial" w:eastAsia="Arial" w:hAnsi="Arial"/>
          <w:sz w:val="19"/>
          <w:szCs w:val="19"/>
          <w:color w:val="auto"/>
        </w:rPr>
      </w:pPr>
      <w:r>
        <w:rPr>
          <w:rFonts w:ascii="Arial" w:cs="Arial" w:eastAsia="Arial" w:hAnsi="Arial"/>
          <w:sz w:val="19"/>
          <w:szCs w:val="19"/>
          <w:color w:val="auto"/>
        </w:rPr>
        <w:t>represents the tax impact on the purchase of intangible assets in connection with the DVS acquisition</w:t>
      </w:r>
    </w:p>
    <w:p>
      <w:pPr>
        <w:spacing w:after="0" w:line="51" w:lineRule="exact"/>
        <w:rPr>
          <w:rFonts w:ascii="Arial" w:cs="Arial" w:eastAsia="Arial" w:hAnsi="Arial"/>
          <w:sz w:val="19"/>
          <w:szCs w:val="19"/>
          <w:color w:val="auto"/>
        </w:rPr>
      </w:pPr>
    </w:p>
    <w:p>
      <w:pPr>
        <w:ind w:left="320" w:hanging="298"/>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represents expense associated with cost of product revenue</w:t>
      </w:r>
    </w:p>
    <w:p>
      <w:pPr>
        <w:spacing w:after="0" w:line="17" w:lineRule="exact"/>
        <w:rPr>
          <w:rFonts w:ascii="Arial" w:cs="Arial" w:eastAsia="Arial" w:hAnsi="Arial"/>
          <w:sz w:val="22"/>
          <w:szCs w:val="22"/>
          <w:color w:val="auto"/>
        </w:rPr>
      </w:pPr>
    </w:p>
    <w:p>
      <w:pPr>
        <w:ind w:left="320" w:hanging="298"/>
        <w:spacing w:after="0"/>
        <w:tabs>
          <w:tab w:leader="none" w:pos="320" w:val="left"/>
        </w:tabs>
        <w:numPr>
          <w:ilvl w:val="0"/>
          <w:numId w:val="2"/>
        </w:numPr>
        <w:rPr>
          <w:rFonts w:ascii="Arial" w:cs="Arial" w:eastAsia="Arial" w:hAnsi="Arial"/>
          <w:sz w:val="19"/>
          <w:szCs w:val="19"/>
          <w:color w:val="auto"/>
        </w:rPr>
      </w:pPr>
      <w:r>
        <w:rPr>
          <w:rFonts w:ascii="Arial" w:cs="Arial" w:eastAsia="Arial" w:hAnsi="Arial"/>
          <w:sz w:val="19"/>
          <w:szCs w:val="19"/>
          <w:color w:val="auto"/>
        </w:rPr>
        <w:t>represents expense associated with research and development, selling, general and administrative activities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Fluidigm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Ana Petrovic</w:t>
      </w:r>
    </w:p>
    <w:p>
      <w:pPr>
        <w:spacing w:after="0" w:line="238" w:lineRule="auto"/>
        <w:rPr>
          <w:sz w:val="20"/>
          <w:szCs w:val="20"/>
          <w:color w:val="auto"/>
        </w:rPr>
      </w:pPr>
      <w:r>
        <w:rPr>
          <w:rFonts w:ascii="Arial" w:cs="Arial" w:eastAsia="Arial" w:hAnsi="Arial"/>
          <w:sz w:val="22"/>
          <w:szCs w:val="22"/>
          <w:color w:val="auto"/>
        </w:rPr>
        <w:t>Director, Corporate Development and Investor Relations</w:t>
      </w:r>
    </w:p>
    <w:p>
      <w:pPr>
        <w:spacing w:after="0" w:line="230" w:lineRule="auto"/>
        <w:rPr>
          <w:sz w:val="20"/>
          <w:szCs w:val="20"/>
          <w:color w:val="auto"/>
        </w:rPr>
      </w:pPr>
      <w:r>
        <w:rPr>
          <w:rFonts w:ascii="Arial" w:cs="Arial" w:eastAsia="Arial" w:hAnsi="Arial"/>
          <w:sz w:val="22"/>
          <w:szCs w:val="22"/>
          <w:color w:val="auto"/>
        </w:rPr>
        <w:t>650 243 6628 (office)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ana.petrovic@fluidigm.com</w:t>
      </w:r>
    </w:p>
    <w:sectPr>
      <w:pgSz w:w="11900" w:h="16838" w:orient="portrait"/>
      <w:cols w:equalWidth="0" w:num="1">
        <w:col w:w="10219"/>
      </w:cols>
      <w:pgMar w:left="240" w:top="3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2019-12-29T07:18:46Z</dcterms:created>
  <dcterms:modified xsi:type="dcterms:W3CDTF">2019-12-29T07:18:46Z</dcterms:modified>
</cp:coreProperties>
</file>