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380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LEVIN CAPITAL STRATEGIES, L.P.</w:t>
              </w:r>
            </w:hyperlink>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3"/>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FLUIDIGM CORP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FLDM</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80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540" w:type="dxa"/>
            <w:vAlign w:val="bottom"/>
            <w:tcBorders>
              <w:top w:val="single" w:sz="8" w:color="0000EE"/>
            </w:tcBorders>
          </w:tcPr>
          <w:p>
            <w:pPr>
              <w:spacing w:after="0"/>
              <w:rPr>
                <w:sz w:val="5"/>
                <w:szCs w:val="5"/>
                <w:color w:val="auto"/>
              </w:rPr>
            </w:pPr>
          </w:p>
        </w:tc>
        <w:tc>
          <w:tcPr>
            <w:tcW w:w="2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1400" w:type="dxa"/>
            <w:vAlign w:val="bottom"/>
            <w:tcBorders>
              <w:top w:val="single" w:sz="8" w:color="0000EE"/>
              <w:bottom w:val="single" w:sz="8" w:color="9A9A9A"/>
            </w:tcBorders>
          </w:tcPr>
          <w:p>
            <w:pPr>
              <w:spacing w:after="0"/>
              <w:rPr>
                <w:sz w:val="15"/>
                <w:szCs w:val="15"/>
                <w:color w:val="auto"/>
              </w:rPr>
            </w:pPr>
          </w:p>
        </w:tc>
        <w:tc>
          <w:tcPr>
            <w:tcW w:w="1160" w:type="dxa"/>
            <w:vAlign w:val="bottom"/>
            <w:tcBorders>
              <w:top w:val="single" w:sz="8" w:color="0000EE"/>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82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1400" w:type="dxa"/>
            <w:vAlign w:val="bottom"/>
            <w:vMerge w:val="restart"/>
          </w:tcPr>
          <w:p>
            <w:pPr>
              <w:ind w:left="460"/>
              <w:spacing w:after="0"/>
              <w:rPr>
                <w:sz w:val="20"/>
                <w:szCs w:val="20"/>
                <w:color w:val="auto"/>
              </w:rPr>
            </w:pPr>
            <w:r>
              <w:rPr>
                <w:rFonts w:ascii="Arial" w:cs="Arial" w:eastAsia="Arial" w:hAnsi="Arial"/>
                <w:sz w:val="14"/>
                <w:szCs w:val="14"/>
                <w:color w:val="auto"/>
              </w:rPr>
              <w:t>(First)</w:t>
            </w:r>
          </w:p>
        </w:tc>
        <w:tc>
          <w:tcPr>
            <w:tcW w:w="1580" w:type="dxa"/>
            <w:vAlign w:val="bottom"/>
            <w:gridSpan w:val="2"/>
            <w:vMerge w:val="restart"/>
          </w:tcPr>
          <w:p>
            <w:pPr>
              <w:ind w:left="3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54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400" w:type="dxa"/>
            <w:vAlign w:val="bottom"/>
            <w:vMerge w:val="continue"/>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280" w:type="dxa"/>
            <w:vAlign w:val="bottom"/>
            <w:gridSpan w:val="3"/>
          </w:tcPr>
          <w:p>
            <w:pPr>
              <w:ind w:left="160"/>
              <w:spacing w:after="0"/>
              <w:rPr>
                <w:sz w:val="20"/>
                <w:szCs w:val="20"/>
                <w:color w:val="auto"/>
              </w:rPr>
            </w:pPr>
            <w:r>
              <w:rPr>
                <w:rFonts w:ascii="Arial" w:cs="Arial" w:eastAsia="Arial" w:hAnsi="Arial"/>
                <w:sz w:val="14"/>
                <w:szCs w:val="14"/>
                <w:color w:val="auto"/>
                <w:w w:val="85"/>
              </w:rPr>
              <w:t>3.</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0" w:type="dxa"/>
            <w:vAlign w:val="bottom"/>
          </w:tcPr>
          <w:p>
            <w:pPr>
              <w:spacing w:after="0"/>
              <w:rPr>
                <w:sz w:val="1"/>
                <w:szCs w:val="1"/>
                <w:color w:val="auto"/>
              </w:rPr>
            </w:pPr>
          </w:p>
        </w:tc>
      </w:tr>
      <w:tr>
        <w:trPr>
          <w:trHeight w:val="276"/>
        </w:trPr>
        <w:tc>
          <w:tcPr>
            <w:tcW w:w="40" w:type="dxa"/>
            <w:vAlign w:val="bottom"/>
          </w:tcPr>
          <w:p>
            <w:pPr>
              <w:spacing w:after="0"/>
              <w:rPr>
                <w:sz w:val="24"/>
                <w:szCs w:val="24"/>
                <w:color w:val="auto"/>
              </w:rPr>
            </w:pPr>
          </w:p>
        </w:tc>
        <w:tc>
          <w:tcPr>
            <w:tcW w:w="2220" w:type="dxa"/>
            <w:vAlign w:val="bottom"/>
            <w:gridSpan w:val="2"/>
          </w:tcPr>
          <w:p>
            <w:pPr>
              <w:spacing w:after="0"/>
              <w:rPr>
                <w:sz w:val="20"/>
                <w:szCs w:val="20"/>
                <w:color w:val="auto"/>
              </w:rPr>
            </w:pPr>
            <w:r>
              <w:rPr>
                <w:rFonts w:ascii="Arial" w:cs="Arial" w:eastAsia="Arial" w:hAnsi="Arial"/>
                <w:sz w:val="18"/>
                <w:szCs w:val="18"/>
                <w:color w:val="0000FF"/>
              </w:rPr>
              <w:t>595 MADISON AVENUE</w:t>
            </w: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20" w:type="dxa"/>
            <w:vAlign w:val="bottom"/>
            <w:gridSpan w:val="4"/>
          </w:tcPr>
          <w:p>
            <w:pPr>
              <w:ind w:left="160"/>
              <w:spacing w:after="0"/>
              <w:rPr>
                <w:sz w:val="20"/>
                <w:szCs w:val="20"/>
                <w:color w:val="auto"/>
              </w:rPr>
            </w:pPr>
            <w:r>
              <w:rPr>
                <w:rFonts w:ascii="Arial" w:cs="Arial" w:eastAsia="Arial" w:hAnsi="Arial"/>
                <w:sz w:val="18"/>
                <w:szCs w:val="18"/>
                <w:color w:val="0000FF"/>
              </w:rPr>
              <w:t>10/11/2018</w:t>
            </w: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17TH FLOOR</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0"/>
          <w:szCs w:val="20"/>
          <w:color w:val="auto"/>
        </w:rPr>
      </w:pPr>
    </w:p>
    <w:tbl>
      <w:tblPr>
        <w:tblLayout w:type="fixed"/>
        <w:tblInd w:w="543" w:type="dxa"/>
        <w:tblCellMar>
          <w:top w:w="0" w:type="dxa"/>
          <w:left w:w="0" w:type="dxa"/>
          <w:bottom w:w="0" w:type="dxa"/>
          <w:right w:w="0" w:type="dxa"/>
        </w:tblCellMar>
      </w:tblPr>
      <w:tr>
        <w:trPr>
          <w:trHeight w:val="222"/>
        </w:trPr>
        <w:tc>
          <w:tcPr>
            <w:tcW w:w="1140" w:type="dxa"/>
            <w:vAlign w:val="bottom"/>
          </w:tcPr>
          <w:p>
            <w:pPr>
              <w:spacing w:after="0"/>
              <w:rPr>
                <w:sz w:val="20"/>
                <w:szCs w:val="20"/>
                <w:color w:val="auto"/>
              </w:rPr>
            </w:pPr>
            <w:r>
              <w:rPr>
                <w:rFonts w:ascii="Arial" w:cs="Arial" w:eastAsia="Arial" w:hAnsi="Arial"/>
                <w:sz w:val="14"/>
                <w:szCs w:val="14"/>
                <w:color w:val="auto"/>
              </w:rPr>
              <w:t>Director</w:t>
            </w:r>
          </w:p>
        </w:tc>
        <w:tc>
          <w:tcPr>
            <w:tcW w:w="380" w:type="dxa"/>
            <w:vAlign w:val="bottom"/>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1140" w:type="dxa"/>
            <w:vAlign w:val="bottom"/>
          </w:tcPr>
          <w:p>
            <w:pPr>
              <w:spacing w:after="0"/>
              <w:rPr>
                <w:sz w:val="20"/>
                <w:szCs w:val="20"/>
                <w:color w:val="auto"/>
              </w:rPr>
            </w:pPr>
            <w:r>
              <w:rPr>
                <w:rFonts w:ascii="Arial" w:cs="Arial" w:eastAsia="Arial" w:hAnsi="Arial"/>
                <w:sz w:val="14"/>
                <w:szCs w:val="14"/>
                <w:color w:val="auto"/>
              </w:rPr>
              <w:t>Officer (give title</w:t>
            </w:r>
          </w:p>
        </w:tc>
        <w:tc>
          <w:tcPr>
            <w:tcW w:w="380" w:type="dxa"/>
            <w:vAlign w:val="bottom"/>
            <w:vMerge w:val="restart"/>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1140" w:type="dxa"/>
            <w:vAlign w:val="bottom"/>
            <w:vMerge w:val="restart"/>
          </w:tcPr>
          <w:p>
            <w:pPr>
              <w:spacing w:after="0"/>
              <w:rPr>
                <w:sz w:val="20"/>
                <w:szCs w:val="20"/>
                <w:color w:val="auto"/>
              </w:rPr>
            </w:pPr>
            <w:r>
              <w:rPr>
                <w:rFonts w:ascii="Arial" w:cs="Arial" w:eastAsia="Arial" w:hAnsi="Arial"/>
                <w:sz w:val="14"/>
                <w:szCs w:val="14"/>
                <w:color w:val="auto"/>
              </w:rPr>
              <w:t>below)</w:t>
            </w:r>
          </w:p>
        </w:tc>
        <w:tc>
          <w:tcPr>
            <w:tcW w:w="380" w:type="dxa"/>
            <w:vAlign w:val="bottom"/>
            <w:vMerge w:val="continue"/>
          </w:tcPr>
          <w:p>
            <w:pPr>
              <w:spacing w:after="0"/>
              <w:rPr>
                <w:sz w:val="9"/>
                <w:szCs w:val="9"/>
                <w:color w:val="auto"/>
              </w:rPr>
            </w:pPr>
          </w:p>
        </w:tc>
        <w:tc>
          <w:tcPr>
            <w:tcW w:w="96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114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jc w:val="center"/>
        <w:ind w:right="77"/>
        <w:spacing w:after="0"/>
        <w:rPr>
          <w:sz w:val="20"/>
          <w:szCs w:val="20"/>
          <w:color w:val="auto"/>
        </w:rPr>
      </w:pPr>
      <w:r>
        <w:rPr>
          <w:rFonts w:ascii="Arial" w:cs="Arial" w:eastAsia="Arial" w:hAnsi="Arial"/>
          <w:sz w:val="18"/>
          <w:szCs w:val="18"/>
          <w:color w:val="0000FF"/>
        </w:rPr>
        <w:t>Passive Investor</w:t>
      </w:r>
    </w:p>
    <w:p>
      <w:pPr>
        <w:spacing w:after="0" w:line="462" w:lineRule="exact"/>
        <w:rPr>
          <w:sz w:val="20"/>
          <w:szCs w:val="20"/>
          <w:color w:val="auto"/>
        </w:rPr>
      </w:pPr>
    </w:p>
    <w:p>
      <w:pPr>
        <w:sectPr>
          <w:pgSz w:w="11900" w:h="16838" w:orient="portrait"/>
          <w:cols w:equalWidth="0" w:num="2">
            <w:col w:w="7980" w:space="77"/>
            <w:col w:w="3363"/>
          </w:cols>
          <w:pgMar w:left="240" w:top="226" w:right="239" w:bottom="0" w:gutter="0" w:footer="0" w:header="0"/>
          <w:type w:val="continuous"/>
        </w:sectPr>
      </w:pPr>
    </w:p>
    <w:p>
      <w:pPr>
        <w:spacing w:after="0" w:line="175"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ind w:right="260" w:hanging="3983"/>
        <w:spacing w:after="0" w:line="231" w:lineRule="auto"/>
        <w:rPr>
          <w:sz w:val="20"/>
          <w:szCs w:val="20"/>
          <w:color w:val="auto"/>
        </w:rPr>
      </w:pPr>
      <w:r>
        <w:rPr>
          <w:rFonts w:ascii="Arial" w:cs="Arial" w:eastAsia="Arial" w:hAnsi="Arial"/>
          <w:sz w:val="14"/>
          <w:szCs w:val="14"/>
          <w:color w:val="auto"/>
        </w:rPr>
        <w:t>4. If Amendment, Date of Original Filed (Month/Day/Year)</w:t>
      </w:r>
      <w:r>
        <w:rPr>
          <w:sz w:val="20"/>
          <w:szCs w:val="20"/>
          <w:color w:val="auto"/>
        </w:rPr>
        <w:t xml:space="preserve"> </w:t>
      </w:r>
      <w:r>
        <w:rPr>
          <w:rFonts w:ascii="Arial" w:cs="Arial" w:eastAsia="Arial" w:hAnsi="Arial"/>
          <w:sz w:val="14"/>
          <w:szCs w:val="14"/>
          <w:color w:val="auto"/>
        </w:rPr>
        <w:t>6. Individual or Joint/Group Filing (Check Applicable Line)</w:t>
      </w:r>
    </w:p>
    <w:p>
      <w:pPr>
        <w:spacing w:after="0" w:line="28"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2460" w:type="dxa"/>
            <w:vAlign w:val="bottom"/>
          </w:tcPr>
          <w:p>
            <w:pPr>
              <w:ind w:left="12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460" w:type="dxa"/>
            <w:vAlign w:val="bottom"/>
          </w:tcPr>
          <w:p>
            <w:pPr>
              <w:ind w:left="120"/>
              <w:spacing w:after="0"/>
              <w:rPr>
                <w:sz w:val="20"/>
                <w:szCs w:val="20"/>
                <w:color w:val="auto"/>
              </w:rPr>
            </w:pPr>
            <w:r>
              <w:rPr>
                <w:rFonts w:ascii="Arial" w:cs="Arial" w:eastAsia="Arial" w:hAnsi="Arial"/>
                <w:sz w:val="14"/>
                <w:szCs w:val="14"/>
                <w:color w:val="auto"/>
                <w:w w:val="95"/>
              </w:rPr>
              <w:t>Form filed by More than One Reporting</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2460" w:type="dxa"/>
            <w:vAlign w:val="bottom"/>
            <w:vMerge w:val="restart"/>
          </w:tcPr>
          <w:p>
            <w:pPr>
              <w:ind w:left="120"/>
              <w:spacing w:after="0"/>
              <w:rPr>
                <w:sz w:val="20"/>
                <w:szCs w:val="20"/>
                <w:color w:val="auto"/>
              </w:rPr>
            </w:pPr>
            <w:r>
              <w:rPr>
                <w:rFonts w:ascii="Arial" w:cs="Arial" w:eastAsia="Arial" w:hAnsi="Arial"/>
                <w:sz w:val="14"/>
                <w:szCs w:val="14"/>
                <w:color w:val="auto"/>
              </w:rPr>
              <w:t>Person</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2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87" w:lineRule="exact"/>
        <w:rPr>
          <w:sz w:val="20"/>
          <w:szCs w:val="20"/>
          <w:color w:val="auto"/>
        </w:rPr>
      </w:pPr>
    </w:p>
    <w:p>
      <w:pPr>
        <w:sectPr>
          <w:pgSz w:w="11900" w:h="16838" w:orient="portrait"/>
          <w:cols w:equalWidth="0" w:num="2">
            <w:col w:w="7340" w:space="720"/>
            <w:col w:w="336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42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00" w:type="dxa"/>
            <w:vAlign w:val="bottom"/>
          </w:tcPr>
          <w:p>
            <w:pPr>
              <w:ind w:left="6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120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420" w:type="dxa"/>
            <w:vAlign w:val="bottom"/>
          </w:tcPr>
          <w:p>
            <w:pPr>
              <w:spacing w:after="0"/>
              <w:rPr>
                <w:sz w:val="11"/>
                <w:szCs w:val="11"/>
                <w:color w:val="auto"/>
              </w:rPr>
            </w:pPr>
          </w:p>
        </w:tc>
        <w:tc>
          <w:tcPr>
            <w:tcW w:w="170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12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5"/>
        </w:trPr>
        <w:tc>
          <w:tcPr>
            <w:tcW w:w="2420" w:type="dxa"/>
            <w:vAlign w:val="bottom"/>
          </w:tcPr>
          <w:p>
            <w:pPr>
              <w:spacing w:after="0"/>
              <w:rPr>
                <w:sz w:val="11"/>
                <w:szCs w:val="11"/>
                <w:color w:val="auto"/>
              </w:rPr>
            </w:pPr>
          </w:p>
        </w:tc>
        <w:tc>
          <w:tcPr>
            <w:tcW w:w="1700" w:type="dxa"/>
            <w:vAlign w:val="bottom"/>
          </w:tcPr>
          <w:p>
            <w:pPr>
              <w:ind w:left="64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12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5"/>
        </w:trPr>
        <w:tc>
          <w:tcPr>
            <w:tcW w:w="24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12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4)</w:t>
            </w:r>
          </w:p>
        </w:tc>
        <w:tc>
          <w:tcPr>
            <w:tcW w:w="0" w:type="dxa"/>
            <w:vAlign w:val="bottom"/>
          </w:tcPr>
          <w:p>
            <w:pPr>
              <w:spacing w:after="0"/>
              <w:rPr>
                <w:sz w:val="1"/>
                <w:szCs w:val="1"/>
                <w:color w:val="auto"/>
              </w:rPr>
            </w:pPr>
          </w:p>
        </w:tc>
      </w:tr>
      <w:tr>
        <w:trPr>
          <w:trHeight w:val="77"/>
        </w:trPr>
        <w:tc>
          <w:tcPr>
            <w:tcW w:w="242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42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4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42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74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42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42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3"/>
          </w:tcPr>
          <w:p>
            <w:pPr>
              <w:ind w:left="20"/>
              <w:spacing w:after="0"/>
              <w:rPr>
                <w:sz w:val="20"/>
                <w:szCs w:val="20"/>
                <w:color w:val="auto"/>
              </w:rPr>
            </w:pPr>
            <w:r>
              <w:rPr>
                <w:rFonts w:ascii="Arial" w:cs="Arial" w:eastAsia="Arial" w:hAnsi="Arial"/>
                <w:sz w:val="18"/>
                <w:szCs w:val="18"/>
                <w:color w:val="0000FF"/>
              </w:rPr>
              <w:t>By: Managed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w w:val="93"/>
              </w:rPr>
              <w:t>Common Stock</w:t>
            </w:r>
            <w:r>
              <w:rPr>
                <w:rFonts w:ascii="Arial" w:cs="Arial" w:eastAsia="Arial" w:hAnsi="Arial"/>
                <w:sz w:val="22"/>
                <w:szCs w:val="22"/>
                <w:color w:val="008000"/>
                <w:w w:val="93"/>
                <w:vertAlign w:val="superscript"/>
              </w:rPr>
              <w:t>(1)(2)</w:t>
            </w:r>
          </w:p>
        </w:tc>
        <w:tc>
          <w:tcPr>
            <w:tcW w:w="1140" w:type="dxa"/>
            <w:vAlign w:val="bottom"/>
          </w:tcPr>
          <w:p>
            <w:pPr>
              <w:spacing w:after="0"/>
              <w:rPr>
                <w:sz w:val="18"/>
                <w:szCs w:val="18"/>
                <w:color w:val="auto"/>
              </w:rPr>
            </w:pPr>
          </w:p>
        </w:tc>
        <w:tc>
          <w:tcPr>
            <w:tcW w:w="1840" w:type="dxa"/>
            <w:vAlign w:val="bottom"/>
            <w:gridSpan w:val="2"/>
            <w:vMerge w:val="restart"/>
          </w:tcPr>
          <w:p>
            <w:pPr>
              <w:ind w:left="460"/>
              <w:spacing w:after="0"/>
              <w:rPr>
                <w:sz w:val="20"/>
                <w:szCs w:val="20"/>
                <w:color w:val="auto"/>
              </w:rPr>
            </w:pPr>
            <w:r>
              <w:rPr>
                <w:rFonts w:ascii="Arial" w:cs="Arial" w:eastAsia="Arial" w:hAnsi="Arial"/>
                <w:sz w:val="18"/>
                <w:szCs w:val="18"/>
                <w:color w:val="0000FF"/>
              </w:rPr>
              <w:t>10/11/2018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vMerge w:val="restart"/>
          </w:tcPr>
          <w:p>
            <w:pPr>
              <w:ind w:left="760"/>
              <w:spacing w:after="0"/>
              <w:rPr>
                <w:sz w:val="20"/>
                <w:szCs w:val="20"/>
                <w:color w:val="auto"/>
              </w:rPr>
            </w:pPr>
            <w:r>
              <w:rPr>
                <w:rFonts w:ascii="Arial" w:cs="Arial" w:eastAsia="Arial" w:hAnsi="Arial"/>
                <w:sz w:val="14"/>
                <w:szCs w:val="14"/>
                <w:color w:val="0000FF"/>
                <w:w w:val="85"/>
              </w:rPr>
              <w:t>P</w:t>
            </w:r>
          </w:p>
        </w:tc>
        <w:tc>
          <w:tcPr>
            <w:tcW w:w="740" w:type="dxa"/>
            <w:vAlign w:val="bottom"/>
          </w:tcPr>
          <w:p>
            <w:pPr>
              <w:spacing w:after="0"/>
              <w:rPr>
                <w:sz w:val="18"/>
                <w:szCs w:val="18"/>
                <w:color w:val="auto"/>
              </w:rPr>
            </w:pPr>
          </w:p>
        </w:tc>
        <w:tc>
          <w:tcPr>
            <w:tcW w:w="720" w:type="dxa"/>
            <w:vAlign w:val="bottom"/>
            <w:vMerge w:val="restart"/>
          </w:tcPr>
          <w:p>
            <w:pPr>
              <w:ind w:left="100"/>
              <w:spacing w:after="0"/>
              <w:rPr>
                <w:sz w:val="20"/>
                <w:szCs w:val="20"/>
                <w:color w:val="auto"/>
              </w:rPr>
            </w:pPr>
            <w:r>
              <w:rPr>
                <w:rFonts w:ascii="Arial" w:cs="Arial" w:eastAsia="Arial" w:hAnsi="Arial"/>
                <w:sz w:val="18"/>
                <w:szCs w:val="18"/>
                <w:color w:val="0000FF"/>
              </w:rPr>
              <w:t>53</w:t>
            </w:r>
          </w:p>
        </w:tc>
        <w:tc>
          <w:tcPr>
            <w:tcW w:w="400" w:type="dxa"/>
            <w:vAlign w:val="bottom"/>
            <w:vMerge w:val="restart"/>
          </w:tcPr>
          <w:p>
            <w:pPr>
              <w:ind w:left="60"/>
              <w:spacing w:after="0"/>
              <w:rPr>
                <w:sz w:val="20"/>
                <w:szCs w:val="20"/>
                <w:color w:val="auto"/>
              </w:rPr>
            </w:pPr>
            <w:r>
              <w:rPr>
                <w:rFonts w:ascii="Arial" w:cs="Arial" w:eastAsia="Arial" w:hAnsi="Arial"/>
                <w:sz w:val="18"/>
                <w:szCs w:val="18"/>
                <w:color w:val="0000FF"/>
              </w:rPr>
              <w:t>A</w:t>
            </w:r>
          </w:p>
        </w:tc>
        <w:tc>
          <w:tcPr>
            <w:tcW w:w="740" w:type="dxa"/>
            <w:vAlign w:val="bottom"/>
            <w:vMerge w:val="restart"/>
          </w:tcPr>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7.4399</w:t>
            </w:r>
          </w:p>
        </w:tc>
        <w:tc>
          <w:tcPr>
            <w:tcW w:w="1540" w:type="dxa"/>
            <w:vAlign w:val="bottom"/>
            <w:gridSpan w:val="2"/>
            <w:vMerge w:val="restart"/>
          </w:tcPr>
          <w:p>
            <w:pPr>
              <w:jc w:val="center"/>
              <w:ind w:right="439"/>
              <w:spacing w:after="0"/>
              <w:rPr>
                <w:sz w:val="20"/>
                <w:szCs w:val="20"/>
                <w:color w:val="auto"/>
              </w:rPr>
            </w:pPr>
            <w:r>
              <w:rPr>
                <w:rFonts w:ascii="Arial" w:cs="Arial" w:eastAsia="Arial" w:hAnsi="Arial"/>
                <w:sz w:val="18"/>
                <w:szCs w:val="18"/>
                <w:color w:val="0000FF"/>
                <w:w w:val="88"/>
              </w:rPr>
              <w:t>11,302,153</w:t>
            </w:r>
          </w:p>
        </w:tc>
        <w:tc>
          <w:tcPr>
            <w:tcW w:w="560" w:type="dxa"/>
            <w:vAlign w:val="bottom"/>
            <w:vMerge w:val="restart"/>
          </w:tcPr>
          <w:p>
            <w:pPr>
              <w:spacing w:after="0"/>
              <w:rPr>
                <w:sz w:val="20"/>
                <w:szCs w:val="20"/>
                <w:color w:val="auto"/>
              </w:rPr>
            </w:pPr>
            <w:r>
              <w:rPr>
                <w:rFonts w:ascii="Arial" w:cs="Arial" w:eastAsia="Arial" w:hAnsi="Arial"/>
                <w:sz w:val="18"/>
                <w:szCs w:val="18"/>
                <w:color w:val="0000FF"/>
              </w:rPr>
              <w:t>I</w:t>
            </w:r>
          </w:p>
        </w:tc>
        <w:tc>
          <w:tcPr>
            <w:tcW w:w="1160" w:type="dxa"/>
            <w:vAlign w:val="bottom"/>
            <w:gridSpan w:val="3"/>
          </w:tcPr>
          <w:p>
            <w:pPr>
              <w:ind w:left="20"/>
              <w:spacing w:after="0"/>
              <w:rPr>
                <w:sz w:val="20"/>
                <w:szCs w:val="20"/>
                <w:color w:val="auto"/>
              </w:rPr>
            </w:pPr>
            <w:r>
              <w:rPr>
                <w:rFonts w:ascii="Arial" w:cs="Arial" w:eastAsia="Arial" w:hAnsi="Arial"/>
                <w:sz w:val="18"/>
                <w:szCs w:val="18"/>
                <w:color w:val="0000FF"/>
              </w:rPr>
              <w:t>Accounts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vMerge w:val="continue"/>
          </w:tcPr>
          <w:p>
            <w:pPr>
              <w:spacing w:after="0"/>
              <w:rPr>
                <w:sz w:val="18"/>
                <w:szCs w:val="18"/>
                <w:color w:val="auto"/>
              </w:rPr>
            </w:pPr>
          </w:p>
        </w:tc>
        <w:tc>
          <w:tcPr>
            <w:tcW w:w="1140" w:type="dxa"/>
            <w:vAlign w:val="bottom"/>
          </w:tcPr>
          <w:p>
            <w:pPr>
              <w:spacing w:after="0"/>
              <w:rPr>
                <w:sz w:val="18"/>
                <w:szCs w:val="18"/>
                <w:color w:val="auto"/>
              </w:rPr>
            </w:pPr>
          </w:p>
        </w:tc>
        <w:tc>
          <w:tcPr>
            <w:tcW w:w="18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400" w:type="dxa"/>
            <w:vAlign w:val="bottom"/>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1540" w:type="dxa"/>
            <w:vAlign w:val="bottom"/>
            <w:gridSpan w:val="2"/>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1160" w:type="dxa"/>
            <w:vAlign w:val="bottom"/>
            <w:gridSpan w:val="3"/>
          </w:tcPr>
          <w:p>
            <w:pPr>
              <w:ind w:left="20"/>
              <w:spacing w:after="0"/>
              <w:rPr>
                <w:sz w:val="20"/>
                <w:szCs w:val="20"/>
                <w:color w:val="auto"/>
              </w:rPr>
            </w:pPr>
            <w:r>
              <w:rPr>
                <w:rFonts w:ascii="Arial" w:cs="Arial" w:eastAsia="Arial" w:hAnsi="Arial"/>
                <w:sz w:val="18"/>
                <w:szCs w:val="18"/>
                <w:color w:val="0000FF"/>
              </w:rPr>
              <w:t>Levin Capital</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3"/>
          </w:tcPr>
          <w:p>
            <w:pPr>
              <w:ind w:left="20"/>
              <w:spacing w:after="0"/>
              <w:rPr>
                <w:sz w:val="20"/>
                <w:szCs w:val="20"/>
                <w:color w:val="auto"/>
              </w:rPr>
            </w:pPr>
            <w:r>
              <w:rPr>
                <w:rFonts w:ascii="Arial" w:cs="Arial" w:eastAsia="Arial" w:hAnsi="Arial"/>
                <w:sz w:val="18"/>
                <w:szCs w:val="18"/>
                <w:color w:val="0000FF"/>
                <w:w w:val="90"/>
              </w:rPr>
              <w:t>Strategies, L.P.</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ind w:left="20"/>
              <w:spacing w:after="0"/>
              <w:rPr>
                <w:sz w:val="20"/>
                <w:szCs w:val="20"/>
                <w:color w:val="auto"/>
              </w:rPr>
            </w:pPr>
            <w:r>
              <w:rPr>
                <w:rFonts w:ascii="Arial" w:cs="Arial" w:eastAsia="Arial" w:hAnsi="Arial"/>
                <w:sz w:val="11"/>
                <w:szCs w:val="11"/>
                <w:color w:val="008000"/>
              </w:rPr>
              <w:t>(3)(4)</w:t>
            </w: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gridSpan w:val="2"/>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60" w:type="dxa"/>
            <w:vAlign w:val="bottom"/>
            <w:gridSpan w:val="3"/>
          </w:tcPr>
          <w:p>
            <w:pPr>
              <w:ind w:left="20"/>
              <w:spacing w:after="0"/>
              <w:rPr>
                <w:sz w:val="20"/>
                <w:szCs w:val="20"/>
                <w:color w:val="auto"/>
              </w:rPr>
            </w:pPr>
            <w:r>
              <w:rPr>
                <w:rFonts w:ascii="Arial" w:cs="Arial" w:eastAsia="Arial" w:hAnsi="Arial"/>
                <w:sz w:val="18"/>
                <w:szCs w:val="18"/>
                <w:color w:val="0000FF"/>
              </w:rPr>
              <w:t>By: Managed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w w:val="93"/>
              </w:rPr>
              <w:t>Common Stock</w:t>
            </w:r>
            <w:r>
              <w:rPr>
                <w:rFonts w:ascii="Arial" w:cs="Arial" w:eastAsia="Arial" w:hAnsi="Arial"/>
                <w:sz w:val="22"/>
                <w:szCs w:val="22"/>
                <w:color w:val="008000"/>
                <w:w w:val="93"/>
                <w:vertAlign w:val="superscript"/>
              </w:rPr>
              <w:t>(1)(2)</w:t>
            </w:r>
          </w:p>
        </w:tc>
        <w:tc>
          <w:tcPr>
            <w:tcW w:w="1140" w:type="dxa"/>
            <w:vAlign w:val="bottom"/>
          </w:tcPr>
          <w:p>
            <w:pPr>
              <w:spacing w:after="0"/>
              <w:rPr>
                <w:sz w:val="18"/>
                <w:szCs w:val="18"/>
                <w:color w:val="auto"/>
              </w:rPr>
            </w:pPr>
          </w:p>
        </w:tc>
        <w:tc>
          <w:tcPr>
            <w:tcW w:w="1840" w:type="dxa"/>
            <w:vAlign w:val="bottom"/>
            <w:gridSpan w:val="2"/>
            <w:vMerge w:val="restart"/>
          </w:tcPr>
          <w:p>
            <w:pPr>
              <w:ind w:left="460"/>
              <w:spacing w:after="0"/>
              <w:rPr>
                <w:sz w:val="20"/>
                <w:szCs w:val="20"/>
                <w:color w:val="auto"/>
              </w:rPr>
            </w:pPr>
            <w:r>
              <w:rPr>
                <w:rFonts w:ascii="Arial" w:cs="Arial" w:eastAsia="Arial" w:hAnsi="Arial"/>
                <w:sz w:val="18"/>
                <w:szCs w:val="18"/>
                <w:color w:val="0000FF"/>
              </w:rPr>
              <w:t>10/12/2018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vMerge w:val="restart"/>
          </w:tcPr>
          <w:p>
            <w:pPr>
              <w:ind w:left="760"/>
              <w:spacing w:after="0"/>
              <w:rPr>
                <w:sz w:val="20"/>
                <w:szCs w:val="20"/>
                <w:color w:val="auto"/>
              </w:rPr>
            </w:pPr>
            <w:r>
              <w:rPr>
                <w:rFonts w:ascii="Arial" w:cs="Arial" w:eastAsia="Arial" w:hAnsi="Arial"/>
                <w:sz w:val="14"/>
                <w:szCs w:val="14"/>
                <w:color w:val="0000FF"/>
                <w:w w:val="85"/>
              </w:rPr>
              <w:t>P</w:t>
            </w:r>
          </w:p>
        </w:tc>
        <w:tc>
          <w:tcPr>
            <w:tcW w:w="740" w:type="dxa"/>
            <w:vAlign w:val="bottom"/>
          </w:tcPr>
          <w:p>
            <w:pPr>
              <w:spacing w:after="0"/>
              <w:rPr>
                <w:sz w:val="18"/>
                <w:szCs w:val="18"/>
                <w:color w:val="auto"/>
              </w:rPr>
            </w:pPr>
          </w:p>
        </w:tc>
        <w:tc>
          <w:tcPr>
            <w:tcW w:w="720" w:type="dxa"/>
            <w:vAlign w:val="bottom"/>
            <w:vMerge w:val="restart"/>
          </w:tcPr>
          <w:p>
            <w:pPr>
              <w:ind w:left="100"/>
              <w:spacing w:after="0"/>
              <w:rPr>
                <w:sz w:val="20"/>
                <w:szCs w:val="20"/>
                <w:color w:val="auto"/>
              </w:rPr>
            </w:pPr>
            <w:r>
              <w:rPr>
                <w:rFonts w:ascii="Arial" w:cs="Arial" w:eastAsia="Arial" w:hAnsi="Arial"/>
                <w:sz w:val="18"/>
                <w:szCs w:val="18"/>
                <w:color w:val="0000FF"/>
              </w:rPr>
              <w:t>18</w:t>
            </w:r>
          </w:p>
        </w:tc>
        <w:tc>
          <w:tcPr>
            <w:tcW w:w="400" w:type="dxa"/>
            <w:vAlign w:val="bottom"/>
            <w:vMerge w:val="restart"/>
          </w:tcPr>
          <w:p>
            <w:pPr>
              <w:ind w:left="60"/>
              <w:spacing w:after="0"/>
              <w:rPr>
                <w:sz w:val="20"/>
                <w:szCs w:val="20"/>
                <w:color w:val="auto"/>
              </w:rPr>
            </w:pPr>
            <w:r>
              <w:rPr>
                <w:rFonts w:ascii="Arial" w:cs="Arial" w:eastAsia="Arial" w:hAnsi="Arial"/>
                <w:sz w:val="18"/>
                <w:szCs w:val="18"/>
                <w:color w:val="0000FF"/>
              </w:rPr>
              <w:t>A</w:t>
            </w:r>
          </w:p>
        </w:tc>
        <w:tc>
          <w:tcPr>
            <w:tcW w:w="740" w:type="dxa"/>
            <w:vAlign w:val="bottom"/>
            <w:vMerge w:val="restart"/>
          </w:tcPr>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7.4499</w:t>
            </w:r>
          </w:p>
        </w:tc>
        <w:tc>
          <w:tcPr>
            <w:tcW w:w="1540" w:type="dxa"/>
            <w:vAlign w:val="bottom"/>
            <w:gridSpan w:val="2"/>
            <w:vMerge w:val="restart"/>
          </w:tcPr>
          <w:p>
            <w:pPr>
              <w:jc w:val="center"/>
              <w:ind w:right="439"/>
              <w:spacing w:after="0"/>
              <w:rPr>
                <w:sz w:val="20"/>
                <w:szCs w:val="20"/>
                <w:color w:val="auto"/>
              </w:rPr>
            </w:pPr>
            <w:r>
              <w:rPr>
                <w:rFonts w:ascii="Arial" w:cs="Arial" w:eastAsia="Arial" w:hAnsi="Arial"/>
                <w:sz w:val="18"/>
                <w:szCs w:val="18"/>
                <w:color w:val="0000FF"/>
                <w:w w:val="88"/>
              </w:rPr>
              <w:t>11,302,171</w:t>
            </w:r>
          </w:p>
        </w:tc>
        <w:tc>
          <w:tcPr>
            <w:tcW w:w="560" w:type="dxa"/>
            <w:vAlign w:val="bottom"/>
            <w:vMerge w:val="restart"/>
          </w:tcPr>
          <w:p>
            <w:pPr>
              <w:spacing w:after="0"/>
              <w:rPr>
                <w:sz w:val="20"/>
                <w:szCs w:val="20"/>
                <w:color w:val="auto"/>
              </w:rPr>
            </w:pPr>
            <w:r>
              <w:rPr>
                <w:rFonts w:ascii="Arial" w:cs="Arial" w:eastAsia="Arial" w:hAnsi="Arial"/>
                <w:sz w:val="18"/>
                <w:szCs w:val="18"/>
                <w:color w:val="0000FF"/>
              </w:rPr>
              <w:t>I</w:t>
            </w:r>
          </w:p>
        </w:tc>
        <w:tc>
          <w:tcPr>
            <w:tcW w:w="1160" w:type="dxa"/>
            <w:vAlign w:val="bottom"/>
            <w:gridSpan w:val="3"/>
          </w:tcPr>
          <w:p>
            <w:pPr>
              <w:ind w:left="20"/>
              <w:spacing w:after="0"/>
              <w:rPr>
                <w:sz w:val="20"/>
                <w:szCs w:val="20"/>
                <w:color w:val="auto"/>
              </w:rPr>
            </w:pPr>
            <w:r>
              <w:rPr>
                <w:rFonts w:ascii="Arial" w:cs="Arial" w:eastAsia="Arial" w:hAnsi="Arial"/>
                <w:sz w:val="18"/>
                <w:szCs w:val="18"/>
                <w:color w:val="0000FF"/>
              </w:rPr>
              <w:t>Accounts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vMerge w:val="continue"/>
          </w:tcPr>
          <w:p>
            <w:pPr>
              <w:spacing w:after="0"/>
              <w:rPr>
                <w:sz w:val="18"/>
                <w:szCs w:val="18"/>
                <w:color w:val="auto"/>
              </w:rPr>
            </w:pPr>
          </w:p>
        </w:tc>
        <w:tc>
          <w:tcPr>
            <w:tcW w:w="1140" w:type="dxa"/>
            <w:vAlign w:val="bottom"/>
          </w:tcPr>
          <w:p>
            <w:pPr>
              <w:spacing w:after="0"/>
              <w:rPr>
                <w:sz w:val="18"/>
                <w:szCs w:val="18"/>
                <w:color w:val="auto"/>
              </w:rPr>
            </w:pPr>
          </w:p>
        </w:tc>
        <w:tc>
          <w:tcPr>
            <w:tcW w:w="18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400" w:type="dxa"/>
            <w:vAlign w:val="bottom"/>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1540" w:type="dxa"/>
            <w:vAlign w:val="bottom"/>
            <w:gridSpan w:val="2"/>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1160" w:type="dxa"/>
            <w:vAlign w:val="bottom"/>
            <w:gridSpan w:val="3"/>
          </w:tcPr>
          <w:p>
            <w:pPr>
              <w:ind w:left="20"/>
              <w:spacing w:after="0"/>
              <w:rPr>
                <w:sz w:val="20"/>
                <w:szCs w:val="20"/>
                <w:color w:val="auto"/>
              </w:rPr>
            </w:pPr>
            <w:r>
              <w:rPr>
                <w:rFonts w:ascii="Arial" w:cs="Arial" w:eastAsia="Arial" w:hAnsi="Arial"/>
                <w:sz w:val="18"/>
                <w:szCs w:val="18"/>
                <w:color w:val="0000FF"/>
              </w:rPr>
              <w:t>Levin Capital</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3"/>
          </w:tcPr>
          <w:p>
            <w:pPr>
              <w:ind w:left="20"/>
              <w:spacing w:after="0"/>
              <w:rPr>
                <w:sz w:val="20"/>
                <w:szCs w:val="20"/>
                <w:color w:val="auto"/>
              </w:rPr>
            </w:pPr>
            <w:r>
              <w:rPr>
                <w:rFonts w:ascii="Arial" w:cs="Arial" w:eastAsia="Arial" w:hAnsi="Arial"/>
                <w:sz w:val="18"/>
                <w:szCs w:val="18"/>
                <w:color w:val="0000FF"/>
                <w:w w:val="90"/>
              </w:rPr>
              <w:t>Strategies, L.P.</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ind w:left="20"/>
              <w:spacing w:after="0"/>
              <w:rPr>
                <w:sz w:val="20"/>
                <w:szCs w:val="20"/>
                <w:color w:val="auto"/>
              </w:rPr>
            </w:pPr>
            <w:r>
              <w:rPr>
                <w:rFonts w:ascii="Arial" w:cs="Arial" w:eastAsia="Arial" w:hAnsi="Arial"/>
                <w:sz w:val="11"/>
                <w:szCs w:val="11"/>
                <w:color w:val="008000"/>
              </w:rPr>
              <w:t>(3)(4)</w:t>
            </w: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gridSpan w:val="2"/>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60" w:type="dxa"/>
            <w:vAlign w:val="bottom"/>
            <w:gridSpan w:val="3"/>
          </w:tcPr>
          <w:p>
            <w:pPr>
              <w:ind w:left="20"/>
              <w:spacing w:after="0"/>
              <w:rPr>
                <w:sz w:val="20"/>
                <w:szCs w:val="20"/>
                <w:color w:val="auto"/>
              </w:rPr>
            </w:pPr>
            <w:r>
              <w:rPr>
                <w:rFonts w:ascii="Arial" w:cs="Arial" w:eastAsia="Arial" w:hAnsi="Arial"/>
                <w:sz w:val="18"/>
                <w:szCs w:val="18"/>
                <w:color w:val="0000FF"/>
              </w:rPr>
              <w:t>By: Bi-</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w w:val="93"/>
              </w:rPr>
              <w:t>Common Stock</w:t>
            </w:r>
            <w:r>
              <w:rPr>
                <w:rFonts w:ascii="Arial" w:cs="Arial" w:eastAsia="Arial" w:hAnsi="Arial"/>
                <w:sz w:val="22"/>
                <w:szCs w:val="22"/>
                <w:color w:val="008000"/>
                <w:w w:val="93"/>
                <w:vertAlign w:val="superscript"/>
              </w:rPr>
              <w:t>(1)(2)</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vMerge w:val="restart"/>
          </w:tcPr>
          <w:p>
            <w:pPr>
              <w:jc w:val="center"/>
              <w:ind w:left="182"/>
              <w:spacing w:after="0"/>
              <w:rPr>
                <w:sz w:val="20"/>
                <w:szCs w:val="20"/>
                <w:color w:val="auto"/>
              </w:rPr>
            </w:pPr>
            <w:r>
              <w:rPr>
                <w:rFonts w:ascii="Arial" w:cs="Arial" w:eastAsia="Arial" w:hAnsi="Arial"/>
                <w:sz w:val="18"/>
                <w:szCs w:val="18"/>
                <w:color w:val="0000FF"/>
                <w:w w:val="87"/>
              </w:rPr>
              <w:t>95,606</w:t>
            </w:r>
          </w:p>
        </w:tc>
        <w:tc>
          <w:tcPr>
            <w:tcW w:w="760" w:type="dxa"/>
            <w:vAlign w:val="bottom"/>
          </w:tcPr>
          <w:p>
            <w:pPr>
              <w:spacing w:after="0"/>
              <w:rPr>
                <w:sz w:val="18"/>
                <w:szCs w:val="18"/>
                <w:color w:val="auto"/>
              </w:rPr>
            </w:pPr>
          </w:p>
        </w:tc>
        <w:tc>
          <w:tcPr>
            <w:tcW w:w="560" w:type="dxa"/>
            <w:vAlign w:val="bottom"/>
            <w:vMerge w:val="restart"/>
          </w:tcPr>
          <w:p>
            <w:pPr>
              <w:spacing w:after="0"/>
              <w:rPr>
                <w:sz w:val="20"/>
                <w:szCs w:val="20"/>
                <w:color w:val="auto"/>
              </w:rPr>
            </w:pPr>
            <w:r>
              <w:rPr>
                <w:rFonts w:ascii="Arial" w:cs="Arial" w:eastAsia="Arial" w:hAnsi="Arial"/>
                <w:sz w:val="18"/>
                <w:szCs w:val="18"/>
                <w:color w:val="0000FF"/>
              </w:rPr>
              <w:t>I</w:t>
            </w:r>
          </w:p>
        </w:tc>
        <w:tc>
          <w:tcPr>
            <w:tcW w:w="1160" w:type="dxa"/>
            <w:vAlign w:val="bottom"/>
            <w:gridSpan w:val="3"/>
          </w:tcPr>
          <w:p>
            <w:pPr>
              <w:ind w:left="20"/>
              <w:spacing w:after="0"/>
              <w:rPr>
                <w:sz w:val="20"/>
                <w:szCs w:val="20"/>
                <w:color w:val="auto"/>
              </w:rPr>
            </w:pPr>
            <w:r>
              <w:rPr>
                <w:rFonts w:ascii="Arial" w:cs="Arial" w:eastAsia="Arial" w:hAnsi="Arial"/>
                <w:sz w:val="18"/>
                <w:szCs w:val="18"/>
                <w:color w:val="0000FF"/>
              </w:rPr>
              <w:t>Directional</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160" w:type="dxa"/>
            <w:vAlign w:val="bottom"/>
            <w:gridSpan w:val="3"/>
            <w:vMerge w:val="restart"/>
          </w:tcPr>
          <w:p>
            <w:pPr>
              <w:ind w:left="20"/>
              <w:spacing w:after="0"/>
              <w:rPr>
                <w:sz w:val="20"/>
                <w:szCs w:val="20"/>
                <w:color w:val="auto"/>
              </w:rPr>
            </w:pPr>
            <w:r>
              <w:rPr>
                <w:rFonts w:ascii="Arial" w:cs="Arial" w:eastAsia="Arial" w:hAnsi="Arial"/>
                <w:sz w:val="18"/>
                <w:szCs w:val="18"/>
                <w:color w:val="0000FF"/>
                <w:w w:val="99"/>
              </w:rPr>
              <w:t>Disequilibrium</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16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60" w:type="dxa"/>
            <w:vAlign w:val="bottom"/>
            <w:gridSpan w:val="3"/>
          </w:tcPr>
          <w:p>
            <w:pPr>
              <w:ind w:left="20"/>
              <w:spacing w:after="0"/>
              <w:rPr>
                <w:sz w:val="20"/>
                <w:szCs w:val="20"/>
                <w:color w:val="auto"/>
              </w:rPr>
            </w:pPr>
            <w:r>
              <w:rPr>
                <w:rFonts w:ascii="Arial" w:cs="Arial" w:eastAsia="Arial" w:hAnsi="Arial"/>
                <w:sz w:val="18"/>
                <w:szCs w:val="18"/>
                <w:color w:val="0000FF"/>
              </w:rPr>
              <w:t>Fund, L.P.</w:t>
            </w:r>
            <w:r>
              <w:rPr>
                <w:rFonts w:ascii="Arial" w:cs="Arial" w:eastAsia="Arial" w:hAnsi="Arial"/>
                <w:sz w:val="22"/>
                <w:szCs w:val="22"/>
                <w:color w:val="008000"/>
                <w:vertAlign w:val="superscript"/>
              </w:rPr>
              <w:t>(6)</w:t>
            </w: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4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ind w:left="20"/>
              <w:spacing w:after="0"/>
              <w:rPr>
                <w:sz w:val="20"/>
                <w:szCs w:val="20"/>
                <w:color w:val="auto"/>
              </w:rPr>
            </w:pPr>
            <w:r>
              <w:rPr>
                <w:rFonts w:ascii="Arial" w:cs="Arial" w:eastAsia="Arial" w:hAnsi="Arial"/>
                <w:sz w:val="18"/>
                <w:szCs w:val="18"/>
                <w:color w:val="0000FF"/>
              </w:rPr>
              <w:t>By:</w:t>
            </w:r>
          </w:p>
        </w:tc>
        <w:tc>
          <w:tcPr>
            <w:tcW w:w="7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w w:val="93"/>
              </w:rPr>
              <w:t>Common Stock</w:t>
            </w:r>
            <w:r>
              <w:rPr>
                <w:rFonts w:ascii="Arial" w:cs="Arial" w:eastAsia="Arial" w:hAnsi="Arial"/>
                <w:sz w:val="22"/>
                <w:szCs w:val="22"/>
                <w:color w:val="008000"/>
                <w:w w:val="93"/>
                <w:vertAlign w:val="superscript"/>
              </w:rPr>
              <w:t>(1)(2)</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540" w:type="dxa"/>
            <w:vAlign w:val="bottom"/>
            <w:gridSpan w:val="2"/>
            <w:vMerge w:val="restart"/>
          </w:tcPr>
          <w:p>
            <w:pPr>
              <w:jc w:val="center"/>
              <w:ind w:right="459"/>
              <w:spacing w:after="0"/>
              <w:rPr>
                <w:sz w:val="20"/>
                <w:szCs w:val="20"/>
                <w:color w:val="auto"/>
              </w:rPr>
            </w:pPr>
            <w:r>
              <w:rPr>
                <w:rFonts w:ascii="Arial" w:cs="Arial" w:eastAsia="Arial" w:hAnsi="Arial"/>
                <w:sz w:val="18"/>
                <w:szCs w:val="18"/>
                <w:color w:val="0000FF"/>
                <w:w w:val="87"/>
              </w:rPr>
              <w:t>1,305,269</w:t>
            </w:r>
          </w:p>
        </w:tc>
        <w:tc>
          <w:tcPr>
            <w:tcW w:w="560" w:type="dxa"/>
            <w:vAlign w:val="bottom"/>
            <w:vMerge w:val="restart"/>
          </w:tcPr>
          <w:p>
            <w:pPr>
              <w:spacing w:after="0"/>
              <w:rPr>
                <w:sz w:val="20"/>
                <w:szCs w:val="20"/>
                <w:color w:val="auto"/>
              </w:rPr>
            </w:pPr>
            <w:r>
              <w:rPr>
                <w:rFonts w:ascii="Arial" w:cs="Arial" w:eastAsia="Arial" w:hAnsi="Arial"/>
                <w:sz w:val="18"/>
                <w:szCs w:val="18"/>
                <w:color w:val="0000FF"/>
              </w:rPr>
              <w:t>I</w:t>
            </w:r>
          </w:p>
        </w:tc>
        <w:tc>
          <w:tcPr>
            <w:tcW w:w="1160" w:type="dxa"/>
            <w:vAlign w:val="bottom"/>
            <w:gridSpan w:val="3"/>
          </w:tcPr>
          <w:p>
            <w:pPr>
              <w:ind w:left="20"/>
              <w:spacing w:after="0"/>
              <w:rPr>
                <w:sz w:val="20"/>
                <w:szCs w:val="20"/>
                <w:color w:val="auto"/>
              </w:rPr>
            </w:pPr>
            <w:r>
              <w:rPr>
                <w:rFonts w:ascii="Arial" w:cs="Arial" w:eastAsia="Arial" w:hAnsi="Arial"/>
                <w:sz w:val="18"/>
                <w:szCs w:val="18"/>
                <w:color w:val="0000FF"/>
              </w:rPr>
              <w:t>Transamerica</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160" w:type="dxa"/>
            <w:vAlign w:val="bottom"/>
            <w:gridSpan w:val="3"/>
            <w:vMerge w:val="restart"/>
          </w:tcPr>
          <w:p>
            <w:pPr>
              <w:ind w:left="20"/>
              <w:spacing w:after="0"/>
              <w:rPr>
                <w:sz w:val="20"/>
                <w:szCs w:val="20"/>
                <w:color w:val="auto"/>
              </w:rPr>
            </w:pPr>
            <w:r>
              <w:rPr>
                <w:rFonts w:ascii="Arial" w:cs="Arial" w:eastAsia="Arial" w:hAnsi="Arial"/>
                <w:sz w:val="18"/>
                <w:szCs w:val="18"/>
                <w:color w:val="0000FF"/>
              </w:rPr>
              <w:t>Large Cap</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16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gridSpan w:val="2"/>
          </w:tcPr>
          <w:p>
            <w:pPr>
              <w:ind w:left="20"/>
              <w:spacing w:after="0"/>
              <w:rPr>
                <w:sz w:val="20"/>
                <w:szCs w:val="20"/>
                <w:color w:val="auto"/>
              </w:rPr>
            </w:pPr>
            <w:r>
              <w:rPr>
                <w:rFonts w:ascii="Arial" w:cs="Arial" w:eastAsia="Arial" w:hAnsi="Arial"/>
                <w:sz w:val="18"/>
                <w:szCs w:val="18"/>
                <w:color w:val="0000FF"/>
                <w:w w:val="99"/>
              </w:rPr>
              <w:t>Value Fund</w:t>
            </w:r>
            <w:r>
              <w:rPr>
                <w:rFonts w:ascii="Arial" w:cs="Arial" w:eastAsia="Arial" w:hAnsi="Arial"/>
                <w:sz w:val="22"/>
                <w:szCs w:val="22"/>
                <w:color w:val="008000"/>
                <w:w w:val="99"/>
                <w:vertAlign w:val="superscript"/>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60" w:type="dxa"/>
            <w:vAlign w:val="bottom"/>
            <w:gridSpan w:val="3"/>
          </w:tcPr>
          <w:p>
            <w:pPr>
              <w:ind w:left="20"/>
              <w:spacing w:after="0"/>
              <w:rPr>
                <w:sz w:val="20"/>
                <w:szCs w:val="20"/>
                <w:color w:val="auto"/>
              </w:rPr>
            </w:pPr>
            <w:r>
              <w:rPr>
                <w:rFonts w:ascii="Arial" w:cs="Arial" w:eastAsia="Arial" w:hAnsi="Arial"/>
                <w:sz w:val="18"/>
                <w:szCs w:val="18"/>
                <w:color w:val="0000FF"/>
              </w:rPr>
              <w:t>By: Levcap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line="217" w:lineRule="exact"/>
              <w:rPr>
                <w:sz w:val="20"/>
                <w:szCs w:val="20"/>
                <w:color w:val="auto"/>
              </w:rPr>
            </w:pPr>
            <w:r>
              <w:rPr>
                <w:rFonts w:ascii="Arial" w:cs="Arial" w:eastAsia="Arial" w:hAnsi="Arial"/>
                <w:sz w:val="18"/>
                <w:szCs w:val="18"/>
                <w:color w:val="0000FF"/>
                <w:w w:val="93"/>
              </w:rPr>
              <w:t>Common Stock</w:t>
            </w:r>
            <w:r>
              <w:rPr>
                <w:rFonts w:ascii="Arial" w:cs="Arial" w:eastAsia="Arial" w:hAnsi="Arial"/>
                <w:sz w:val="22"/>
                <w:szCs w:val="22"/>
                <w:color w:val="008000"/>
                <w:w w:val="93"/>
                <w:vertAlign w:val="superscript"/>
              </w:rPr>
              <w:t>(1)(2)</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jc w:val="center"/>
              <w:ind w:left="182"/>
              <w:spacing w:after="0"/>
              <w:rPr>
                <w:sz w:val="20"/>
                <w:szCs w:val="20"/>
                <w:color w:val="auto"/>
              </w:rPr>
            </w:pPr>
            <w:r>
              <w:rPr>
                <w:rFonts w:ascii="Arial" w:cs="Arial" w:eastAsia="Arial" w:hAnsi="Arial"/>
                <w:sz w:val="18"/>
                <w:szCs w:val="18"/>
                <w:color w:val="0000FF"/>
                <w:w w:val="87"/>
              </w:rPr>
              <w:t>56,820</w:t>
            </w:r>
          </w:p>
        </w:tc>
        <w:tc>
          <w:tcPr>
            <w:tcW w:w="76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0000FF"/>
              </w:rPr>
              <w:t>I</w:t>
            </w:r>
          </w:p>
        </w:tc>
        <w:tc>
          <w:tcPr>
            <w:tcW w:w="1160" w:type="dxa"/>
            <w:vAlign w:val="bottom"/>
            <w:gridSpan w:val="3"/>
          </w:tcPr>
          <w:p>
            <w:pPr>
              <w:ind w:left="20"/>
              <w:spacing w:after="0"/>
              <w:rPr>
                <w:sz w:val="20"/>
                <w:szCs w:val="20"/>
                <w:color w:val="auto"/>
              </w:rPr>
            </w:pPr>
            <w:r>
              <w:rPr>
                <w:rFonts w:ascii="Arial" w:cs="Arial" w:eastAsia="Arial" w:hAnsi="Arial"/>
                <w:sz w:val="18"/>
                <w:szCs w:val="18"/>
                <w:color w:val="0000FF"/>
              </w:rPr>
              <w:t>Alternative</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gridSpan w:val="2"/>
          </w:tcPr>
          <w:p>
            <w:pPr>
              <w:ind w:left="20"/>
              <w:spacing w:after="0"/>
              <w:rPr>
                <w:sz w:val="20"/>
                <w:szCs w:val="20"/>
                <w:color w:val="auto"/>
              </w:rPr>
            </w:pPr>
            <w:r>
              <w:rPr>
                <w:rFonts w:ascii="Arial" w:cs="Arial" w:eastAsia="Arial" w:hAnsi="Arial"/>
                <w:sz w:val="18"/>
                <w:szCs w:val="18"/>
                <w:color w:val="0000FF"/>
              </w:rPr>
              <w:t>Fund, L.P.</w:t>
            </w:r>
            <w:r>
              <w:rPr>
                <w:rFonts w:ascii="Arial" w:cs="Arial" w:eastAsia="Arial" w:hAnsi="Arial"/>
                <w:sz w:val="22"/>
                <w:szCs w:val="22"/>
                <w:color w:val="008000"/>
                <w:vertAlign w:val="superscript"/>
              </w:rPr>
              <w:t>(7)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w w:val="93"/>
              </w:rPr>
              <w:t>Common Stock</w:t>
            </w:r>
            <w:r>
              <w:rPr>
                <w:rFonts w:ascii="Arial" w:cs="Arial" w:eastAsia="Arial" w:hAnsi="Arial"/>
                <w:sz w:val="22"/>
                <w:szCs w:val="22"/>
                <w:color w:val="008000"/>
                <w:w w:val="93"/>
                <w:vertAlign w:val="superscript"/>
              </w:rPr>
              <w:t>(1)(2)</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80" w:type="dxa"/>
            <w:vAlign w:val="bottom"/>
            <w:vMerge w:val="restart"/>
          </w:tcPr>
          <w:p>
            <w:pPr>
              <w:jc w:val="center"/>
              <w:ind w:left="182"/>
              <w:spacing w:after="0"/>
              <w:rPr>
                <w:sz w:val="20"/>
                <w:szCs w:val="20"/>
                <w:color w:val="auto"/>
              </w:rPr>
            </w:pPr>
            <w:r>
              <w:rPr>
                <w:rFonts w:ascii="Arial" w:cs="Arial" w:eastAsia="Arial" w:hAnsi="Arial"/>
                <w:sz w:val="18"/>
                <w:szCs w:val="18"/>
                <w:color w:val="0000FF"/>
                <w:w w:val="87"/>
              </w:rPr>
              <w:t>19,818</w:t>
            </w:r>
          </w:p>
        </w:tc>
        <w:tc>
          <w:tcPr>
            <w:tcW w:w="760" w:type="dxa"/>
            <w:vAlign w:val="bottom"/>
          </w:tcPr>
          <w:p>
            <w:pPr>
              <w:spacing w:after="0"/>
              <w:rPr>
                <w:sz w:val="22"/>
                <w:szCs w:val="22"/>
                <w:color w:val="auto"/>
              </w:rPr>
            </w:pPr>
          </w:p>
        </w:tc>
        <w:tc>
          <w:tcPr>
            <w:tcW w:w="560" w:type="dxa"/>
            <w:vAlign w:val="bottom"/>
            <w:vMerge w:val="restart"/>
          </w:tcPr>
          <w:p>
            <w:pPr>
              <w:spacing w:after="0"/>
              <w:rPr>
                <w:sz w:val="20"/>
                <w:szCs w:val="20"/>
                <w:color w:val="auto"/>
              </w:rPr>
            </w:pPr>
            <w:r>
              <w:rPr>
                <w:rFonts w:ascii="Arial" w:cs="Arial" w:eastAsia="Arial" w:hAnsi="Arial"/>
                <w:sz w:val="18"/>
                <w:szCs w:val="18"/>
                <w:color w:val="0000FF"/>
              </w:rPr>
              <w:t>I</w:t>
            </w:r>
          </w:p>
        </w:tc>
        <w:tc>
          <w:tcPr>
            <w:tcW w:w="1160" w:type="dxa"/>
            <w:vAlign w:val="bottom"/>
            <w:gridSpan w:val="3"/>
          </w:tcPr>
          <w:p>
            <w:pPr>
              <w:ind w:left="20"/>
              <w:spacing w:after="0"/>
              <w:rPr>
                <w:sz w:val="20"/>
                <w:szCs w:val="20"/>
                <w:color w:val="auto"/>
              </w:rPr>
            </w:pPr>
            <w:r>
              <w:rPr>
                <w:rFonts w:ascii="Arial" w:cs="Arial" w:eastAsia="Arial" w:hAnsi="Arial"/>
                <w:sz w:val="18"/>
                <w:szCs w:val="18"/>
                <w:color w:val="0000FF"/>
              </w:rPr>
              <w:t>By: Safinia</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60" w:type="dxa"/>
            <w:vAlign w:val="bottom"/>
            <w:gridSpan w:val="2"/>
            <w:vMerge w:val="continue"/>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1160" w:type="dxa"/>
            <w:vAlign w:val="bottom"/>
            <w:gridSpan w:val="3"/>
          </w:tcPr>
          <w:p>
            <w:pPr>
              <w:ind w:left="20"/>
              <w:spacing w:after="0"/>
              <w:rPr>
                <w:sz w:val="20"/>
                <w:szCs w:val="20"/>
                <w:color w:val="auto"/>
              </w:rPr>
            </w:pPr>
            <w:r>
              <w:rPr>
                <w:rFonts w:ascii="Arial" w:cs="Arial" w:eastAsia="Arial" w:hAnsi="Arial"/>
                <w:sz w:val="18"/>
                <w:szCs w:val="18"/>
                <w:color w:val="0000FF"/>
              </w:rPr>
              <w:t>Partners, L.P.</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ind w:left="20"/>
              <w:spacing w:after="0"/>
              <w:rPr>
                <w:sz w:val="20"/>
                <w:szCs w:val="20"/>
                <w:color w:val="auto"/>
              </w:rPr>
            </w:pPr>
            <w:r>
              <w:rPr>
                <w:rFonts w:ascii="Arial" w:cs="Arial" w:eastAsia="Arial" w:hAnsi="Arial"/>
                <w:sz w:val="11"/>
                <w:szCs w:val="11"/>
                <w:color w:val="008000"/>
              </w:rPr>
              <w:t>(8)</w:t>
            </w: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gridSpan w:val="2"/>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60" w:type="dxa"/>
            <w:vAlign w:val="bottom"/>
            <w:gridSpan w:val="3"/>
          </w:tcPr>
          <w:p>
            <w:pPr>
              <w:ind w:left="20"/>
              <w:spacing w:after="0"/>
              <w:rPr>
                <w:sz w:val="20"/>
                <w:szCs w:val="20"/>
                <w:color w:val="auto"/>
              </w:rPr>
            </w:pPr>
            <w:r>
              <w:rPr>
                <w:rFonts w:ascii="Arial" w:cs="Arial" w:eastAsia="Arial" w:hAnsi="Arial"/>
                <w:sz w:val="18"/>
                <w:szCs w:val="18"/>
                <w:color w:val="0000FF"/>
                <w:w w:val="99"/>
              </w:rPr>
              <w:t>By: Spouse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line="217" w:lineRule="exact"/>
              <w:rPr>
                <w:sz w:val="20"/>
                <w:szCs w:val="20"/>
                <w:color w:val="auto"/>
              </w:rPr>
            </w:pPr>
            <w:r>
              <w:rPr>
                <w:rFonts w:ascii="Arial" w:cs="Arial" w:eastAsia="Arial" w:hAnsi="Arial"/>
                <w:sz w:val="18"/>
                <w:szCs w:val="18"/>
                <w:color w:val="0000FF"/>
                <w:w w:val="93"/>
              </w:rPr>
              <w:t>Common Stock</w:t>
            </w:r>
            <w:r>
              <w:rPr>
                <w:rFonts w:ascii="Arial" w:cs="Arial" w:eastAsia="Arial" w:hAnsi="Arial"/>
                <w:sz w:val="22"/>
                <w:szCs w:val="22"/>
                <w:color w:val="008000"/>
                <w:w w:val="93"/>
                <w:vertAlign w:val="superscript"/>
              </w:rPr>
              <w:t>(1)(2)</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jc w:val="center"/>
              <w:ind w:left="182"/>
              <w:spacing w:after="0"/>
              <w:rPr>
                <w:sz w:val="20"/>
                <w:szCs w:val="20"/>
                <w:color w:val="auto"/>
              </w:rPr>
            </w:pPr>
            <w:r>
              <w:rPr>
                <w:rFonts w:ascii="Arial" w:cs="Arial" w:eastAsia="Arial" w:hAnsi="Arial"/>
                <w:sz w:val="18"/>
                <w:szCs w:val="18"/>
                <w:color w:val="0000FF"/>
                <w:w w:val="88"/>
              </w:rPr>
              <w:t>5,000</w:t>
            </w:r>
          </w:p>
        </w:tc>
        <w:tc>
          <w:tcPr>
            <w:tcW w:w="76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0000FF"/>
              </w:rPr>
              <w:t>I</w:t>
            </w:r>
          </w:p>
        </w:tc>
        <w:tc>
          <w:tcPr>
            <w:tcW w:w="1160" w:type="dxa"/>
            <w:vAlign w:val="bottom"/>
            <w:gridSpan w:val="3"/>
          </w:tcPr>
          <w:p>
            <w:pPr>
              <w:ind w:left="20"/>
              <w:spacing w:after="0"/>
              <w:rPr>
                <w:sz w:val="20"/>
                <w:szCs w:val="20"/>
                <w:color w:val="auto"/>
              </w:rPr>
            </w:pPr>
            <w:r>
              <w:rPr>
                <w:rFonts w:ascii="Arial" w:cs="Arial" w:eastAsia="Arial" w:hAnsi="Arial"/>
                <w:sz w:val="18"/>
                <w:szCs w:val="18"/>
                <w:color w:val="0000FF"/>
              </w:rPr>
              <w:t>John A.</w:t>
            </w: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3"/>
          </w:tcPr>
          <w:p>
            <w:pPr>
              <w:ind w:left="20"/>
              <w:spacing w:after="0"/>
              <w:rPr>
                <w:sz w:val="20"/>
                <w:szCs w:val="20"/>
                <w:color w:val="auto"/>
              </w:rPr>
            </w:pPr>
            <w:r>
              <w:rPr>
                <w:rFonts w:ascii="Arial" w:cs="Arial" w:eastAsia="Arial" w:hAnsi="Arial"/>
                <w:sz w:val="18"/>
                <w:szCs w:val="18"/>
                <w:color w:val="0000FF"/>
              </w:rPr>
              <w:t>Levin</w:t>
            </w:r>
            <w:r>
              <w:rPr>
                <w:rFonts w:ascii="Arial" w:cs="Arial" w:eastAsia="Arial" w:hAnsi="Arial"/>
                <w:sz w:val="22"/>
                <w:szCs w:val="22"/>
                <w:color w:val="008000"/>
                <w:vertAlign w:val="superscript"/>
              </w:rPr>
              <w:t>(9)</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1"/>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6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9"/>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7. Title and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760" w:type="dxa"/>
            <w:vAlign w:val="bottom"/>
          </w:tcPr>
          <w:p>
            <w:pPr>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36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Amount of</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w w:val="93"/>
              </w:rPr>
              <w:t>Form:</w:t>
            </w:r>
          </w:p>
        </w:tc>
        <w:tc>
          <w:tcPr>
            <w:tcW w:w="36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Underlying</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Security (Instr. 3</w:t>
            </w:r>
          </w:p>
        </w:tc>
        <w:tc>
          <w:tcPr>
            <w:tcW w:w="78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and 4)</w:t>
            </w:r>
          </w:p>
        </w:tc>
        <w:tc>
          <w:tcPr>
            <w:tcW w:w="78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ind w:left="160"/>
              <w:spacing w:after="0"/>
              <w:rPr>
                <w:sz w:val="20"/>
                <w:szCs w:val="20"/>
                <w:color w:val="auto"/>
              </w:rPr>
            </w:pPr>
            <w:r>
              <w:rPr>
                <w:rFonts w:ascii="Arial" w:cs="Arial" w:eastAsia="Arial" w:hAnsi="Arial"/>
                <w:sz w:val="12"/>
                <w:szCs w:val="12"/>
                <w:b w:val="1"/>
                <w:bCs w:val="1"/>
                <w:color w:val="auto"/>
              </w:rPr>
              <w:t>Amount</w:t>
            </w: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Number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7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gridSpan w:val="3"/>
          </w:tcPr>
          <w:p>
            <w:pPr>
              <w:ind w:left="60"/>
              <w:spacing w:after="0"/>
              <w:rPr>
                <w:sz w:val="20"/>
                <w:szCs w:val="20"/>
                <w:color w:val="auto"/>
              </w:rPr>
            </w:pPr>
            <w:r>
              <w:rPr>
                <w:rFonts w:ascii="Arial" w:cs="Arial" w:eastAsia="Arial" w:hAnsi="Arial"/>
                <w:sz w:val="12"/>
                <w:szCs w:val="12"/>
                <w:b w:val="1"/>
                <w:bCs w:val="1"/>
                <w:color w:val="auto"/>
              </w:rPr>
              <w:t>Code  V</w:t>
            </w: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4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740" w:type="dxa"/>
            <w:vAlign w:val="bottom"/>
          </w:tcPr>
          <w:p>
            <w:pPr>
              <w:ind w:left="160"/>
              <w:spacing w:after="0"/>
              <w:rPr>
                <w:sz w:val="20"/>
                <w:szCs w:val="20"/>
                <w:color w:val="auto"/>
              </w:rPr>
            </w:pPr>
            <w:r>
              <w:rPr>
                <w:rFonts w:ascii="Arial" w:cs="Arial" w:eastAsia="Arial" w:hAnsi="Arial"/>
                <w:sz w:val="12"/>
                <w:szCs w:val="12"/>
                <w:b w:val="1"/>
                <w:bCs w:val="1"/>
                <w:color w:val="auto"/>
              </w:rPr>
              <w:t>Shares</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7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420"/>
          </w:cols>
          <w:pgMar w:left="240" w:top="226" w:right="239" w:bottom="0" w:gutter="0" w:footer="0" w:header="0"/>
          <w:type w:val="continuous"/>
        </w:sectPr>
      </w:pPr>
    </w:p>
    <w:p>
      <w:pPr>
        <w:ind w:left="120"/>
        <w:spacing w:after="0"/>
        <w:rPr>
          <w:rFonts w:ascii="Arial" w:cs="Arial" w:eastAsia="Arial" w:hAnsi="Arial"/>
          <w:sz w:val="19"/>
          <w:szCs w:val="19"/>
          <w:u w:val="single" w:color="auto"/>
          <w:color w:val="0000EE"/>
        </w:rPr>
      </w:pPr>
      <w:hyperlink r:id="rId12">
        <w:r>
          <w:rPr>
            <w:rFonts w:ascii="Arial" w:cs="Arial" w:eastAsia="Arial" w:hAnsi="Arial"/>
            <w:sz w:val="19"/>
            <w:szCs w:val="19"/>
            <w:u w:val="single" w:color="auto"/>
            <w:color w:val="0000EE"/>
          </w:rPr>
          <w:t>LEVIN CAPITAL STRATEGIES, L.P.</w:t>
        </w:r>
      </w:hyperlink>
    </w:p>
    <w:p>
      <w:pPr>
        <w:sectPr>
          <w:pgSz w:w="11900" w:h="16838" w:orient="portrait"/>
          <w:cols w:equalWidth="0" w:num="1">
            <w:col w:w="11420"/>
          </w:cols>
          <w:pgMar w:left="240" w:top="226" w:right="239" w:bottom="0" w:gutter="0" w:footer="0" w:header="0"/>
          <w:type w:val="continuous"/>
        </w:sectPr>
      </w:pPr>
    </w:p>
    <w:bookmarkStart w:id="1" w:name="page2"/>
    <w:bookmarkEnd w:id="1"/>
    <w:p>
      <w:pPr>
        <w:spacing w:after="0" w:line="9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105156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4175" cy="10515600"/>
                    </a:xfrm>
                    <a:prstGeom prst="rect">
                      <a:avLst/>
                    </a:prstGeom>
                    <a:noFill/>
                  </pic:spPr>
                </pic:pic>
              </a:graphicData>
            </a:graphic>
          </wp:anchor>
        </w:drawing>
      </w:r>
    </w:p>
    <w:tbl>
      <w:tblPr>
        <w:tblLayout w:type="fixed"/>
        <w:tblInd w:w="2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(Last)</w:t>
            </w:r>
          </w:p>
        </w:tc>
        <w:tc>
          <w:tcPr>
            <w:tcW w:w="1660" w:type="dxa"/>
            <w:vAlign w:val="bottom"/>
          </w:tcPr>
          <w:p>
            <w:pPr>
              <w:ind w:left="200"/>
              <w:spacing w:after="0"/>
              <w:rPr>
                <w:sz w:val="20"/>
                <w:szCs w:val="20"/>
                <w:color w:val="auto"/>
              </w:rPr>
            </w:pPr>
            <w:r>
              <w:rPr>
                <w:rFonts w:ascii="Arial" w:cs="Arial" w:eastAsia="Arial" w:hAnsi="Arial"/>
                <w:sz w:val="14"/>
                <w:szCs w:val="14"/>
                <w:color w:val="auto"/>
              </w:rPr>
              <w:t>(First)</w:t>
            </w:r>
          </w:p>
        </w:tc>
        <w:tc>
          <w:tcPr>
            <w:tcW w:w="1520" w:type="dxa"/>
            <w:vAlign w:val="bottom"/>
            <w:gridSpan w:val="2"/>
          </w:tcPr>
          <w:p>
            <w:pPr>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0000FF"/>
              </w:rPr>
              <w:t>595 MADISON AVENUE</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17TH FLOOR</w:t>
            </w:r>
          </w:p>
        </w:tc>
        <w:tc>
          <w:tcPr>
            <w:tcW w:w="16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6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NEW YORK</w:t>
            </w:r>
          </w:p>
        </w:tc>
        <w:tc>
          <w:tcPr>
            <w:tcW w:w="1660" w:type="dxa"/>
            <w:vAlign w:val="bottom"/>
          </w:tcPr>
          <w:p>
            <w:pPr>
              <w:ind w:left="200"/>
              <w:spacing w:after="0"/>
              <w:rPr>
                <w:sz w:val="20"/>
                <w:szCs w:val="20"/>
                <w:color w:val="auto"/>
              </w:rPr>
            </w:pPr>
            <w:r>
              <w:rPr>
                <w:rFonts w:ascii="Arial" w:cs="Arial" w:eastAsia="Arial" w:hAnsi="Arial"/>
                <w:sz w:val="18"/>
                <w:szCs w:val="18"/>
                <w:color w:val="0000FF"/>
              </w:rPr>
              <w:t>NY</w:t>
            </w:r>
          </w:p>
        </w:tc>
        <w:tc>
          <w:tcPr>
            <w:tcW w:w="1420" w:type="dxa"/>
            <w:vAlign w:val="bottom"/>
          </w:tcPr>
          <w:p>
            <w:pPr>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660" w:type="dxa"/>
            <w:vAlign w:val="bottom"/>
          </w:tcPr>
          <w:p>
            <w:pPr>
              <w:ind w:left="200"/>
              <w:spacing w:after="0"/>
              <w:rPr>
                <w:sz w:val="20"/>
                <w:szCs w:val="20"/>
                <w:color w:val="auto"/>
              </w:rPr>
            </w:pPr>
            <w:r>
              <w:rPr>
                <w:rFonts w:ascii="Arial" w:cs="Arial" w:eastAsia="Arial" w:hAnsi="Arial"/>
                <w:sz w:val="14"/>
                <w:szCs w:val="14"/>
                <w:color w:val="auto"/>
              </w:rPr>
              <w:t>(State)</w:t>
            </w:r>
          </w:p>
        </w:tc>
        <w:tc>
          <w:tcPr>
            <w:tcW w:w="1520" w:type="dxa"/>
            <w:vAlign w:val="bottom"/>
            <w:gridSpan w:val="2"/>
          </w:tcPr>
          <w:p>
            <w:pPr>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2920" w:type="dxa"/>
            <w:vAlign w:val="bottom"/>
            <w:tcBorders>
              <w:bottom w:val="single" w:sz="8" w:color="2C2C2C"/>
            </w:tcBorders>
            <w:gridSpan w:val="2"/>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3020" w:type="dxa"/>
            <w:vAlign w:val="bottom"/>
            <w:gridSpan w:val="3"/>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920" w:type="dxa"/>
            <w:vAlign w:val="bottom"/>
            <w:tcBorders>
              <w:bottom w:val="single" w:sz="8" w:color="0000EE"/>
            </w:tcBorders>
            <w:gridSpan w:val="2"/>
          </w:tcPr>
          <w:p>
            <w:pPr>
              <w:spacing w:after="0" w:line="224" w:lineRule="exact"/>
              <w:rPr>
                <w:rFonts w:ascii="Arial" w:cs="Arial" w:eastAsia="Arial" w:hAnsi="Arial"/>
                <w:sz w:val="22"/>
                <w:szCs w:val="22"/>
                <w:color w:val="0000EE"/>
                <w:w w:val="89"/>
              </w:rPr>
            </w:pPr>
            <w:hyperlink r:id="rId15">
              <w:r>
                <w:rPr>
                  <w:rFonts w:ascii="Arial" w:cs="Arial" w:eastAsia="Arial" w:hAnsi="Arial"/>
                  <w:sz w:val="22"/>
                  <w:szCs w:val="22"/>
                  <w:color w:val="0000EE"/>
                  <w:w w:val="89"/>
                </w:rPr>
                <w:t>Levin Capital Strategies GP, LLC</w:t>
              </w:r>
            </w:hyperlink>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66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(Last)</w:t>
            </w:r>
          </w:p>
        </w:tc>
        <w:tc>
          <w:tcPr>
            <w:tcW w:w="1660" w:type="dxa"/>
            <w:vAlign w:val="bottom"/>
          </w:tcPr>
          <w:p>
            <w:pPr>
              <w:ind w:left="200"/>
              <w:spacing w:after="0"/>
              <w:rPr>
                <w:sz w:val="20"/>
                <w:szCs w:val="20"/>
                <w:color w:val="auto"/>
              </w:rPr>
            </w:pPr>
            <w:r>
              <w:rPr>
                <w:rFonts w:ascii="Arial" w:cs="Arial" w:eastAsia="Arial" w:hAnsi="Arial"/>
                <w:sz w:val="14"/>
                <w:szCs w:val="14"/>
                <w:color w:val="auto"/>
              </w:rPr>
              <w:t>(First)</w:t>
            </w:r>
          </w:p>
        </w:tc>
        <w:tc>
          <w:tcPr>
            <w:tcW w:w="1520" w:type="dxa"/>
            <w:vAlign w:val="bottom"/>
            <w:gridSpan w:val="2"/>
          </w:tcPr>
          <w:p>
            <w:pPr>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0000FF"/>
              </w:rPr>
              <w:t>595 MADISON AVENUE</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17TH FLOOR</w:t>
            </w:r>
          </w:p>
        </w:tc>
        <w:tc>
          <w:tcPr>
            <w:tcW w:w="16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6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NEW YORK</w:t>
            </w:r>
          </w:p>
        </w:tc>
        <w:tc>
          <w:tcPr>
            <w:tcW w:w="1660" w:type="dxa"/>
            <w:vAlign w:val="bottom"/>
          </w:tcPr>
          <w:p>
            <w:pPr>
              <w:ind w:left="200"/>
              <w:spacing w:after="0"/>
              <w:rPr>
                <w:sz w:val="20"/>
                <w:szCs w:val="20"/>
                <w:color w:val="auto"/>
              </w:rPr>
            </w:pPr>
            <w:r>
              <w:rPr>
                <w:rFonts w:ascii="Arial" w:cs="Arial" w:eastAsia="Arial" w:hAnsi="Arial"/>
                <w:sz w:val="18"/>
                <w:szCs w:val="18"/>
                <w:color w:val="0000FF"/>
              </w:rPr>
              <w:t>NY</w:t>
            </w:r>
          </w:p>
        </w:tc>
        <w:tc>
          <w:tcPr>
            <w:tcW w:w="1420" w:type="dxa"/>
            <w:vAlign w:val="bottom"/>
          </w:tcPr>
          <w:p>
            <w:pPr>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660" w:type="dxa"/>
            <w:vAlign w:val="bottom"/>
          </w:tcPr>
          <w:p>
            <w:pPr>
              <w:ind w:left="200"/>
              <w:spacing w:after="0"/>
              <w:rPr>
                <w:sz w:val="20"/>
                <w:szCs w:val="20"/>
                <w:color w:val="auto"/>
              </w:rPr>
            </w:pPr>
            <w:r>
              <w:rPr>
                <w:rFonts w:ascii="Arial" w:cs="Arial" w:eastAsia="Arial" w:hAnsi="Arial"/>
                <w:sz w:val="14"/>
                <w:szCs w:val="14"/>
                <w:color w:val="auto"/>
              </w:rPr>
              <w:t>(State)</w:t>
            </w:r>
          </w:p>
        </w:tc>
        <w:tc>
          <w:tcPr>
            <w:tcW w:w="1520" w:type="dxa"/>
            <w:vAlign w:val="bottom"/>
            <w:gridSpan w:val="2"/>
          </w:tcPr>
          <w:p>
            <w:pPr>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6">
        <w:r>
          <w:rPr>
            <w:rFonts w:ascii="Arial" w:cs="Arial" w:eastAsia="Arial" w:hAnsi="Arial"/>
            <w:sz w:val="22"/>
            <w:szCs w:val="22"/>
            <w:u w:val="single" w:color="auto"/>
            <w:color w:val="0000EE"/>
          </w:rPr>
          <w:t>Bi-Directional Disequilibrium Fund, L.P.</w:t>
        </w:r>
      </w:hyperlink>
    </w:p>
    <w:p>
      <w:pPr>
        <w:spacing w:after="0" w:line="317"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(Last)</w:t>
            </w:r>
          </w:p>
        </w:tc>
        <w:tc>
          <w:tcPr>
            <w:tcW w:w="1520" w:type="dxa"/>
            <w:vAlign w:val="bottom"/>
            <w:gridSpan w:val="4"/>
          </w:tcPr>
          <w:p>
            <w:pPr>
              <w:ind w:left="200"/>
              <w:spacing w:after="0"/>
              <w:rPr>
                <w:sz w:val="20"/>
                <w:szCs w:val="20"/>
                <w:color w:val="auto"/>
              </w:rPr>
            </w:pPr>
            <w:r>
              <w:rPr>
                <w:rFonts w:ascii="Arial" w:cs="Arial" w:eastAsia="Arial" w:hAnsi="Arial"/>
                <w:sz w:val="14"/>
                <w:szCs w:val="14"/>
                <w:color w:val="auto"/>
              </w:rPr>
              <w:t>(First)</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80" w:type="dxa"/>
            <w:vAlign w:val="bottom"/>
            <w:gridSpan w:val="5"/>
          </w:tcPr>
          <w:p>
            <w:pPr>
              <w:spacing w:after="0"/>
              <w:rPr>
                <w:sz w:val="20"/>
                <w:szCs w:val="20"/>
                <w:color w:val="auto"/>
              </w:rPr>
            </w:pPr>
            <w:r>
              <w:rPr>
                <w:rFonts w:ascii="Arial" w:cs="Arial" w:eastAsia="Arial" w:hAnsi="Arial"/>
                <w:sz w:val="18"/>
                <w:szCs w:val="18"/>
                <w:color w:val="0000FF"/>
              </w:rPr>
              <w:t>595 MADISON AVENUE</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17TH FLOOR</w:t>
            </w:r>
          </w:p>
        </w:tc>
        <w:tc>
          <w:tcPr>
            <w:tcW w:w="5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5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NEW YORK</w:t>
            </w:r>
          </w:p>
        </w:tc>
        <w:tc>
          <w:tcPr>
            <w:tcW w:w="1520" w:type="dxa"/>
            <w:vAlign w:val="bottom"/>
            <w:gridSpan w:val="4"/>
          </w:tcPr>
          <w:p>
            <w:pPr>
              <w:ind w:left="200"/>
              <w:spacing w:after="0"/>
              <w:rPr>
                <w:sz w:val="20"/>
                <w:szCs w:val="20"/>
                <w:color w:val="auto"/>
              </w:rPr>
            </w:pPr>
            <w:r>
              <w:rPr>
                <w:rFonts w:ascii="Arial" w:cs="Arial" w:eastAsia="Arial" w:hAnsi="Arial"/>
                <w:sz w:val="18"/>
                <w:szCs w:val="18"/>
                <w:color w:val="0000FF"/>
              </w:rPr>
              <w:t>NY</w:t>
            </w:r>
          </w:p>
        </w:tc>
        <w:tc>
          <w:tcPr>
            <w:tcW w:w="1560" w:type="dxa"/>
            <w:vAlign w:val="bottom"/>
          </w:tcPr>
          <w:p>
            <w:pPr>
              <w:ind w:left="14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520" w:type="dxa"/>
            <w:vAlign w:val="bottom"/>
            <w:gridSpan w:val="4"/>
          </w:tcPr>
          <w:p>
            <w:pPr>
              <w:ind w:left="200"/>
              <w:spacing w:after="0"/>
              <w:rPr>
                <w:sz w:val="20"/>
                <w:szCs w:val="20"/>
                <w:color w:val="auto"/>
              </w:rPr>
            </w:pPr>
            <w:r>
              <w:rPr>
                <w:rFonts w:ascii="Arial" w:cs="Arial" w:eastAsia="Arial" w:hAnsi="Arial"/>
                <w:sz w:val="14"/>
                <w:szCs w:val="14"/>
                <w:color w:val="auto"/>
              </w:rPr>
              <w:t>(State)</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gridSpan w:val="2"/>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8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80" w:type="dxa"/>
            <w:vAlign w:val="bottom"/>
            <w:gridSpan w:val="5"/>
          </w:tcPr>
          <w:p>
            <w:pPr>
              <w:spacing w:after="0" w:line="224" w:lineRule="exact"/>
              <w:rPr>
                <w:rFonts w:ascii="Arial" w:cs="Arial" w:eastAsia="Arial" w:hAnsi="Arial"/>
                <w:sz w:val="22"/>
                <w:szCs w:val="22"/>
                <w:color w:val="0000EE"/>
                <w:w w:val="95"/>
              </w:rPr>
            </w:pPr>
            <w:hyperlink r:id="rId17">
              <w:r>
                <w:rPr>
                  <w:rFonts w:ascii="Arial" w:cs="Arial" w:eastAsia="Arial" w:hAnsi="Arial"/>
                  <w:sz w:val="22"/>
                  <w:szCs w:val="22"/>
                  <w:color w:val="0000EE"/>
                  <w:w w:val="95"/>
                </w:rPr>
                <w:t>Levcap Alternative Fund, L.P.</w:t>
              </w:r>
            </w:hyperlink>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380" w:type="dxa"/>
            <w:vAlign w:val="bottom"/>
            <w:tcBorders>
              <w:top w:val="single" w:sz="8" w:color="0000EE"/>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(Last)</w:t>
            </w:r>
          </w:p>
        </w:tc>
        <w:tc>
          <w:tcPr>
            <w:tcW w:w="1520" w:type="dxa"/>
            <w:vAlign w:val="bottom"/>
            <w:gridSpan w:val="4"/>
          </w:tcPr>
          <w:p>
            <w:pPr>
              <w:ind w:left="200"/>
              <w:spacing w:after="0"/>
              <w:rPr>
                <w:sz w:val="20"/>
                <w:szCs w:val="20"/>
                <w:color w:val="auto"/>
              </w:rPr>
            </w:pPr>
            <w:r>
              <w:rPr>
                <w:rFonts w:ascii="Arial" w:cs="Arial" w:eastAsia="Arial" w:hAnsi="Arial"/>
                <w:sz w:val="14"/>
                <w:szCs w:val="14"/>
                <w:color w:val="auto"/>
              </w:rPr>
              <w:t>(First)</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80" w:type="dxa"/>
            <w:vAlign w:val="bottom"/>
            <w:gridSpan w:val="5"/>
          </w:tcPr>
          <w:p>
            <w:pPr>
              <w:spacing w:after="0"/>
              <w:rPr>
                <w:sz w:val="20"/>
                <w:szCs w:val="20"/>
                <w:color w:val="auto"/>
              </w:rPr>
            </w:pPr>
            <w:r>
              <w:rPr>
                <w:rFonts w:ascii="Arial" w:cs="Arial" w:eastAsia="Arial" w:hAnsi="Arial"/>
                <w:sz w:val="18"/>
                <w:szCs w:val="18"/>
                <w:color w:val="0000FF"/>
              </w:rPr>
              <w:t>595 MADISON AVENUE</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17TH FLOOR</w:t>
            </w:r>
          </w:p>
        </w:tc>
        <w:tc>
          <w:tcPr>
            <w:tcW w:w="5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5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NEW YORK</w:t>
            </w:r>
          </w:p>
        </w:tc>
        <w:tc>
          <w:tcPr>
            <w:tcW w:w="1520" w:type="dxa"/>
            <w:vAlign w:val="bottom"/>
            <w:gridSpan w:val="4"/>
          </w:tcPr>
          <w:p>
            <w:pPr>
              <w:ind w:left="200"/>
              <w:spacing w:after="0"/>
              <w:rPr>
                <w:sz w:val="20"/>
                <w:szCs w:val="20"/>
                <w:color w:val="auto"/>
              </w:rPr>
            </w:pPr>
            <w:r>
              <w:rPr>
                <w:rFonts w:ascii="Arial" w:cs="Arial" w:eastAsia="Arial" w:hAnsi="Arial"/>
                <w:sz w:val="18"/>
                <w:szCs w:val="18"/>
                <w:color w:val="0000FF"/>
              </w:rPr>
              <w:t>NY</w:t>
            </w:r>
          </w:p>
        </w:tc>
        <w:tc>
          <w:tcPr>
            <w:tcW w:w="1560" w:type="dxa"/>
            <w:vAlign w:val="bottom"/>
          </w:tcPr>
          <w:p>
            <w:pPr>
              <w:ind w:left="14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520" w:type="dxa"/>
            <w:vAlign w:val="bottom"/>
            <w:gridSpan w:val="4"/>
          </w:tcPr>
          <w:p>
            <w:pPr>
              <w:ind w:left="200"/>
              <w:spacing w:after="0"/>
              <w:rPr>
                <w:sz w:val="20"/>
                <w:szCs w:val="20"/>
                <w:color w:val="auto"/>
              </w:rPr>
            </w:pPr>
            <w:r>
              <w:rPr>
                <w:rFonts w:ascii="Arial" w:cs="Arial" w:eastAsia="Arial" w:hAnsi="Arial"/>
                <w:sz w:val="14"/>
                <w:szCs w:val="14"/>
                <w:color w:val="auto"/>
              </w:rPr>
              <w:t>(State)</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gridSpan w:val="2"/>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8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80" w:type="dxa"/>
            <w:vAlign w:val="bottom"/>
            <w:gridSpan w:val="5"/>
          </w:tcPr>
          <w:p>
            <w:pPr>
              <w:spacing w:after="0" w:line="224" w:lineRule="exact"/>
              <w:rPr>
                <w:rFonts w:ascii="Arial" w:cs="Arial" w:eastAsia="Arial" w:hAnsi="Arial"/>
                <w:sz w:val="22"/>
                <w:szCs w:val="22"/>
                <w:color w:val="0000EE"/>
              </w:rPr>
            </w:pPr>
            <w:hyperlink r:id="rId18">
              <w:r>
                <w:rPr>
                  <w:rFonts w:ascii="Arial" w:cs="Arial" w:eastAsia="Arial" w:hAnsi="Arial"/>
                  <w:sz w:val="22"/>
                  <w:szCs w:val="22"/>
                  <w:color w:val="0000EE"/>
                </w:rPr>
                <w:t>LCS Event Partners, LLC</w:t>
              </w:r>
            </w:hyperlink>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(Last)</w:t>
            </w:r>
          </w:p>
        </w:tc>
        <w:tc>
          <w:tcPr>
            <w:tcW w:w="1520" w:type="dxa"/>
            <w:vAlign w:val="bottom"/>
            <w:gridSpan w:val="4"/>
          </w:tcPr>
          <w:p>
            <w:pPr>
              <w:ind w:left="200"/>
              <w:spacing w:after="0"/>
              <w:rPr>
                <w:sz w:val="20"/>
                <w:szCs w:val="20"/>
                <w:color w:val="auto"/>
              </w:rPr>
            </w:pPr>
            <w:r>
              <w:rPr>
                <w:rFonts w:ascii="Arial" w:cs="Arial" w:eastAsia="Arial" w:hAnsi="Arial"/>
                <w:sz w:val="14"/>
                <w:szCs w:val="14"/>
                <w:color w:val="auto"/>
              </w:rPr>
              <w:t>(First)</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80" w:type="dxa"/>
            <w:vAlign w:val="bottom"/>
            <w:gridSpan w:val="5"/>
          </w:tcPr>
          <w:p>
            <w:pPr>
              <w:spacing w:after="0"/>
              <w:rPr>
                <w:sz w:val="20"/>
                <w:szCs w:val="20"/>
                <w:color w:val="auto"/>
              </w:rPr>
            </w:pPr>
            <w:r>
              <w:rPr>
                <w:rFonts w:ascii="Arial" w:cs="Arial" w:eastAsia="Arial" w:hAnsi="Arial"/>
                <w:sz w:val="18"/>
                <w:szCs w:val="18"/>
                <w:color w:val="0000FF"/>
              </w:rPr>
              <w:t>595 MADISON AVENUE</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17TH FLOOR</w:t>
            </w:r>
          </w:p>
        </w:tc>
        <w:tc>
          <w:tcPr>
            <w:tcW w:w="5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5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NEW YORK</w:t>
            </w:r>
          </w:p>
        </w:tc>
        <w:tc>
          <w:tcPr>
            <w:tcW w:w="1520" w:type="dxa"/>
            <w:vAlign w:val="bottom"/>
            <w:gridSpan w:val="4"/>
          </w:tcPr>
          <w:p>
            <w:pPr>
              <w:ind w:left="200"/>
              <w:spacing w:after="0"/>
              <w:rPr>
                <w:sz w:val="20"/>
                <w:szCs w:val="20"/>
                <w:color w:val="auto"/>
              </w:rPr>
            </w:pPr>
            <w:r>
              <w:rPr>
                <w:rFonts w:ascii="Arial" w:cs="Arial" w:eastAsia="Arial" w:hAnsi="Arial"/>
                <w:sz w:val="18"/>
                <w:szCs w:val="18"/>
                <w:color w:val="0000FF"/>
              </w:rPr>
              <w:t>NY</w:t>
            </w:r>
          </w:p>
        </w:tc>
        <w:tc>
          <w:tcPr>
            <w:tcW w:w="1560" w:type="dxa"/>
            <w:vAlign w:val="bottom"/>
          </w:tcPr>
          <w:p>
            <w:pPr>
              <w:ind w:left="14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520" w:type="dxa"/>
            <w:vAlign w:val="bottom"/>
            <w:gridSpan w:val="4"/>
          </w:tcPr>
          <w:p>
            <w:pPr>
              <w:ind w:left="200"/>
              <w:spacing w:after="0"/>
              <w:rPr>
                <w:sz w:val="20"/>
                <w:szCs w:val="20"/>
                <w:color w:val="auto"/>
              </w:rPr>
            </w:pPr>
            <w:r>
              <w:rPr>
                <w:rFonts w:ascii="Arial" w:cs="Arial" w:eastAsia="Arial" w:hAnsi="Arial"/>
                <w:sz w:val="14"/>
                <w:szCs w:val="14"/>
                <w:color w:val="auto"/>
              </w:rPr>
              <w:t>(State)</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gridSpan w:val="2"/>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8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80" w:type="dxa"/>
            <w:vAlign w:val="bottom"/>
            <w:gridSpan w:val="5"/>
          </w:tcPr>
          <w:p>
            <w:pPr>
              <w:spacing w:after="0" w:line="224" w:lineRule="exact"/>
              <w:rPr>
                <w:rFonts w:ascii="Arial" w:cs="Arial" w:eastAsia="Arial" w:hAnsi="Arial"/>
                <w:sz w:val="22"/>
                <w:szCs w:val="22"/>
                <w:color w:val="0000EE"/>
              </w:rPr>
            </w:pPr>
            <w:hyperlink r:id="rId19">
              <w:r>
                <w:rPr>
                  <w:rFonts w:ascii="Arial" w:cs="Arial" w:eastAsia="Arial" w:hAnsi="Arial"/>
                  <w:sz w:val="22"/>
                  <w:szCs w:val="22"/>
                  <w:color w:val="0000EE"/>
                </w:rPr>
                <w:t>Safinia Partners, L.P.</w:t>
              </w:r>
            </w:hyperlink>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(Last)</w:t>
            </w:r>
          </w:p>
        </w:tc>
        <w:tc>
          <w:tcPr>
            <w:tcW w:w="1520" w:type="dxa"/>
            <w:vAlign w:val="bottom"/>
            <w:gridSpan w:val="4"/>
          </w:tcPr>
          <w:p>
            <w:pPr>
              <w:ind w:left="200"/>
              <w:spacing w:after="0"/>
              <w:rPr>
                <w:sz w:val="20"/>
                <w:szCs w:val="20"/>
                <w:color w:val="auto"/>
              </w:rPr>
            </w:pPr>
            <w:r>
              <w:rPr>
                <w:rFonts w:ascii="Arial" w:cs="Arial" w:eastAsia="Arial" w:hAnsi="Arial"/>
                <w:sz w:val="14"/>
                <w:szCs w:val="14"/>
                <w:color w:val="auto"/>
              </w:rPr>
              <w:t>(First)</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80" w:type="dxa"/>
            <w:vAlign w:val="bottom"/>
            <w:gridSpan w:val="5"/>
          </w:tcPr>
          <w:p>
            <w:pPr>
              <w:spacing w:after="0"/>
              <w:rPr>
                <w:sz w:val="20"/>
                <w:szCs w:val="20"/>
                <w:color w:val="auto"/>
              </w:rPr>
            </w:pPr>
            <w:r>
              <w:rPr>
                <w:rFonts w:ascii="Arial" w:cs="Arial" w:eastAsia="Arial" w:hAnsi="Arial"/>
                <w:sz w:val="18"/>
                <w:szCs w:val="18"/>
                <w:color w:val="0000FF"/>
              </w:rPr>
              <w:t>595 MADISON AVENUE</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17TH FLOOR</w:t>
            </w:r>
          </w:p>
        </w:tc>
        <w:tc>
          <w:tcPr>
            <w:tcW w:w="5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5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NEW YORK</w:t>
            </w:r>
          </w:p>
        </w:tc>
        <w:tc>
          <w:tcPr>
            <w:tcW w:w="1520" w:type="dxa"/>
            <w:vAlign w:val="bottom"/>
            <w:gridSpan w:val="4"/>
          </w:tcPr>
          <w:p>
            <w:pPr>
              <w:ind w:left="200"/>
              <w:spacing w:after="0"/>
              <w:rPr>
                <w:sz w:val="20"/>
                <w:szCs w:val="20"/>
                <w:color w:val="auto"/>
              </w:rPr>
            </w:pPr>
            <w:r>
              <w:rPr>
                <w:rFonts w:ascii="Arial" w:cs="Arial" w:eastAsia="Arial" w:hAnsi="Arial"/>
                <w:sz w:val="18"/>
                <w:szCs w:val="18"/>
                <w:color w:val="0000FF"/>
              </w:rPr>
              <w:t>NY</w:t>
            </w:r>
          </w:p>
        </w:tc>
        <w:tc>
          <w:tcPr>
            <w:tcW w:w="1560" w:type="dxa"/>
            <w:vAlign w:val="bottom"/>
          </w:tcPr>
          <w:p>
            <w:pPr>
              <w:ind w:left="14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520" w:type="dxa"/>
            <w:vAlign w:val="bottom"/>
            <w:gridSpan w:val="4"/>
          </w:tcPr>
          <w:p>
            <w:pPr>
              <w:ind w:left="200"/>
              <w:spacing w:after="0"/>
              <w:rPr>
                <w:sz w:val="20"/>
                <w:szCs w:val="20"/>
                <w:color w:val="auto"/>
              </w:rPr>
            </w:pPr>
            <w:r>
              <w:rPr>
                <w:rFonts w:ascii="Arial" w:cs="Arial" w:eastAsia="Arial" w:hAnsi="Arial"/>
                <w:sz w:val="14"/>
                <w:szCs w:val="14"/>
                <w:color w:val="auto"/>
              </w:rPr>
              <w:t>(State)</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(Zip)</w:t>
            </w:r>
          </w:p>
        </w:tc>
      </w:tr>
    </w:tbl>
    <w:p>
      <w:pPr>
        <w:spacing w:after="0" w:line="62" w:lineRule="exact"/>
        <w:rPr>
          <w:sz w:val="20"/>
          <w:szCs w:val="20"/>
          <w:color w:val="auto"/>
        </w:rPr>
      </w:pPr>
    </w:p>
    <w:p>
      <w:pPr>
        <w:spacing w:after="0"/>
        <w:rPr>
          <w:sz w:val="20"/>
          <w:szCs w:val="20"/>
          <w:color w:val="auto"/>
        </w:rPr>
      </w:pPr>
      <w:r>
        <w:rPr>
          <w:sz w:val="1"/>
          <w:szCs w:val="1"/>
          <w:color w:val="auto"/>
        </w:rPr>
        <w:drawing>
          <wp:inline distT="0" distB="0" distL="0" distR="0">
            <wp:extent cx="34290" cy="22034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extLst>
                    </a:blip>
                    <a:srcRect/>
                    <a:stretch>
                      <a:fillRect/>
                    </a:stretch>
                  </pic:blipFill>
                  <pic:spPr bwMode="auto">
                    <a:xfrm>
                      <a:off x="0" y="0"/>
                      <a:ext cx="34290" cy="220345"/>
                    </a:xfrm>
                    <a:prstGeom prst="rect">
                      <a:avLst/>
                    </a:prstGeom>
                    <a:noFill/>
                    <a:ln>
                      <a:noFill/>
                    </a:ln>
                  </pic:spPr>
                </pic:pic>
              </a:graphicData>
            </a:graphic>
          </wp:inline>
        </w:drawing>
      </w:r>
      <w:r>
        <w:rPr>
          <w:rFonts w:ascii="Arial" w:cs="Arial" w:eastAsia="Arial" w:hAnsi="Arial"/>
          <w:sz w:val="14"/>
          <w:szCs w:val="14"/>
          <w:color w:val="auto"/>
        </w:rPr>
        <w:t xml:space="preserve"> 1. Name and Address of Reporting Person</w:t>
      </w:r>
      <w:r>
        <w:rPr>
          <w:rFonts w:ascii="Arial" w:cs="Arial" w:eastAsia="Arial" w:hAnsi="Arial"/>
          <w:sz w:val="22"/>
          <w:szCs w:val="22"/>
          <w:color w:val="auto"/>
          <w:vertAlign w:val="superscript"/>
        </w:rPr>
        <w:t>*</w:t>
      </w:r>
    </w:p>
    <w:p>
      <w:pPr>
        <w:sectPr>
          <w:pgSz w:w="11900" w:h="16934" w:orient="portrait"/>
          <w:cols w:equalWidth="0" w:num="1">
            <w:col w:w="10219"/>
          </w:cols>
          <w:pgMar w:left="240" w:top="140" w:right="1440" w:bottom="0" w:gutter="0" w:footer="0" w:header="0"/>
        </w:sectPr>
      </w:pPr>
    </w:p>
    <w:bookmarkStart w:id="2" w:name="page3"/>
    <w:bookmarkEnd w:id="2"/>
    <w:p>
      <w:pPr>
        <w:spacing w:after="0" w:line="79" w:lineRule="exact"/>
        <w:rPr>
          <w:sz w:val="20"/>
          <w:szCs w:val="20"/>
          <w:color w:val="auto"/>
        </w:rPr>
      </w:pPr>
    </w:p>
    <w:p>
      <w:pPr>
        <w:ind w:left="100"/>
        <w:spacing w:after="0"/>
        <w:rPr>
          <w:rFonts w:ascii="Arial" w:cs="Arial" w:eastAsia="Arial" w:hAnsi="Arial"/>
          <w:sz w:val="22"/>
          <w:szCs w:val="22"/>
          <w:u w:val="single" w:color="auto"/>
          <w:color w:val="0000EE"/>
        </w:rPr>
      </w:pPr>
      <w:hyperlink r:id="rId21">
        <w:r>
          <w:rPr>
            <w:rFonts w:ascii="Arial" w:cs="Arial" w:eastAsia="Arial" w:hAnsi="Arial"/>
            <w:sz w:val="22"/>
            <w:szCs w:val="22"/>
            <w:u w:val="single" w:color="auto"/>
            <w:color w:val="0000EE"/>
          </w:rPr>
          <w:t>LCS L/S,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-146050</wp:posOffset>
            </wp:positionV>
            <wp:extent cx="2924175" cy="34518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extLst>
                    </a:blip>
                    <a:srcRect/>
                    <a:stretch>
                      <a:fillRect/>
                    </a:stretch>
                  </pic:blipFill>
                  <pic:spPr bwMode="auto">
                    <a:xfrm>
                      <a:off x="0" y="0"/>
                      <a:ext cx="2924175" cy="3451860"/>
                    </a:xfrm>
                    <a:prstGeom prst="rect">
                      <a:avLst/>
                    </a:prstGeom>
                    <a:noFill/>
                  </pic:spPr>
                </pic:pic>
              </a:graphicData>
            </a:graphic>
          </wp:anchor>
        </w:drawing>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(Last)</w:t>
            </w:r>
          </w:p>
        </w:tc>
        <w:tc>
          <w:tcPr>
            <w:tcW w:w="1480" w:type="dxa"/>
            <w:vAlign w:val="bottom"/>
            <w:gridSpan w:val="2"/>
          </w:tcPr>
          <w:p>
            <w:pPr>
              <w:ind w:left="20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Arial" w:cs="Arial" w:eastAsia="Arial" w:hAnsi="Arial"/>
                <w:sz w:val="18"/>
                <w:szCs w:val="18"/>
                <w:color w:val="0000FF"/>
              </w:rPr>
              <w:t>595 MADISON AVENUE</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17TH FLOOR</w:t>
            </w: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NEW YORK</w:t>
            </w:r>
          </w:p>
        </w:tc>
        <w:tc>
          <w:tcPr>
            <w:tcW w:w="1480" w:type="dxa"/>
            <w:vAlign w:val="bottom"/>
            <w:gridSpan w:val="2"/>
          </w:tcPr>
          <w:p>
            <w:pPr>
              <w:ind w:left="200"/>
              <w:spacing w:after="0"/>
              <w:rPr>
                <w:sz w:val="20"/>
                <w:szCs w:val="20"/>
                <w:color w:val="auto"/>
              </w:rPr>
            </w:pPr>
            <w:r>
              <w:rPr>
                <w:rFonts w:ascii="Arial" w:cs="Arial" w:eastAsia="Arial" w:hAnsi="Arial"/>
                <w:sz w:val="18"/>
                <w:szCs w:val="18"/>
                <w:color w:val="0000FF"/>
              </w:rPr>
              <w:t>NY</w:t>
            </w:r>
          </w:p>
        </w:tc>
        <w:tc>
          <w:tcPr>
            <w:tcW w:w="1600" w:type="dxa"/>
            <w:vAlign w:val="bottom"/>
          </w:tcPr>
          <w:p>
            <w:pPr>
              <w:ind w:left="18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480" w:type="dxa"/>
            <w:vAlign w:val="bottom"/>
            <w:gridSpan w:val="2"/>
          </w:tcPr>
          <w:p>
            <w:pPr>
              <w:ind w:left="20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2"/>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40" w:type="dxa"/>
            <w:vAlign w:val="bottom"/>
            <w:gridSpan w:val="3"/>
          </w:tcPr>
          <w:p>
            <w:pPr>
              <w:spacing w:after="0" w:line="224" w:lineRule="exact"/>
              <w:rPr>
                <w:rFonts w:ascii="Arial" w:cs="Arial" w:eastAsia="Arial" w:hAnsi="Arial"/>
                <w:sz w:val="22"/>
                <w:szCs w:val="22"/>
                <w:color w:val="0000EE"/>
              </w:rPr>
            </w:pPr>
            <w:hyperlink r:id="rId23">
              <w:r>
                <w:rPr>
                  <w:rFonts w:ascii="Arial" w:cs="Arial" w:eastAsia="Arial" w:hAnsi="Arial"/>
                  <w:sz w:val="22"/>
                  <w:szCs w:val="22"/>
                  <w:color w:val="0000EE"/>
                </w:rPr>
                <w:t>LEVIN JOHN A</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(Last)</w:t>
            </w:r>
          </w:p>
        </w:tc>
        <w:tc>
          <w:tcPr>
            <w:tcW w:w="1480" w:type="dxa"/>
            <w:vAlign w:val="bottom"/>
            <w:gridSpan w:val="2"/>
          </w:tcPr>
          <w:p>
            <w:pPr>
              <w:ind w:left="20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Arial" w:cs="Arial" w:eastAsia="Arial" w:hAnsi="Arial"/>
                <w:sz w:val="18"/>
                <w:szCs w:val="18"/>
                <w:color w:val="0000FF"/>
              </w:rPr>
              <w:t>595 MADISON AVENUE</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17TH FLOOR</w:t>
            </w: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NEW YORK</w:t>
            </w:r>
          </w:p>
        </w:tc>
        <w:tc>
          <w:tcPr>
            <w:tcW w:w="1480" w:type="dxa"/>
            <w:vAlign w:val="bottom"/>
            <w:gridSpan w:val="2"/>
          </w:tcPr>
          <w:p>
            <w:pPr>
              <w:ind w:left="200"/>
              <w:spacing w:after="0"/>
              <w:rPr>
                <w:sz w:val="20"/>
                <w:szCs w:val="20"/>
                <w:color w:val="auto"/>
              </w:rPr>
            </w:pPr>
            <w:r>
              <w:rPr>
                <w:rFonts w:ascii="Arial" w:cs="Arial" w:eastAsia="Arial" w:hAnsi="Arial"/>
                <w:sz w:val="18"/>
                <w:szCs w:val="18"/>
                <w:color w:val="0000FF"/>
              </w:rPr>
              <w:t>NY</w:t>
            </w:r>
          </w:p>
        </w:tc>
        <w:tc>
          <w:tcPr>
            <w:tcW w:w="1600" w:type="dxa"/>
            <w:vAlign w:val="bottom"/>
          </w:tcPr>
          <w:p>
            <w:pPr>
              <w:ind w:left="180"/>
              <w:spacing w:after="0"/>
              <w:rPr>
                <w:sz w:val="20"/>
                <w:szCs w:val="20"/>
                <w:color w:val="auto"/>
              </w:rPr>
            </w:pPr>
            <w:r>
              <w:rPr>
                <w:rFonts w:ascii="Arial" w:cs="Arial" w:eastAsia="Arial" w:hAnsi="Arial"/>
                <w:sz w:val="18"/>
                <w:szCs w:val="18"/>
                <w:color w:val="0000FF"/>
              </w:rPr>
              <w:t>10020</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480" w:type="dxa"/>
            <w:vAlign w:val="bottom"/>
            <w:gridSpan w:val="2"/>
          </w:tcPr>
          <w:p>
            <w:pPr>
              <w:ind w:left="20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20" w:right="40" w:firstLine="9"/>
        <w:spacing w:after="0" w:line="278"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Form 4 is filed jointly by Levin Capital Strategies, L.P. ("LCS"), Levin Capital Strategies GP, LLC ("LCS GP"), Bi-Directional Disequilibrium Fund, L.P. ("BDD")(formerly known as Levin Capital Trilogy Master Fund, Ltd.), Levcap Alternative Fund, L.P. ("Levcap"), LCS Event Partners, LLC ("LCSEP"), Safinia Partners, L.P. ("Safinia"), LCS L/S, LLC ("LCSLS"), and John A. Levin (collectively, the "Reporting Persons"). The Reporting Persons are passive investors in the Issuer and are voluntarily filing this Form 4 as a result of acquiring over 20% of the Issuer's outstanding shares of Common Stock. The Reporting Persons have not acquired the shares with a purpose or effect of changing or influencing control of the Issuer.</w:t>
      </w:r>
    </w:p>
    <w:p>
      <w:pPr>
        <w:spacing w:after="0" w:line="8" w:lineRule="exact"/>
        <w:rPr>
          <w:rFonts w:ascii="Arial" w:cs="Arial" w:eastAsia="Arial" w:hAnsi="Arial"/>
          <w:sz w:val="12"/>
          <w:szCs w:val="12"/>
          <w:color w:val="008000"/>
        </w:rPr>
      </w:pPr>
    </w:p>
    <w:p>
      <w:pPr>
        <w:ind w:left="20" w:right="140" w:firstLine="9"/>
        <w:spacing w:after="0" w:line="288"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Pursuant to Rule 16a-1(a)(4) under the Securities Exchange Act of 1934, as amended (the "Exchange Act"), this filing shall not be construed as an admission that the Reporting Persons are, for purposes of Section 16 of the Exchange Act or otherwise, the beneficial owners of any of the securities reported herein under Section 16 or otherwise. Each of the Reporting Persons specifically disclaims beneficial ownership of the securities reported herein that are not directly owned by such Reporting Person, except to the extent of their pecuniary interest therein.</w:t>
      </w:r>
    </w:p>
    <w:p>
      <w:pPr>
        <w:spacing w:after="0" w:line="2" w:lineRule="exact"/>
        <w:rPr>
          <w:rFonts w:ascii="Arial" w:cs="Arial" w:eastAsia="Arial" w:hAnsi="Arial"/>
          <w:sz w:val="12"/>
          <w:szCs w:val="12"/>
          <w:color w:val="008000"/>
        </w:rPr>
      </w:pPr>
    </w:p>
    <w:p>
      <w:pPr>
        <w:ind w:left="20" w:firstLine="9"/>
        <w:spacing w:after="0" w:line="273"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held in certain separately managed accounts (the "Managed Accounts"). LCS, as the investment manager to the Managed Accounts, may be deemed to beneficially own such shares. LCS does not have a reportable pecuniary interest under Section 16a-1(a)(2) of the Exchange Act in the shares held in the Managed Accounts, as LCS receives an asset-based management fee for serving as investment manager to the Managed Accounts, except that with respect to 127,460 shares held in the Managed Accounts, LCS receives a performance-based incentive fee. The performance-based incentive fee LCS receives also does not constitute a reportable pecuniary interest under Section 16a-1(a)(2) of the Exchange Act, as such fee is based on the performance of the overall account, over a period of one year or more, and the shares of the Issuer held in such accounts constitute no more than 10% of the market value thereof.</w:t>
      </w:r>
    </w:p>
    <w:p>
      <w:pPr>
        <w:spacing w:after="0" w:line="11" w:lineRule="exact"/>
        <w:rPr>
          <w:rFonts w:ascii="Arial" w:cs="Arial" w:eastAsia="Arial" w:hAnsi="Arial"/>
          <w:sz w:val="12"/>
          <w:szCs w:val="12"/>
          <w:color w:val="008000"/>
        </w:rPr>
      </w:pPr>
    </w:p>
    <w:p>
      <w:pPr>
        <w:ind w:left="160" w:hanging="131"/>
        <w:spacing w:after="0"/>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For the reasons set forth in footnote 3, none of LCS GP, BDD, Levcap, LCSEP, Safinia, LCSLS and Mr. Levin have a reportable pecuniary interest in the shares held in the Managed Accounts.</w:t>
      </w:r>
    </w:p>
    <w:p>
      <w:pPr>
        <w:spacing w:after="0" w:line="64" w:lineRule="exact"/>
        <w:rPr>
          <w:rFonts w:ascii="Arial" w:cs="Arial" w:eastAsia="Arial" w:hAnsi="Arial"/>
          <w:sz w:val="12"/>
          <w:szCs w:val="12"/>
          <w:color w:val="008000"/>
        </w:rPr>
      </w:pPr>
    </w:p>
    <w:p>
      <w:pPr>
        <w:ind w:left="20" w:right="260" w:firstLine="9"/>
        <w:spacing w:after="0" w:line="288"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held by the separate managed account Transamerica Large Cap Value Fund ("Transamerica"). LCS, as the sub-investment advisor to Transamerica, may be deemed to share voting and dispositive power over the shares held by Transamerica. LCS receives an asset-based management fee for serving as sub-investment advisor to Transamerica. Accordingly, LCS does not have a reportable pecuniary interest in the shares held by Transamerica. In addition, none of LCS GP, BDD, Levcap, LCSEP, Safinia, LCSLS and Mr. Levin have a reportable pecuniary interest in the shares held by Transamerica.</w:t>
      </w:r>
    </w:p>
    <w:p>
      <w:pPr>
        <w:spacing w:after="0" w:line="2" w:lineRule="exact"/>
        <w:rPr>
          <w:rFonts w:ascii="Arial" w:cs="Arial" w:eastAsia="Arial" w:hAnsi="Arial"/>
          <w:sz w:val="12"/>
          <w:szCs w:val="12"/>
          <w:color w:val="008000"/>
        </w:rPr>
      </w:pPr>
    </w:p>
    <w:p>
      <w:pPr>
        <w:ind w:left="20" w:right="240" w:firstLine="9"/>
        <w:spacing w:after="0" w:line="239"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owned directly by BDD. LCS, as the investment advisor of BDD, may be deemed to share voting and dispositive power over the shares owned directly by BDD. Mr. Levin, as the Chief Executive Officer of LCS, may be deemed to share voting and dispositive power over the shares owned directly by BDD.</w:t>
      </w:r>
    </w:p>
    <w:p>
      <w:pPr>
        <w:spacing w:after="0" w:line="30" w:lineRule="exact"/>
        <w:rPr>
          <w:rFonts w:ascii="Arial" w:cs="Arial" w:eastAsia="Arial" w:hAnsi="Arial"/>
          <w:sz w:val="14"/>
          <w:szCs w:val="14"/>
          <w:color w:val="008000"/>
        </w:rPr>
      </w:pPr>
    </w:p>
    <w:p>
      <w:pPr>
        <w:ind w:left="20" w:right="10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owned directly by Levcap. LCSEP, as the general partner of Levcap, may be deemed to share voting and dispositive power over the shares owned directly by Levcap. LCS, as the investment advisor of Levcap, may be deemed to share voting and dispositive power over the shares owned directly by Levcap. Mr. Levin, as the Chief Executive Officer of LCS, may be deemed to share voting and dispositive power over the shares owned directly by Levcap.</w:t>
      </w:r>
    </w:p>
    <w:p>
      <w:pPr>
        <w:spacing w:after="0" w:line="30" w:lineRule="exact"/>
        <w:rPr>
          <w:rFonts w:ascii="Arial" w:cs="Arial" w:eastAsia="Arial" w:hAnsi="Arial"/>
          <w:sz w:val="14"/>
          <w:szCs w:val="14"/>
          <w:color w:val="008000"/>
        </w:rPr>
      </w:pPr>
    </w:p>
    <w:p>
      <w:pPr>
        <w:ind w:left="2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owned directly by Safinia. LCSLS, as the general partner of Safinia, may be deemed to share voting and dispositive power over the shares owned directly by Safinia. LCS, as the investment advisor of Safinia, may be deemed to share voting and dispositive power over the shares owned directly by Safinia. Mr. Levin, as the Chief Executive Officer of LCS, may be deemed to share voting and dispositive power over the shares owned directly by Safinia.</w:t>
      </w:r>
    </w:p>
    <w:p>
      <w:pPr>
        <w:spacing w:after="0" w:line="30" w:lineRule="exact"/>
        <w:rPr>
          <w:rFonts w:ascii="Arial" w:cs="Arial" w:eastAsia="Arial" w:hAnsi="Arial"/>
          <w:sz w:val="14"/>
          <w:szCs w:val="14"/>
          <w:color w:val="008000"/>
        </w:rPr>
      </w:pPr>
    </w:p>
    <w:p>
      <w:pPr>
        <w:ind w:left="160" w:hanging="131"/>
        <w:spacing w:after="0"/>
        <w:tabs>
          <w:tab w:leader="none" w:pos="16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owned directly by the spouse of Mr. Levin. Mr. Levin has investment discretion over such shares.</w:t>
      </w:r>
    </w:p>
    <w:p>
      <w:pPr>
        <w:sectPr>
          <w:pgSz w:w="11900" w:h="16918" w:orient="portrait"/>
          <w:cols w:equalWidth="0" w:num="1">
            <w:col w:w="11340"/>
          </w:cols>
          <w:pgMar w:left="260" w:top="118" w:right="299" w:bottom="0" w:gutter="0" w:footer="0" w:header="0"/>
        </w:sectPr>
      </w:pPr>
    </w:p>
    <w:p>
      <w:pPr>
        <w:spacing w:after="0" w:line="71"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Levin Capital Strategies,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3373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extLst>
                    </a:blip>
                    <a:srcRect/>
                    <a:stretch>
                      <a:fillRect/>
                    </a:stretch>
                  </pic:blipFill>
                  <pic:spPr bwMode="auto">
                    <a:xfrm>
                      <a:off x="0" y="0"/>
                      <a:ext cx="1337310"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By: /s/ John A. Levin,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2604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extLst>
                    </a:blip>
                    <a:srcRect/>
                    <a:stretch>
                      <a:fillRect/>
                    </a:stretch>
                  </pic:blipFill>
                  <pic:spPr bwMode="auto">
                    <a:xfrm>
                      <a:off x="0" y="0"/>
                      <a:ext cx="126047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7931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79311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Levin Capital Strategies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2630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1263015"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LLC; By: John A. Levin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436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134366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GRAT Separation Trust;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4077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1407795"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Elisabeth Levin,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08902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Bi-Directional Disequilibrium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34683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1346835"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Fund, L.P.; By: LCS;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2636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126365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John A. Levin,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1423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114236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37782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37782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Levcap Alternative Fund,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37477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By: LCS Event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716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By: /s/ John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98488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98488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85788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LCS Event Partners,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3716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/s/ John A. Levin,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27571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1275715"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37782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37782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Safinia Partners, L.P.; By: LCS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39065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1390650"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L/S, LLC; By: /s/ John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15506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115506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Levin,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1734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1173480"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LCS L/S, LLC; By: /s/ John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38747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1387475"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Levin,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1734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1173480"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/s/ John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76771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7677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7" w:lineRule="exact"/>
        <w:rPr>
          <w:sz w:val="20"/>
          <w:szCs w:val="20"/>
          <w:color w:val="auto"/>
        </w:rPr>
      </w:pPr>
    </w:p>
    <w:p>
      <w:pPr>
        <w:spacing w:after="0"/>
        <w:rPr>
          <w:sz w:val="20"/>
          <w:szCs w:val="20"/>
          <w:color w:val="auto"/>
        </w:rPr>
      </w:pPr>
      <w:r>
        <w:rPr>
          <w:rFonts w:ascii="Arial" w:cs="Arial" w:eastAsia="Arial" w:hAnsi="Arial"/>
          <w:sz w:val="15"/>
          <w:szCs w:val="15"/>
          <w:color w:val="0000FF"/>
        </w:rPr>
        <w:t>10/15/2018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color w:val="0000FF"/>
        </w:rPr>
        <w:t>10/15/2018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5"/>
          <w:szCs w:val="15"/>
          <w:color w:val="0000FF"/>
        </w:rPr>
        <w:t>10/15/2018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5"/>
          <w:szCs w:val="15"/>
          <w:color w:val="0000FF"/>
        </w:rPr>
        <w:t>10/15/2018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color w:val="0000FF"/>
        </w:rPr>
        <w:t>10/15/2018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5"/>
          <w:szCs w:val="15"/>
          <w:color w:val="0000FF"/>
        </w:rPr>
        <w:t>10/15/2018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color w:val="0000FF"/>
        </w:rPr>
        <w:t>10/15/2018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color w:val="0000FF"/>
        </w:rPr>
        <w:t>10/15/2018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05" w:lineRule="exact"/>
        <w:rPr>
          <w:sz w:val="20"/>
          <w:szCs w:val="20"/>
          <w:color w:val="auto"/>
        </w:rPr>
      </w:pPr>
    </w:p>
    <w:p>
      <w:pPr>
        <w:sectPr>
          <w:pgSz w:w="11900" w:h="16918" w:orient="portrait"/>
          <w:cols w:equalWidth="0" w:num="2">
            <w:col w:w="9060" w:space="80"/>
            <w:col w:w="2200"/>
          </w:cols>
          <w:pgMar w:left="260" w:top="118" w:right="299" w:bottom="0" w:gutter="0" w:footer="0" w:header="0"/>
          <w:type w:val="continuous"/>
        </w:sectPr>
      </w:pPr>
    </w:p>
    <w:p>
      <w:pPr>
        <w:jc w:val="right"/>
        <w:ind w:right="1920"/>
        <w:spacing w:after="0"/>
        <w:tabs>
          <w:tab w:leader="none" w:pos="26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20" w:right="3520" w:firstLine="9"/>
        <w:spacing w:after="0" w:line="418" w:lineRule="auto"/>
        <w:tabs>
          <w:tab w:leader="none" w:pos="16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ectPr>
          <w:pgSz w:w="11900" w:h="16918" w:orient="portrait"/>
          <w:cols w:equalWidth="0" w:num="1">
            <w:col w:w="11340"/>
          </w:cols>
          <w:pgMar w:left="260" w:top="118" w:right="299" w:bottom="0" w:gutter="0" w:footer="0" w:header="0"/>
          <w:type w:val="continuous"/>
        </w:sectPr>
      </w:pPr>
    </w:p>
    <w:bookmarkStart w:id="3" w:name="page4"/>
    <w:bookmarkEnd w:id="3"/>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24"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20" Type="http://schemas.openxmlformats.org/officeDocument/2006/relationships/image" Target="media/image6.png"/><Relationship Id="rId22" Type="http://schemas.openxmlformats.org/officeDocument/2006/relationships/image" Target="media/image7.png"/><Relationship Id="rId24"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12" Type="http://schemas.openxmlformats.org/officeDocument/2006/relationships/hyperlink" Target="http://www.sec.gov/cgi-bin/browse-edgar?action=getcompany&amp;CIK=0001354821" TargetMode="External"/><Relationship Id="rId13" Type="http://schemas.openxmlformats.org/officeDocument/2006/relationships/hyperlink" Target="http://www.sec.gov/cgi-bin/browse-edgar?action=getcompany&amp;CIK=0001162194" TargetMode="External"/><Relationship Id="rId15" Type="http://schemas.openxmlformats.org/officeDocument/2006/relationships/hyperlink" Target="http://www.sec.gov/cgi-bin/browse-edgar?action=getcompany&amp;CIK=0001688305" TargetMode="External"/><Relationship Id="rId16" Type="http://schemas.openxmlformats.org/officeDocument/2006/relationships/hyperlink" Target="http://www.sec.gov/cgi-bin/browse-edgar?action=getcompany&amp;CIK=0001688307" TargetMode="External"/><Relationship Id="rId17" Type="http://schemas.openxmlformats.org/officeDocument/2006/relationships/hyperlink" Target="http://www.sec.gov/cgi-bin/browse-edgar?action=getcompany&amp;CIK=0001474048" TargetMode="External"/><Relationship Id="rId18" Type="http://schemas.openxmlformats.org/officeDocument/2006/relationships/hyperlink" Target="http://www.sec.gov/cgi-bin/browse-edgar?action=getcompany&amp;CIK=0001688302" TargetMode="External"/><Relationship Id="rId19" Type="http://schemas.openxmlformats.org/officeDocument/2006/relationships/hyperlink" Target="http://www.sec.gov/cgi-bin/browse-edgar?action=getcompany&amp;CIK=0001539456" TargetMode="External"/><Relationship Id="rId21" Type="http://schemas.openxmlformats.org/officeDocument/2006/relationships/hyperlink" Target="http://www.sec.gov/cgi-bin/browse-edgar?action=getcompany&amp;CIK=0001688301" TargetMode="External"/><Relationship Id="rId23" Type="http://schemas.openxmlformats.org/officeDocument/2006/relationships/hyperlink" Target="http://www.sec.gov/cgi-bin/browse-edgar?action=getcompany&amp;CIK=000101809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2019-12-23T16:27:50Z</dcterms:created>
  <dcterms:modified xsi:type="dcterms:W3CDTF">2019-12-23T16:27:50Z</dcterms:modified>
</cp:coreProperties>
</file>