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Easterly Partners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Passive Investor</w:t>
      </w:r>
    </w:p>
    <w:p>
      <w:pPr>
        <w:spacing w:after="0" w:line="462"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40" w:type="dxa"/>
            <w:vAlign w:val="bottom"/>
          </w:tcPr>
          <w:p>
            <w:pPr>
              <w:jc w:val="center"/>
              <w:ind w:left="52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jc w:val="center"/>
              <w:ind w:left="546"/>
              <w:spacing w:after="0"/>
              <w:rPr>
                <w:sz w:val="20"/>
                <w:szCs w:val="20"/>
                <w:color w:val="auto"/>
              </w:rPr>
            </w:pPr>
            <w:r>
              <w:rPr>
                <w:rFonts w:ascii="Arial" w:cs="Arial" w:eastAsia="Arial" w:hAnsi="Arial"/>
                <w:sz w:val="18"/>
                <w:szCs w:val="18"/>
                <w:color w:val="0000FF"/>
                <w:w w:val="88"/>
              </w:rPr>
              <w:t>07/22/2019</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right"/>
              <w:ind w:right="46"/>
              <w:spacing w:after="0"/>
              <w:rPr>
                <w:sz w:val="20"/>
                <w:szCs w:val="20"/>
                <w:color w:val="auto"/>
              </w:rPr>
            </w:pPr>
            <w:r>
              <w:rPr>
                <w:rFonts w:ascii="Arial" w:cs="Arial" w:eastAsia="Arial" w:hAnsi="Arial"/>
                <w:sz w:val="18"/>
                <w:szCs w:val="18"/>
                <w:color w:val="0000FF"/>
              </w:rPr>
              <w:t>61,432</w:t>
            </w:r>
          </w:p>
        </w:tc>
        <w:tc>
          <w:tcPr>
            <w:tcW w:w="520" w:type="dxa"/>
            <w:vAlign w:val="bottom"/>
          </w:tcPr>
          <w:p>
            <w:pPr>
              <w:jc w:val="center"/>
              <w:ind w:left="3"/>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11.5722</w:t>
            </w:r>
            <w:r>
              <w:rPr>
                <w:rFonts w:ascii="Arial" w:cs="Arial" w:eastAsia="Arial" w:hAnsi="Arial"/>
                <w:sz w:val="22"/>
                <w:szCs w:val="22"/>
                <w:color w:val="008000"/>
                <w:w w:val="85"/>
                <w:vertAlign w:val="superscript"/>
              </w:rPr>
              <w:t>(7)</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10,305,613</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jc w:val="center"/>
              <w:ind w:left="546"/>
              <w:spacing w:after="0"/>
              <w:rPr>
                <w:sz w:val="20"/>
                <w:szCs w:val="20"/>
                <w:color w:val="auto"/>
              </w:rPr>
            </w:pPr>
            <w:r>
              <w:rPr>
                <w:rFonts w:ascii="Arial" w:cs="Arial" w:eastAsia="Arial" w:hAnsi="Arial"/>
                <w:sz w:val="18"/>
                <w:szCs w:val="18"/>
                <w:color w:val="0000FF"/>
                <w:w w:val="88"/>
              </w:rPr>
              <w:t>07/23/2019</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right"/>
              <w:ind w:right="46"/>
              <w:spacing w:after="0"/>
              <w:rPr>
                <w:sz w:val="20"/>
                <w:szCs w:val="20"/>
                <w:color w:val="auto"/>
              </w:rPr>
            </w:pPr>
            <w:r>
              <w:rPr>
                <w:rFonts w:ascii="Arial" w:cs="Arial" w:eastAsia="Arial" w:hAnsi="Arial"/>
                <w:sz w:val="18"/>
                <w:szCs w:val="18"/>
                <w:color w:val="0000FF"/>
              </w:rPr>
              <w:t>18,601</w:t>
            </w:r>
          </w:p>
        </w:tc>
        <w:tc>
          <w:tcPr>
            <w:tcW w:w="520" w:type="dxa"/>
            <w:vAlign w:val="bottom"/>
          </w:tcPr>
          <w:p>
            <w:pPr>
              <w:jc w:val="center"/>
              <w:ind w:left="3"/>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11.581</w:t>
            </w:r>
            <w:r>
              <w:rPr>
                <w:rFonts w:ascii="Arial" w:cs="Arial" w:eastAsia="Arial" w:hAnsi="Arial"/>
                <w:sz w:val="22"/>
                <w:szCs w:val="22"/>
                <w:color w:val="008000"/>
                <w:w w:val="84"/>
                <w:vertAlign w:val="superscript"/>
              </w:rPr>
              <w:t>(8)</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10,287,012</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jc w:val="center"/>
              <w:ind w:left="546"/>
              <w:spacing w:after="0"/>
              <w:rPr>
                <w:sz w:val="20"/>
                <w:szCs w:val="20"/>
                <w:color w:val="auto"/>
              </w:rPr>
            </w:pPr>
            <w:r>
              <w:rPr>
                <w:rFonts w:ascii="Arial" w:cs="Arial" w:eastAsia="Arial" w:hAnsi="Arial"/>
                <w:sz w:val="18"/>
                <w:szCs w:val="18"/>
                <w:color w:val="0000FF"/>
                <w:w w:val="88"/>
              </w:rPr>
              <w:t>07/24/2019</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right"/>
              <w:ind w:right="46"/>
              <w:spacing w:after="0"/>
              <w:rPr>
                <w:sz w:val="20"/>
                <w:szCs w:val="20"/>
                <w:color w:val="auto"/>
              </w:rPr>
            </w:pPr>
            <w:r>
              <w:rPr>
                <w:rFonts w:ascii="Arial" w:cs="Arial" w:eastAsia="Arial" w:hAnsi="Arial"/>
                <w:sz w:val="18"/>
                <w:szCs w:val="18"/>
                <w:color w:val="0000FF"/>
              </w:rPr>
              <w:t>28,090</w:t>
            </w:r>
          </w:p>
        </w:tc>
        <w:tc>
          <w:tcPr>
            <w:tcW w:w="520" w:type="dxa"/>
            <w:vAlign w:val="bottom"/>
          </w:tcPr>
          <w:p>
            <w:pPr>
              <w:jc w:val="center"/>
              <w:ind w:left="3"/>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11.7835</w:t>
            </w:r>
            <w:r>
              <w:rPr>
                <w:rFonts w:ascii="Arial" w:cs="Arial" w:eastAsia="Arial" w:hAnsi="Arial"/>
                <w:sz w:val="22"/>
                <w:szCs w:val="22"/>
                <w:color w:val="008000"/>
                <w:w w:val="85"/>
                <w:vertAlign w:val="superscript"/>
              </w:rPr>
              <w:t>(9)</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10,258,922</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 A</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4,996</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bl>
    <w:p>
      <w:pPr>
        <w:ind w:left="10600"/>
        <w:spacing w:after="0"/>
        <w:rPr>
          <w:sz w:val="20"/>
          <w:szCs w:val="20"/>
          <w:color w:val="auto"/>
        </w:rPr>
      </w:pPr>
      <w:r>
        <w:rPr>
          <w:rFonts w:ascii="Arial" w:cs="Arial" w:eastAsia="Arial" w:hAnsi="Arial"/>
          <w:sz w:val="16"/>
          <w:szCs w:val="16"/>
          <w:color w:val="0000FF"/>
        </w:rPr>
        <w:t>Strategies,</w:t>
      </w:r>
    </w:p>
    <w:p>
      <w:pPr>
        <w:ind w:left="10600"/>
        <w:spacing w:after="0" w:line="184" w:lineRule="auto"/>
        <w:rPr>
          <w:sz w:val="20"/>
          <w:szCs w:val="20"/>
          <w:color w:val="auto"/>
        </w:rPr>
      </w:pPr>
      <w:r>
        <w:rPr>
          <w:rFonts w:ascii="Arial" w:cs="Arial" w:eastAsia="Arial" w:hAnsi="Arial"/>
          <w:sz w:val="28"/>
          <w:szCs w:val="28"/>
          <w:color w:val="0000FF"/>
          <w:vertAlign w:val="subscript"/>
        </w:rPr>
        <w:t>LP</w:t>
      </w:r>
      <w:r>
        <w:rPr>
          <w:rFonts w:ascii="Arial" w:cs="Arial" w:eastAsia="Arial" w:hAnsi="Arial"/>
          <w:sz w:val="10"/>
          <w:szCs w:val="10"/>
          <w:color w:val="008000"/>
        </w:rPr>
        <w:t>(5)(6)</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Easterly Partners LLC</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LE Partners Holdings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 Partners Holdings II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w w:val="98"/>
              </w:rPr>
            </w:pPr>
            <w:hyperlink r:id="rId16">
              <w:r>
                <w:rPr>
                  <w:rFonts w:ascii="Arial" w:cs="Arial" w:eastAsia="Arial" w:hAnsi="Arial"/>
                  <w:sz w:val="22"/>
                  <w:szCs w:val="22"/>
                  <w:color w:val="0000EE"/>
                  <w:w w:val="98"/>
                </w:rPr>
                <w:t>LE Partners Holdings III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w w:val="98"/>
              </w:rPr>
            </w:pPr>
            <w:hyperlink r:id="rId17">
              <w:r>
                <w:rPr>
                  <w:rFonts w:ascii="Arial" w:cs="Arial" w:eastAsia="Arial" w:hAnsi="Arial"/>
                  <w:sz w:val="22"/>
                  <w:szCs w:val="22"/>
                  <w:color w:val="0000EE"/>
                  <w:w w:val="98"/>
                </w:rPr>
                <w:t>LE Partners Holdings IV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3"/>
              </w:rPr>
            </w:pPr>
            <w:hyperlink r:id="rId18">
              <w:r>
                <w:rPr>
                  <w:rFonts w:ascii="Arial" w:cs="Arial" w:eastAsia="Arial" w:hAnsi="Arial"/>
                  <w:sz w:val="22"/>
                  <w:szCs w:val="22"/>
                  <w:color w:val="0000EE"/>
                  <w:w w:val="93"/>
                </w:rPr>
                <w:t>Crate Darrell W</w:t>
              </w:r>
            </w:hyperlink>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Kalichstein Avshalom</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-9736455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-9736455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-9299575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-9299575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-8587740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-8587740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-8064500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-8064500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-7626985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-7626985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-6915150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-6915150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-6391910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-6391910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-5955030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-5955030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-5243195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-5243195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-4719955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-4719955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-4282440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-4282440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-3570605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-3570605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-3047365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-3047365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-2610485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-2610485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-1898650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-1898650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199"/>
          </w:cols>
          <w:pgMar w:left="260" w:top="140" w:right="1440" w:bottom="0" w:gutter="0" w:footer="0" w:header="0"/>
        </w:sectPr>
      </w:pPr>
    </w:p>
    <w:p>
      <w:pPr>
        <w:spacing w:after="0" w:line="60"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138 CONANT STREET</w:t>
      </w:r>
    </w:p>
    <w:p>
      <w:pPr>
        <w:sectPr>
          <w:pgSz w:w="11900" w:h="16838" w:orient="portrait"/>
          <w:cols w:equalWidth="0" w:num="1">
            <w:col w:w="10199"/>
          </w:cols>
          <w:pgMar w:left="26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00" w:type="dxa"/>
            <w:vAlign w:val="bottom"/>
          </w:tcPr>
          <w:p>
            <w:pPr>
              <w:ind w:left="20"/>
              <w:spacing w:after="0"/>
              <w:rPr>
                <w:sz w:val="20"/>
                <w:szCs w:val="20"/>
                <w:color w:val="auto"/>
              </w:rPr>
            </w:pPr>
            <w:r>
              <w:rPr>
                <w:rFonts w:ascii="Arial" w:cs="Arial" w:eastAsia="Arial" w:hAnsi="Arial"/>
                <w:sz w:val="18"/>
                <w:szCs w:val="18"/>
                <w:color w:val="0000FF"/>
              </w:rPr>
              <w:t>MA</w:t>
            </w:r>
          </w:p>
        </w:tc>
        <w:tc>
          <w:tcPr>
            <w:tcW w:w="1600" w:type="dxa"/>
            <w:vAlign w:val="bottom"/>
          </w:tcPr>
          <w:p>
            <w:pPr>
              <w:ind w:left="18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2"/>
              </w:rPr>
            </w:pPr>
            <w:hyperlink r:id="rId58">
              <w:r>
                <w:rPr>
                  <w:rFonts w:ascii="Arial" w:cs="Arial" w:eastAsia="Arial" w:hAnsi="Arial"/>
                  <w:sz w:val="22"/>
                  <w:szCs w:val="22"/>
                  <w:color w:val="0000EE"/>
                  <w:w w:val="92"/>
                </w:rPr>
                <w:t>Murphy John W</w:t>
              </w:r>
            </w:hyperlink>
          </w:p>
        </w:tc>
        <w:tc>
          <w:tcPr>
            <w:tcW w:w="1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tcPr>
          <w:p>
            <w:pPr>
              <w:ind w:left="2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352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2924175" cy="43522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60">
        <w:r>
          <w:rPr>
            <w:rFonts w:ascii="Arial" w:cs="Arial" w:eastAsia="Arial" w:hAnsi="Arial"/>
            <w:sz w:val="22"/>
            <w:szCs w:val="22"/>
            <w:u w:val="single" w:color="auto"/>
            <w:color w:val="0000EE"/>
          </w:rPr>
          <w:t>LEVIN CAPITAL STRATEGIES, L.P.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being jointly filed by Levin Easterly Partners LLC ("Levin Easterly"), LE Partners Holdings LLC ("LEPH"), LE Partners Holdings II LLC ("LEPH II"), LE Partners Holdings III LLC ("LEPH III"), LE Partners Holdings IV LLC ("LEPH IV"), Darrell Crate ("Mr. Crate"), Avshalom Kalichstein ("Mr. Kalichstein"), John Murphy ("Mr. Murphy"), and Levin Capital Strategies, LP ("LCS") (collectively, the "Reporting Persons").</w:t>
      </w:r>
    </w:p>
    <w:p>
      <w:pPr>
        <w:spacing w:after="0" w:line="30" w:lineRule="exact"/>
        <w:rPr>
          <w:rFonts w:ascii="Arial" w:cs="Arial" w:eastAsia="Arial" w:hAnsi="Arial"/>
          <w:sz w:val="14"/>
          <w:szCs w:val="14"/>
          <w:color w:val="008000"/>
        </w:rPr>
      </w:pPr>
    </w:p>
    <w:p>
      <w:pPr>
        <w:ind w:left="20" w:firstLine="9"/>
        <w:spacing w:after="0" w:line="228"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are passive investors in the Issuer and are voluntarily filing this Form 4 as a result of acquiring over 10% of the Issuer's outstanding shares of Common Stock. The Reporting Persons have not acquired the shares with a purpose or effect of changing or influencing control of the Issuer. 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32" w:lineRule="exact"/>
        <w:rPr>
          <w:rFonts w:ascii="Arial" w:cs="Arial" w:eastAsia="Arial" w:hAnsi="Arial"/>
          <w:sz w:val="14"/>
          <w:szCs w:val="14"/>
          <w:color w:val="008000"/>
        </w:rPr>
      </w:pPr>
    </w:p>
    <w:p>
      <w:pPr>
        <w:ind w:left="20" w:right="8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"LEP Managed Accounts"). Levin Easterly, as the investment manager to the LEP Managed Accounts, may be deemed to beneficially own such shares. Levin Easterly does not have a reportable pecuniary interest under Section 16a-1(a)(2) of the Exchange Act in the shares held in the LEP Managed Accounts as Levin Easterly receives an asset-based management fee for serving as investment manager to the LEP Managed Accounts, except that with respect to 110,601 shares held in the LEP Managed Accounts, Levin Easterly receives a performance-based incentive fee. The performance-based incentive fee Levin Easterly receives also does not constitute a reportable pecuniary interest under Section 16a-1(a)(2) of the Exchange Act, as such fee is based on the performance of the overall account, over a period of one year or more, and the shares of the Issuer held in such accounts constitute nor more than 10% of the market value thereof.</w:t>
      </w:r>
    </w:p>
    <w:p>
      <w:pPr>
        <w:spacing w:after="0" w:line="11" w:lineRule="exact"/>
        <w:rPr>
          <w:rFonts w:ascii="Arial" w:cs="Arial" w:eastAsia="Arial" w:hAnsi="Arial"/>
          <w:sz w:val="12"/>
          <w:szCs w:val="12"/>
          <w:color w:val="008000"/>
        </w:rPr>
      </w:pPr>
    </w:p>
    <w:p>
      <w:pPr>
        <w:ind w:left="20" w:right="3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3, none of LEPH, LEPH II, LEPH III, LEPH IV, Mr. Crate, Mr. Kalichstein and Mr. Murphy have a reportable pecuniary interest in the shares held in the LEP Managed Accounts.</w:t>
      </w:r>
    </w:p>
    <w:p>
      <w:pPr>
        <w:spacing w:after="0" w:line="30" w:lineRule="exact"/>
        <w:rPr>
          <w:rFonts w:ascii="Arial" w:cs="Arial" w:eastAsia="Arial" w:hAnsi="Arial"/>
          <w:sz w:val="14"/>
          <w:szCs w:val="14"/>
          <w:color w:val="008000"/>
        </w:rPr>
      </w:pPr>
    </w:p>
    <w:p>
      <w:pPr>
        <w:ind w:left="20" w:right="2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a certain separately managed account (the "LCS Managed Account"). LCS, as the investment manager to the LCS Managed Account, may be deemed to beneficially own such shares. LCS does not have a reportable pecuniary interest under Section 16a-1(a)(2) of the Exchange Act in the shares held in the LCS Managed Account as LCS receives an asset-based management fee for serving as investment manager to the LCS Managed Account.</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5, Mr. Murphy does not have a reportable pecuniary interest in the shares held in the LCS Managed Account.</w:t>
      </w:r>
    </w:p>
    <w:p>
      <w:pPr>
        <w:spacing w:after="0" w:line="41" w:lineRule="exact"/>
        <w:rPr>
          <w:rFonts w:ascii="Arial" w:cs="Arial" w:eastAsia="Arial" w:hAnsi="Arial"/>
          <w:sz w:val="14"/>
          <w:szCs w:val="14"/>
          <w:color w:val="008000"/>
        </w:rPr>
      </w:pPr>
    </w:p>
    <w:p>
      <w:pPr>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sold in multiple transactions at prices ranging from $11.50 and $11.69.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jc w:val="both"/>
        <w:ind w:left="20" w:right="1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sold in multiple transactions at prices ranging from $11.530 and $11.605.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sold in multiple transactions at prices ranging from $11.75 and $11.80.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ind w:left="6840"/>
        <w:spacing w:after="0" w:line="183" w:lineRule="auto"/>
        <w:rPr>
          <w:sz w:val="20"/>
          <w:szCs w:val="20"/>
          <w:color w:val="auto"/>
        </w:rPr>
      </w:pPr>
      <w:r>
        <w:rPr>
          <w:rFonts w:ascii="Arial" w:cs="Arial" w:eastAsia="Arial" w:hAnsi="Arial"/>
          <w:sz w:val="17"/>
          <w:szCs w:val="17"/>
          <w:color w:val="0000FF"/>
        </w:rPr>
        <w:t xml:space="preserve">Levin Easterly Partners; By: /s/ </w:t>
      </w:r>
      <w:r>
        <w:rPr>
          <w:rFonts w:ascii="Arial" w:cs="Arial" w:eastAsia="Arial" w:hAnsi="Arial"/>
          <w:sz w:val="33"/>
          <w:szCs w:val="33"/>
          <w:color w:val="0000FF"/>
          <w:vertAlign w:val="subscript"/>
        </w:rPr>
        <w:t>07/24/2019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-27940</wp:posOffset>
            </wp:positionV>
            <wp:extent cx="13995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Darrell Crate,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-22860</wp:posOffset>
            </wp:positionV>
            <wp:extent cx="10801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-91440</wp:posOffset>
            </wp:positionV>
            <wp:extent cx="508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357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373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74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81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ectPr>
          <w:pgSz w:w="11900" w:h="16838" w:orient="portrait"/>
          <w:cols w:equalWidth="0" w:num="1">
            <w:col w:w="11360"/>
          </w:cols>
          <w:pgMar w:left="260" w:top="274" w:right="279" w:bottom="0" w:gutter="0" w:footer="0" w:header="0"/>
        </w:sectPr>
      </w:pPr>
    </w:p>
    <w:p>
      <w:pPr>
        <w:spacing w:after="0" w:line="5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181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Avshalom Kalichstein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18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118870"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308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3088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941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04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0000FF"/>
        </w:rPr>
        <w:t>07/24/2019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07/24/2019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07/24/2019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07/24/2019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8880" w:space="260"/>
            <w:col w:w="2220"/>
          </w:cols>
          <w:pgMar w:left="260" w:top="274" w:right="279" w:bottom="0" w:gutter="0" w:footer="0" w:header="0"/>
          <w:type w:val="continuous"/>
        </w:sectPr>
      </w:pPr>
    </w:p>
    <w:bookmarkStart w:id="3" w:name="page4"/>
    <w:bookmarkEnd w:id="3"/>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9"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12" Type="http://schemas.openxmlformats.org/officeDocument/2006/relationships/hyperlink" Target="http://www.sec.gov/cgi-bin/browse-edgar?action=getcompany&amp;CIK=0001766150"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773034" TargetMode="External"/><Relationship Id="rId15" Type="http://schemas.openxmlformats.org/officeDocument/2006/relationships/hyperlink" Target="http://www.sec.gov/cgi-bin/browse-edgar?action=getcompany&amp;CIK=0001773035" TargetMode="External"/><Relationship Id="rId16" Type="http://schemas.openxmlformats.org/officeDocument/2006/relationships/hyperlink" Target="http://www.sec.gov/cgi-bin/browse-edgar?action=getcompany&amp;CIK=0001773036" TargetMode="External"/><Relationship Id="rId17" Type="http://schemas.openxmlformats.org/officeDocument/2006/relationships/hyperlink" Target="http://www.sec.gov/cgi-bin/browse-edgar?action=getcompany&amp;CIK=0001773037" TargetMode="External"/><Relationship Id="rId18" Type="http://schemas.openxmlformats.org/officeDocument/2006/relationships/hyperlink" Target="http://www.sec.gov/cgi-bin/browse-edgar?action=getcompany&amp;CIK=0001201028" TargetMode="External"/><Relationship Id="rId19" Type="http://schemas.openxmlformats.org/officeDocument/2006/relationships/hyperlink" Target="http://www.sec.gov/cgi-bin/browse-edgar?action=getcompany&amp;CIK=0001344074" TargetMode="External"/><Relationship Id="rId58" Type="http://schemas.openxmlformats.org/officeDocument/2006/relationships/hyperlink" Target="http://www.sec.gov/cgi-bin/browse-edgar?action=getcompany&amp;CIK=0001773400" TargetMode="External"/><Relationship Id="rId60" Type="http://schemas.openxmlformats.org/officeDocument/2006/relationships/hyperlink" Target="http://www.sec.gov/cgi-bin/browse-edgar?action=getcompany&amp;CIK=00013548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2019-12-24T09:20:55Z</dcterms:created>
  <dcterms:modified xsi:type="dcterms:W3CDTF">2019-12-24T09:20:55Z</dcterms:modified>
</cp:coreProperties>
</file>