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780"/>
          </w:cols>
          <w:pgMar w:left="240" w:top="226" w:right="259" w:bottom="6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Levin Easterly Partners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595 MADISON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Passive Investor</w:t>
      </w:r>
    </w:p>
    <w:p>
      <w:pPr>
        <w:spacing w:after="0" w:line="462" w:lineRule="exact"/>
        <w:rPr>
          <w:sz w:val="24"/>
          <w:szCs w:val="24"/>
          <w:color w:val="auto"/>
        </w:rPr>
      </w:pPr>
    </w:p>
    <w:p>
      <w:pPr>
        <w:sectPr>
          <w:pgSz w:w="11900" w:h="16838" w:orient="portrait"/>
          <w:cols w:equalWidth="0" w:num="3">
            <w:col w:w="3360" w:space="720"/>
            <w:col w:w="3257" w:space="720"/>
            <w:col w:w="3343"/>
          </w:cols>
          <w:pgMar w:left="240" w:top="226" w:right="259" w:bottom="63" w:gutter="0" w:footer="0" w:header="0"/>
          <w:type w:val="continuous"/>
        </w:sectPr>
      </w:pP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4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7340" w:space="720"/>
            <w:col w:w="3340"/>
          </w:cols>
          <w:pgMar w:left="240" w:top="226" w:right="259" w:bottom="63"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40" w:type="dxa"/>
            <w:vAlign w:val="bottom"/>
          </w:tcPr>
          <w:p>
            <w:pPr>
              <w:jc w:val="center"/>
              <w:ind w:left="521"/>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40" w:type="dxa"/>
            <w:vAlign w:val="bottom"/>
          </w:tcPr>
          <w:p>
            <w:pPr>
              <w:jc w:val="center"/>
              <w:ind w:left="541"/>
              <w:spacing w:after="0"/>
              <w:rPr>
                <w:sz w:val="20"/>
                <w:szCs w:val="20"/>
                <w:color w:val="auto"/>
              </w:rPr>
            </w:pPr>
            <w:r>
              <w:rPr>
                <w:rFonts w:ascii="Arial" w:cs="Arial" w:eastAsia="Arial" w:hAnsi="Arial"/>
                <w:sz w:val="18"/>
                <w:szCs w:val="18"/>
                <w:color w:val="0000FF"/>
                <w:w w:val="88"/>
              </w:rPr>
              <w:t>08/21/2019</w:t>
            </w:r>
          </w:p>
        </w:tc>
        <w:tc>
          <w:tcPr>
            <w:tcW w:w="114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J</w:t>
            </w:r>
          </w:p>
        </w:tc>
        <w:tc>
          <w:tcPr>
            <w:tcW w:w="820" w:type="dxa"/>
            <w:vAlign w:val="bottom"/>
          </w:tcPr>
          <w:p>
            <w:pPr>
              <w:jc w:val="center"/>
              <w:spacing w:after="0"/>
              <w:rPr>
                <w:sz w:val="20"/>
                <w:szCs w:val="20"/>
                <w:color w:val="auto"/>
              </w:rPr>
            </w:pPr>
            <w:r>
              <w:rPr>
                <w:rFonts w:ascii="Arial" w:cs="Arial" w:eastAsia="Arial" w:hAnsi="Arial"/>
                <w:sz w:val="18"/>
                <w:szCs w:val="18"/>
                <w:color w:val="0000FF"/>
                <w:w w:val="87"/>
              </w:rPr>
              <w:t>33,881</w:t>
            </w:r>
          </w:p>
        </w:tc>
        <w:tc>
          <w:tcPr>
            <w:tcW w:w="520" w:type="dxa"/>
            <w:vAlign w:val="bottom"/>
          </w:tcPr>
          <w:p>
            <w:pPr>
              <w:jc w:val="center"/>
              <w:spacing w:after="0"/>
              <w:rPr>
                <w:sz w:val="20"/>
                <w:szCs w:val="20"/>
                <w:color w:val="auto"/>
              </w:rPr>
            </w:pPr>
            <w:r>
              <w:rPr>
                <w:rFonts w:ascii="Arial" w:cs="Arial" w:eastAsia="Arial" w:hAnsi="Arial"/>
                <w:sz w:val="18"/>
                <w:szCs w:val="18"/>
                <w:color w:val="0000FF"/>
              </w:rPr>
              <w:t>D</w:t>
            </w:r>
          </w:p>
        </w:tc>
        <w:tc>
          <w:tcPr>
            <w:tcW w:w="920" w:type="dxa"/>
            <w:vAlign w:val="bottom"/>
          </w:tcPr>
          <w:p>
            <w:pPr>
              <w:jc w:val="center"/>
              <w:spacing w:after="0"/>
              <w:rPr>
                <w:sz w:val="20"/>
                <w:szCs w:val="20"/>
                <w:color w:val="auto"/>
              </w:rPr>
            </w:pPr>
            <w:r>
              <w:rPr>
                <w:rFonts w:ascii="Arial" w:cs="Arial" w:eastAsia="Arial" w:hAnsi="Arial"/>
                <w:sz w:val="11"/>
                <w:szCs w:val="11"/>
                <w:color w:val="008000"/>
              </w:rPr>
              <w:t>(7)</w:t>
            </w:r>
          </w:p>
        </w:tc>
        <w:tc>
          <w:tcPr>
            <w:tcW w:w="1160" w:type="dxa"/>
            <w:vAlign w:val="bottom"/>
          </w:tcPr>
          <w:p>
            <w:pPr>
              <w:ind w:left="240"/>
              <w:spacing w:after="0"/>
              <w:rPr>
                <w:sz w:val="20"/>
                <w:szCs w:val="20"/>
                <w:color w:val="auto"/>
              </w:rPr>
            </w:pPr>
            <w:r>
              <w:rPr>
                <w:rFonts w:ascii="Arial" w:cs="Arial" w:eastAsia="Arial" w:hAnsi="Arial"/>
                <w:sz w:val="18"/>
                <w:szCs w:val="18"/>
                <w:color w:val="0000FF"/>
              </w:rPr>
              <w:t>8,237,730</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40" w:type="dxa"/>
            <w:vAlign w:val="bottom"/>
          </w:tcPr>
          <w:p>
            <w:pPr>
              <w:jc w:val="center"/>
              <w:ind w:left="541"/>
              <w:spacing w:after="0"/>
              <w:rPr>
                <w:sz w:val="20"/>
                <w:szCs w:val="20"/>
                <w:color w:val="auto"/>
              </w:rPr>
            </w:pPr>
            <w:r>
              <w:rPr>
                <w:rFonts w:ascii="Arial" w:cs="Arial" w:eastAsia="Arial" w:hAnsi="Arial"/>
                <w:sz w:val="18"/>
                <w:szCs w:val="18"/>
                <w:color w:val="0000FF"/>
                <w:w w:val="88"/>
              </w:rPr>
              <w:t>08/27/2019</w:t>
            </w:r>
          </w:p>
        </w:tc>
        <w:tc>
          <w:tcPr>
            <w:tcW w:w="114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J</w:t>
            </w:r>
          </w:p>
        </w:tc>
        <w:tc>
          <w:tcPr>
            <w:tcW w:w="820" w:type="dxa"/>
            <w:vAlign w:val="bottom"/>
          </w:tcPr>
          <w:p>
            <w:pPr>
              <w:jc w:val="center"/>
              <w:spacing w:after="0"/>
              <w:rPr>
                <w:sz w:val="20"/>
                <w:szCs w:val="20"/>
                <w:color w:val="auto"/>
              </w:rPr>
            </w:pPr>
            <w:r>
              <w:rPr>
                <w:rFonts w:ascii="Arial" w:cs="Arial" w:eastAsia="Arial" w:hAnsi="Arial"/>
                <w:sz w:val="18"/>
                <w:szCs w:val="18"/>
                <w:color w:val="0000FF"/>
                <w:w w:val="87"/>
              </w:rPr>
              <w:t>50,928</w:t>
            </w:r>
          </w:p>
        </w:tc>
        <w:tc>
          <w:tcPr>
            <w:tcW w:w="520" w:type="dxa"/>
            <w:vAlign w:val="bottom"/>
          </w:tcPr>
          <w:p>
            <w:pPr>
              <w:jc w:val="center"/>
              <w:spacing w:after="0"/>
              <w:rPr>
                <w:sz w:val="20"/>
                <w:szCs w:val="20"/>
                <w:color w:val="auto"/>
              </w:rPr>
            </w:pPr>
            <w:r>
              <w:rPr>
                <w:rFonts w:ascii="Arial" w:cs="Arial" w:eastAsia="Arial" w:hAnsi="Arial"/>
                <w:sz w:val="18"/>
                <w:szCs w:val="18"/>
                <w:color w:val="0000FF"/>
              </w:rPr>
              <w:t>D</w:t>
            </w:r>
          </w:p>
        </w:tc>
        <w:tc>
          <w:tcPr>
            <w:tcW w:w="920" w:type="dxa"/>
            <w:vAlign w:val="bottom"/>
          </w:tcPr>
          <w:p>
            <w:pPr>
              <w:jc w:val="center"/>
              <w:spacing w:after="0"/>
              <w:rPr>
                <w:sz w:val="20"/>
                <w:szCs w:val="20"/>
                <w:color w:val="auto"/>
              </w:rPr>
            </w:pPr>
            <w:r>
              <w:rPr>
                <w:rFonts w:ascii="Arial" w:cs="Arial" w:eastAsia="Arial" w:hAnsi="Arial"/>
                <w:sz w:val="11"/>
                <w:szCs w:val="11"/>
                <w:color w:val="008000"/>
              </w:rPr>
              <w:t>(8)</w:t>
            </w:r>
          </w:p>
        </w:tc>
        <w:tc>
          <w:tcPr>
            <w:tcW w:w="1160" w:type="dxa"/>
            <w:vAlign w:val="bottom"/>
          </w:tcPr>
          <w:p>
            <w:pPr>
              <w:ind w:left="240"/>
              <w:spacing w:after="0"/>
              <w:rPr>
                <w:sz w:val="20"/>
                <w:szCs w:val="20"/>
                <w:color w:val="auto"/>
              </w:rPr>
            </w:pPr>
            <w:r>
              <w:rPr>
                <w:rFonts w:ascii="Arial" w:cs="Arial" w:eastAsia="Arial" w:hAnsi="Arial"/>
                <w:sz w:val="18"/>
                <w:szCs w:val="18"/>
                <w:color w:val="0000FF"/>
              </w:rPr>
              <w:t>8,186,802</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40" w:type="dxa"/>
            <w:vAlign w:val="bottom"/>
          </w:tcPr>
          <w:p>
            <w:pPr>
              <w:jc w:val="center"/>
              <w:ind w:left="541"/>
              <w:spacing w:after="0"/>
              <w:rPr>
                <w:sz w:val="20"/>
                <w:szCs w:val="20"/>
                <w:color w:val="auto"/>
              </w:rPr>
            </w:pPr>
            <w:r>
              <w:rPr>
                <w:rFonts w:ascii="Arial" w:cs="Arial" w:eastAsia="Arial" w:hAnsi="Arial"/>
                <w:sz w:val="18"/>
                <w:szCs w:val="18"/>
                <w:color w:val="0000FF"/>
                <w:w w:val="88"/>
              </w:rPr>
              <w:t>09/04/2019</w:t>
            </w:r>
          </w:p>
        </w:tc>
        <w:tc>
          <w:tcPr>
            <w:tcW w:w="114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J</w:t>
            </w:r>
          </w:p>
        </w:tc>
        <w:tc>
          <w:tcPr>
            <w:tcW w:w="820" w:type="dxa"/>
            <w:vAlign w:val="bottom"/>
          </w:tcPr>
          <w:p>
            <w:pPr>
              <w:jc w:val="center"/>
              <w:spacing w:after="0"/>
              <w:rPr>
                <w:sz w:val="20"/>
                <w:szCs w:val="20"/>
                <w:color w:val="auto"/>
              </w:rPr>
            </w:pPr>
            <w:r>
              <w:rPr>
                <w:rFonts w:ascii="Arial" w:cs="Arial" w:eastAsia="Arial" w:hAnsi="Arial"/>
                <w:sz w:val="18"/>
                <w:szCs w:val="18"/>
                <w:color w:val="0000FF"/>
                <w:w w:val="89"/>
              </w:rPr>
              <w:t>465,400</w:t>
            </w:r>
          </w:p>
        </w:tc>
        <w:tc>
          <w:tcPr>
            <w:tcW w:w="520" w:type="dxa"/>
            <w:vAlign w:val="bottom"/>
          </w:tcPr>
          <w:p>
            <w:pPr>
              <w:jc w:val="center"/>
              <w:spacing w:after="0"/>
              <w:rPr>
                <w:sz w:val="20"/>
                <w:szCs w:val="20"/>
                <w:color w:val="auto"/>
              </w:rPr>
            </w:pPr>
            <w:r>
              <w:rPr>
                <w:rFonts w:ascii="Arial" w:cs="Arial" w:eastAsia="Arial" w:hAnsi="Arial"/>
                <w:sz w:val="18"/>
                <w:szCs w:val="18"/>
                <w:color w:val="0000FF"/>
              </w:rPr>
              <w:t>D</w:t>
            </w:r>
          </w:p>
        </w:tc>
        <w:tc>
          <w:tcPr>
            <w:tcW w:w="920" w:type="dxa"/>
            <w:vAlign w:val="bottom"/>
          </w:tcPr>
          <w:p>
            <w:pPr>
              <w:jc w:val="center"/>
              <w:spacing w:after="0"/>
              <w:rPr>
                <w:sz w:val="20"/>
                <w:szCs w:val="20"/>
                <w:color w:val="auto"/>
              </w:rPr>
            </w:pPr>
            <w:r>
              <w:rPr>
                <w:rFonts w:ascii="Arial" w:cs="Arial" w:eastAsia="Arial" w:hAnsi="Arial"/>
                <w:sz w:val="11"/>
                <w:szCs w:val="11"/>
                <w:color w:val="008000"/>
              </w:rPr>
              <w:t>(9)</w:t>
            </w:r>
          </w:p>
        </w:tc>
        <w:tc>
          <w:tcPr>
            <w:tcW w:w="1160" w:type="dxa"/>
            <w:vAlign w:val="bottom"/>
          </w:tcPr>
          <w:p>
            <w:pPr>
              <w:ind w:left="240"/>
              <w:spacing w:after="0"/>
              <w:rPr>
                <w:sz w:val="20"/>
                <w:szCs w:val="20"/>
                <w:color w:val="auto"/>
              </w:rPr>
            </w:pPr>
            <w:r>
              <w:rPr>
                <w:rFonts w:ascii="Arial" w:cs="Arial" w:eastAsia="Arial" w:hAnsi="Arial"/>
                <w:sz w:val="18"/>
                <w:szCs w:val="18"/>
                <w:color w:val="0000FF"/>
              </w:rPr>
              <w:t>7,721,402</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40" w:type="dxa"/>
            <w:vAlign w:val="bottom"/>
          </w:tcPr>
          <w:p>
            <w:pPr>
              <w:jc w:val="center"/>
              <w:ind w:left="541"/>
              <w:spacing w:after="0"/>
              <w:rPr>
                <w:sz w:val="20"/>
                <w:szCs w:val="20"/>
                <w:color w:val="auto"/>
              </w:rPr>
            </w:pPr>
            <w:r>
              <w:rPr>
                <w:rFonts w:ascii="Arial" w:cs="Arial" w:eastAsia="Arial" w:hAnsi="Arial"/>
                <w:sz w:val="18"/>
                <w:szCs w:val="18"/>
                <w:color w:val="0000FF"/>
                <w:w w:val="88"/>
              </w:rPr>
              <w:t>09/05/2019</w:t>
            </w:r>
          </w:p>
        </w:tc>
        <w:tc>
          <w:tcPr>
            <w:tcW w:w="114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J</w:t>
            </w:r>
          </w:p>
        </w:tc>
        <w:tc>
          <w:tcPr>
            <w:tcW w:w="820" w:type="dxa"/>
            <w:vAlign w:val="bottom"/>
          </w:tcPr>
          <w:p>
            <w:pPr>
              <w:jc w:val="center"/>
              <w:spacing w:after="0"/>
              <w:rPr>
                <w:sz w:val="20"/>
                <w:szCs w:val="20"/>
                <w:color w:val="auto"/>
              </w:rPr>
            </w:pPr>
            <w:r>
              <w:rPr>
                <w:rFonts w:ascii="Arial" w:cs="Arial" w:eastAsia="Arial" w:hAnsi="Arial"/>
                <w:sz w:val="18"/>
                <w:szCs w:val="18"/>
                <w:color w:val="0000FF"/>
                <w:w w:val="89"/>
              </w:rPr>
              <w:t>191,724</w:t>
            </w:r>
          </w:p>
        </w:tc>
        <w:tc>
          <w:tcPr>
            <w:tcW w:w="520" w:type="dxa"/>
            <w:vAlign w:val="bottom"/>
          </w:tcPr>
          <w:p>
            <w:pPr>
              <w:jc w:val="center"/>
              <w:spacing w:after="0"/>
              <w:rPr>
                <w:sz w:val="20"/>
                <w:szCs w:val="20"/>
                <w:color w:val="auto"/>
              </w:rPr>
            </w:pPr>
            <w:r>
              <w:rPr>
                <w:rFonts w:ascii="Arial" w:cs="Arial" w:eastAsia="Arial" w:hAnsi="Arial"/>
                <w:sz w:val="18"/>
                <w:szCs w:val="18"/>
                <w:color w:val="0000FF"/>
              </w:rPr>
              <w:t>D</w:t>
            </w:r>
          </w:p>
        </w:tc>
        <w:tc>
          <w:tcPr>
            <w:tcW w:w="92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1160" w:type="dxa"/>
            <w:vAlign w:val="bottom"/>
          </w:tcPr>
          <w:p>
            <w:pPr>
              <w:ind w:left="240"/>
              <w:spacing w:after="0"/>
              <w:rPr>
                <w:sz w:val="20"/>
                <w:szCs w:val="20"/>
                <w:color w:val="auto"/>
              </w:rPr>
            </w:pPr>
            <w:r>
              <w:rPr>
                <w:rFonts w:ascii="Arial" w:cs="Arial" w:eastAsia="Arial" w:hAnsi="Arial"/>
                <w:sz w:val="18"/>
                <w:szCs w:val="18"/>
                <w:color w:val="0000FF"/>
              </w:rPr>
              <w:t>7,529,678</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40" w:type="dxa"/>
            <w:vAlign w:val="bottom"/>
          </w:tcPr>
          <w:p>
            <w:pPr>
              <w:jc w:val="center"/>
              <w:ind w:left="541"/>
              <w:spacing w:after="0"/>
              <w:rPr>
                <w:sz w:val="20"/>
                <w:szCs w:val="20"/>
                <w:color w:val="auto"/>
              </w:rPr>
            </w:pPr>
            <w:r>
              <w:rPr>
                <w:rFonts w:ascii="Arial" w:cs="Arial" w:eastAsia="Arial" w:hAnsi="Arial"/>
                <w:sz w:val="18"/>
                <w:szCs w:val="18"/>
                <w:color w:val="0000FF"/>
                <w:w w:val="88"/>
              </w:rPr>
              <w:t>09/05/2019</w:t>
            </w:r>
          </w:p>
        </w:tc>
        <w:tc>
          <w:tcPr>
            <w:tcW w:w="114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J</w:t>
            </w:r>
          </w:p>
        </w:tc>
        <w:tc>
          <w:tcPr>
            <w:tcW w:w="820" w:type="dxa"/>
            <w:vAlign w:val="bottom"/>
          </w:tcPr>
          <w:p>
            <w:pPr>
              <w:jc w:val="center"/>
              <w:spacing w:after="0"/>
              <w:rPr>
                <w:sz w:val="20"/>
                <w:szCs w:val="20"/>
                <w:color w:val="auto"/>
              </w:rPr>
            </w:pPr>
            <w:r>
              <w:rPr>
                <w:rFonts w:ascii="Arial" w:cs="Arial" w:eastAsia="Arial" w:hAnsi="Arial"/>
                <w:sz w:val="18"/>
                <w:szCs w:val="18"/>
                <w:color w:val="0000FF"/>
                <w:w w:val="87"/>
              </w:rPr>
              <w:t>31,065</w:t>
            </w:r>
          </w:p>
        </w:tc>
        <w:tc>
          <w:tcPr>
            <w:tcW w:w="520" w:type="dxa"/>
            <w:vAlign w:val="bottom"/>
          </w:tcPr>
          <w:p>
            <w:pPr>
              <w:jc w:val="center"/>
              <w:spacing w:after="0"/>
              <w:rPr>
                <w:sz w:val="20"/>
                <w:szCs w:val="20"/>
                <w:color w:val="auto"/>
              </w:rPr>
            </w:pPr>
            <w:r>
              <w:rPr>
                <w:rFonts w:ascii="Arial" w:cs="Arial" w:eastAsia="Arial" w:hAnsi="Arial"/>
                <w:sz w:val="18"/>
                <w:szCs w:val="18"/>
                <w:color w:val="0000FF"/>
              </w:rPr>
              <w:t>D</w:t>
            </w:r>
          </w:p>
        </w:tc>
        <w:tc>
          <w:tcPr>
            <w:tcW w:w="920" w:type="dxa"/>
            <w:vAlign w:val="bottom"/>
          </w:tcPr>
          <w:p>
            <w:pPr>
              <w:jc w:val="center"/>
              <w:spacing w:after="0"/>
              <w:rPr>
                <w:sz w:val="20"/>
                <w:szCs w:val="20"/>
                <w:color w:val="auto"/>
              </w:rPr>
            </w:pPr>
            <w:r>
              <w:rPr>
                <w:rFonts w:ascii="Arial" w:cs="Arial" w:eastAsia="Arial" w:hAnsi="Arial"/>
                <w:sz w:val="11"/>
                <w:szCs w:val="11"/>
                <w:color w:val="008000"/>
                <w:w w:val="91"/>
              </w:rPr>
              <w:t>(11)</w:t>
            </w:r>
          </w:p>
        </w:tc>
        <w:tc>
          <w:tcPr>
            <w:tcW w:w="1160" w:type="dxa"/>
            <w:vAlign w:val="bottom"/>
          </w:tcPr>
          <w:p>
            <w:pPr>
              <w:ind w:left="240"/>
              <w:spacing w:after="0"/>
              <w:rPr>
                <w:sz w:val="20"/>
                <w:szCs w:val="20"/>
                <w:color w:val="auto"/>
              </w:rPr>
            </w:pPr>
            <w:r>
              <w:rPr>
                <w:rFonts w:ascii="Arial" w:cs="Arial" w:eastAsia="Arial" w:hAnsi="Arial"/>
                <w:sz w:val="18"/>
                <w:szCs w:val="18"/>
                <w:color w:val="0000FF"/>
              </w:rPr>
              <w:t>7,498,613</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40" w:type="dxa"/>
            <w:vAlign w:val="bottom"/>
          </w:tcPr>
          <w:p>
            <w:pPr>
              <w:jc w:val="center"/>
              <w:ind w:left="541"/>
              <w:spacing w:after="0"/>
              <w:rPr>
                <w:sz w:val="20"/>
                <w:szCs w:val="20"/>
                <w:color w:val="auto"/>
              </w:rPr>
            </w:pPr>
            <w:r>
              <w:rPr>
                <w:rFonts w:ascii="Arial" w:cs="Arial" w:eastAsia="Arial" w:hAnsi="Arial"/>
                <w:sz w:val="18"/>
                <w:szCs w:val="18"/>
                <w:color w:val="0000FF"/>
                <w:w w:val="88"/>
              </w:rPr>
              <w:t>09/11/2019</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84"/>
              </w:rPr>
              <w:t>1,507</w:t>
            </w:r>
          </w:p>
        </w:tc>
        <w:tc>
          <w:tcPr>
            <w:tcW w:w="520" w:type="dxa"/>
            <w:vAlign w:val="bottom"/>
          </w:tcPr>
          <w:p>
            <w:pPr>
              <w:jc w:val="center"/>
              <w:spacing w:after="0"/>
              <w:rPr>
                <w:sz w:val="20"/>
                <w:szCs w:val="20"/>
                <w:color w:val="auto"/>
              </w:rPr>
            </w:pPr>
            <w:r>
              <w:rPr>
                <w:rFonts w:ascii="Arial" w:cs="Arial" w:eastAsia="Arial" w:hAnsi="Arial"/>
                <w:sz w:val="18"/>
                <w:szCs w:val="18"/>
                <w:color w:val="0000FF"/>
              </w:rPr>
              <w:t>D</w:t>
            </w:r>
          </w:p>
        </w:tc>
        <w:tc>
          <w:tcPr>
            <w:tcW w:w="920" w:type="dxa"/>
            <w:vAlign w:val="bottom"/>
          </w:tcPr>
          <w:p>
            <w:pPr>
              <w:jc w:val="center"/>
              <w:spacing w:after="0" w:line="217" w:lineRule="exact"/>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5.564</w:t>
            </w:r>
            <w:r>
              <w:rPr>
                <w:rFonts w:ascii="Arial" w:cs="Arial" w:eastAsia="Arial" w:hAnsi="Arial"/>
                <w:sz w:val="22"/>
                <w:szCs w:val="22"/>
                <w:color w:val="008000"/>
                <w:w w:val="83"/>
                <w:vertAlign w:val="superscript"/>
              </w:rPr>
              <w:t>(12)</w:t>
            </w:r>
          </w:p>
        </w:tc>
        <w:tc>
          <w:tcPr>
            <w:tcW w:w="1160" w:type="dxa"/>
            <w:vAlign w:val="bottom"/>
          </w:tcPr>
          <w:p>
            <w:pPr>
              <w:ind w:left="240"/>
              <w:spacing w:after="0"/>
              <w:rPr>
                <w:sz w:val="20"/>
                <w:szCs w:val="20"/>
                <w:color w:val="auto"/>
              </w:rPr>
            </w:pPr>
            <w:r>
              <w:rPr>
                <w:rFonts w:ascii="Arial" w:cs="Arial" w:eastAsia="Arial" w:hAnsi="Arial"/>
                <w:sz w:val="18"/>
                <w:szCs w:val="18"/>
                <w:color w:val="0000FF"/>
              </w:rPr>
              <w:t>7,497,106</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78"/>
        </w:trPr>
        <w:tc>
          <w:tcPr>
            <w:tcW w:w="24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bl>
    <w:p>
      <w:pPr>
        <w:sectPr>
          <w:pgSz w:w="11900" w:h="16838" w:orient="portrait"/>
          <w:cols w:equalWidth="0" w:num="1">
            <w:col w:w="11400"/>
          </w:cols>
          <w:pgMar w:left="240" w:top="226" w:right="259" w:bottom="6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10515600"/>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40" w:type="dxa"/>
            <w:vAlign w:val="bottom"/>
          </w:tcPr>
          <w:p>
            <w:pPr>
              <w:jc w:val="right"/>
              <w:ind w:right="92"/>
              <w:spacing w:after="0"/>
              <w:rPr>
                <w:sz w:val="20"/>
                <w:szCs w:val="20"/>
                <w:color w:val="auto"/>
              </w:rPr>
            </w:pPr>
            <w:r>
              <w:rPr>
                <w:rFonts w:ascii="Arial" w:cs="Arial" w:eastAsia="Arial" w:hAnsi="Arial"/>
                <w:sz w:val="18"/>
                <w:szCs w:val="18"/>
                <w:color w:val="0000FF"/>
              </w:rPr>
              <w:t>09/11/2019</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right"/>
              <w:ind w:right="52"/>
              <w:spacing w:after="0"/>
              <w:rPr>
                <w:sz w:val="20"/>
                <w:szCs w:val="20"/>
                <w:color w:val="auto"/>
              </w:rPr>
            </w:pPr>
            <w:r>
              <w:rPr>
                <w:rFonts w:ascii="Arial" w:cs="Arial" w:eastAsia="Arial" w:hAnsi="Arial"/>
                <w:sz w:val="18"/>
                <w:szCs w:val="18"/>
                <w:color w:val="0000FF"/>
              </w:rPr>
              <w:t>10,038</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920" w:type="dxa"/>
            <w:vAlign w:val="bottom"/>
          </w:tcPr>
          <w:p>
            <w:pPr>
              <w:ind w:left="80"/>
              <w:spacing w:after="0" w:line="217" w:lineRule="exact"/>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5.5516</w:t>
            </w:r>
            <w:r>
              <w:rPr>
                <w:rFonts w:ascii="Arial" w:cs="Arial" w:eastAsia="Arial" w:hAnsi="Arial"/>
                <w:sz w:val="22"/>
                <w:szCs w:val="22"/>
                <w:color w:val="008000"/>
                <w:w w:val="89"/>
                <w:vertAlign w:val="superscript"/>
              </w:rPr>
              <w:t>(13)</w:t>
            </w:r>
          </w:p>
        </w:tc>
        <w:tc>
          <w:tcPr>
            <w:tcW w:w="1160" w:type="dxa"/>
            <w:vAlign w:val="bottom"/>
          </w:tcPr>
          <w:p>
            <w:pPr>
              <w:jc w:val="right"/>
              <w:ind w:right="153"/>
              <w:spacing w:after="0"/>
              <w:rPr>
                <w:sz w:val="20"/>
                <w:szCs w:val="20"/>
                <w:color w:val="auto"/>
              </w:rPr>
            </w:pPr>
            <w:r>
              <w:rPr>
                <w:rFonts w:ascii="Arial" w:cs="Arial" w:eastAsia="Arial" w:hAnsi="Arial"/>
                <w:sz w:val="18"/>
                <w:szCs w:val="18"/>
                <w:color w:val="0000FF"/>
              </w:rPr>
              <w:t>7,487,068</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 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jc w:val="right"/>
              <w:ind w:right="313"/>
              <w:spacing w:after="0"/>
              <w:rPr>
                <w:sz w:val="20"/>
                <w:szCs w:val="20"/>
                <w:color w:val="auto"/>
              </w:rPr>
            </w:pPr>
            <w:r>
              <w:rPr>
                <w:rFonts w:ascii="Arial" w:cs="Arial" w:eastAsia="Arial" w:hAnsi="Arial"/>
                <w:sz w:val="18"/>
                <w:szCs w:val="18"/>
                <w:color w:val="0000FF"/>
              </w:rPr>
              <w:t>4,996</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w w:val="90"/>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(5)(6)</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6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4"/>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6"/>
          </w:tcPr>
          <w:p>
            <w:pPr>
              <w:spacing w:after="0" w:line="224" w:lineRule="exact"/>
              <w:rPr>
                <w:rFonts w:ascii="Arial" w:cs="Arial" w:eastAsia="Arial" w:hAnsi="Arial"/>
                <w:sz w:val="22"/>
                <w:szCs w:val="22"/>
                <w:color w:val="0000EE"/>
                <w:w w:val="94"/>
              </w:rPr>
            </w:pPr>
            <w:hyperlink r:id="rId12">
              <w:r>
                <w:rPr>
                  <w:rFonts w:ascii="Arial" w:cs="Arial" w:eastAsia="Arial" w:hAnsi="Arial"/>
                  <w:sz w:val="22"/>
                  <w:szCs w:val="22"/>
                  <w:color w:val="0000EE"/>
                  <w:w w:val="94"/>
                </w:rPr>
                <w:t>Levin Easterly Partners LLC</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4"/>
          </w:tcPr>
          <w:p>
            <w:pPr>
              <w:ind w:left="20"/>
              <w:spacing w:after="0"/>
              <w:rPr>
                <w:sz w:val="20"/>
                <w:szCs w:val="20"/>
                <w:color w:val="auto"/>
              </w:rPr>
            </w:pPr>
            <w:r>
              <w:rPr>
                <w:rFonts w:ascii="Arial" w:cs="Arial" w:eastAsia="Arial" w:hAnsi="Arial"/>
                <w:sz w:val="18"/>
                <w:szCs w:val="18"/>
                <w:color w:val="0000FF"/>
              </w:rPr>
              <w:t>NY</w:t>
            </w:r>
          </w:p>
        </w:tc>
        <w:tc>
          <w:tcPr>
            <w:tcW w:w="1120" w:type="dxa"/>
            <w:vAlign w:val="bottom"/>
          </w:tcPr>
          <w:p>
            <w:pPr>
              <w:ind w:left="300"/>
              <w:spacing w:after="0"/>
              <w:rPr>
                <w:sz w:val="20"/>
                <w:szCs w:val="20"/>
                <w:color w:val="auto"/>
              </w:rPr>
            </w:pPr>
            <w:r>
              <w:rPr>
                <w:rFonts w:ascii="Arial" w:cs="Arial" w:eastAsia="Arial" w:hAnsi="Arial"/>
                <w:sz w:val="18"/>
                <w:szCs w:val="18"/>
                <w:color w:val="0000FF"/>
              </w:rPr>
              <w:t>10022</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720" w:type="dxa"/>
            <w:vAlign w:val="bottom"/>
            <w:gridSpan w:val="7"/>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6"/>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LE Partners Holdings LLC</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6"/>
          </w:tcPr>
          <w:p>
            <w:pPr>
              <w:spacing w:after="0"/>
              <w:rPr>
                <w:sz w:val="20"/>
                <w:szCs w:val="20"/>
                <w:color w:val="auto"/>
              </w:rPr>
            </w:pPr>
            <w:r>
              <w:rPr>
                <w:rFonts w:ascii="Arial" w:cs="Arial" w:eastAsia="Arial" w:hAnsi="Arial"/>
                <w:sz w:val="18"/>
                <w:szCs w:val="18"/>
                <w:color w:val="0000FF"/>
              </w:rPr>
              <w:t>138 CONANT STREET</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180" w:type="dxa"/>
            <w:vAlign w:val="bottom"/>
            <w:gridSpan w:val="4"/>
          </w:tcPr>
          <w:p>
            <w:pPr>
              <w:ind w:left="20"/>
              <w:spacing w:after="0"/>
              <w:rPr>
                <w:sz w:val="20"/>
                <w:szCs w:val="20"/>
                <w:color w:val="auto"/>
              </w:rPr>
            </w:pPr>
            <w:r>
              <w:rPr>
                <w:rFonts w:ascii="Arial" w:cs="Arial" w:eastAsia="Arial" w:hAnsi="Arial"/>
                <w:sz w:val="18"/>
                <w:szCs w:val="18"/>
                <w:color w:val="0000FF"/>
              </w:rPr>
              <w:t>MA</w:t>
            </w:r>
          </w:p>
        </w:tc>
        <w:tc>
          <w:tcPr>
            <w:tcW w:w="1120" w:type="dxa"/>
            <w:vAlign w:val="bottom"/>
          </w:tcPr>
          <w:p>
            <w:pPr>
              <w:ind w:left="300"/>
              <w:spacing w:after="0"/>
              <w:rPr>
                <w:sz w:val="20"/>
                <w:szCs w:val="20"/>
                <w:color w:val="auto"/>
              </w:rPr>
            </w:pPr>
            <w:r>
              <w:rPr>
                <w:rFonts w:ascii="Arial" w:cs="Arial" w:eastAsia="Arial" w:hAnsi="Arial"/>
                <w:sz w:val="18"/>
                <w:szCs w:val="18"/>
                <w:color w:val="0000FF"/>
              </w:rPr>
              <w:t>01915</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720" w:type="dxa"/>
            <w:vAlign w:val="bottom"/>
            <w:gridSpan w:val="7"/>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6"/>
          </w:tcPr>
          <w:p>
            <w:pPr>
              <w:spacing w:after="0" w:line="224" w:lineRule="exact"/>
              <w:rPr>
                <w:rFonts w:ascii="Arial" w:cs="Arial" w:eastAsia="Arial" w:hAnsi="Arial"/>
                <w:sz w:val="22"/>
                <w:szCs w:val="22"/>
                <w:color w:val="0000EE"/>
                <w:w w:val="95"/>
              </w:rPr>
            </w:pPr>
            <w:hyperlink r:id="rId16">
              <w:r>
                <w:rPr>
                  <w:rFonts w:ascii="Arial" w:cs="Arial" w:eastAsia="Arial" w:hAnsi="Arial"/>
                  <w:sz w:val="22"/>
                  <w:szCs w:val="22"/>
                  <w:color w:val="0000EE"/>
                  <w:w w:val="95"/>
                </w:rPr>
                <w:t>LE Partners Holdings II LLC</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6"/>
          </w:tcPr>
          <w:p>
            <w:pPr>
              <w:spacing w:after="0"/>
              <w:rPr>
                <w:sz w:val="20"/>
                <w:szCs w:val="20"/>
                <w:color w:val="auto"/>
              </w:rPr>
            </w:pPr>
            <w:r>
              <w:rPr>
                <w:rFonts w:ascii="Arial" w:cs="Arial" w:eastAsia="Arial" w:hAnsi="Arial"/>
                <w:sz w:val="18"/>
                <w:szCs w:val="18"/>
                <w:color w:val="0000FF"/>
              </w:rPr>
              <w:t>138 CONANT STREET</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180" w:type="dxa"/>
            <w:vAlign w:val="bottom"/>
            <w:gridSpan w:val="4"/>
          </w:tcPr>
          <w:p>
            <w:pPr>
              <w:ind w:left="20"/>
              <w:spacing w:after="0"/>
              <w:rPr>
                <w:sz w:val="20"/>
                <w:szCs w:val="20"/>
                <w:color w:val="auto"/>
              </w:rPr>
            </w:pPr>
            <w:r>
              <w:rPr>
                <w:rFonts w:ascii="Arial" w:cs="Arial" w:eastAsia="Arial" w:hAnsi="Arial"/>
                <w:sz w:val="18"/>
                <w:szCs w:val="18"/>
                <w:color w:val="0000FF"/>
              </w:rPr>
              <w:t>MA</w:t>
            </w:r>
          </w:p>
        </w:tc>
        <w:tc>
          <w:tcPr>
            <w:tcW w:w="1120" w:type="dxa"/>
            <w:vAlign w:val="bottom"/>
          </w:tcPr>
          <w:p>
            <w:pPr>
              <w:ind w:left="300"/>
              <w:spacing w:after="0"/>
              <w:rPr>
                <w:sz w:val="20"/>
                <w:szCs w:val="20"/>
                <w:color w:val="auto"/>
              </w:rPr>
            </w:pPr>
            <w:r>
              <w:rPr>
                <w:rFonts w:ascii="Arial" w:cs="Arial" w:eastAsia="Arial" w:hAnsi="Arial"/>
                <w:sz w:val="18"/>
                <w:szCs w:val="18"/>
                <w:color w:val="0000FF"/>
              </w:rPr>
              <w:t>01915</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LE Partners Holdings III LLC</w:t>
        </w:r>
      </w:hyperlink>
    </w:p>
    <w:p>
      <w:pPr>
        <w:sectPr>
          <w:pgSz w:w="11900" w:h="16838" w:orient="portrait"/>
          <w:cols w:equalWidth="0" w:num="1">
            <w:col w:w="11420"/>
          </w:cols>
          <w:pgMar w:left="240" w:top="188"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(Last)</w:t>
            </w:r>
          </w:p>
        </w:tc>
        <w:tc>
          <w:tcPr>
            <w:tcW w:w="134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3"/>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(City)</w:t>
            </w:r>
          </w:p>
        </w:tc>
        <w:tc>
          <w:tcPr>
            <w:tcW w:w="134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w w:val="98"/>
              </w:rPr>
            </w:pPr>
            <w:hyperlink r:id="rId18">
              <w:r>
                <w:rPr>
                  <w:rFonts w:ascii="Arial" w:cs="Arial" w:eastAsia="Arial" w:hAnsi="Arial"/>
                  <w:sz w:val="22"/>
                  <w:szCs w:val="22"/>
                  <w:color w:val="0000EE"/>
                  <w:w w:val="98"/>
                </w:rPr>
                <w:t>LE Partners Holdings IV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(Last)</w:t>
            </w:r>
          </w:p>
        </w:tc>
        <w:tc>
          <w:tcPr>
            <w:tcW w:w="134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3"/>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(City)</w:t>
            </w:r>
          </w:p>
        </w:tc>
        <w:tc>
          <w:tcPr>
            <w:tcW w:w="134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w w:val="93"/>
              </w:rPr>
            </w:pPr>
            <w:hyperlink r:id="rId19">
              <w:r>
                <w:rPr>
                  <w:rFonts w:ascii="Arial" w:cs="Arial" w:eastAsia="Arial" w:hAnsi="Arial"/>
                  <w:sz w:val="22"/>
                  <w:szCs w:val="22"/>
                  <w:color w:val="0000EE"/>
                  <w:w w:val="93"/>
                </w:rPr>
                <w:t>Crate Darrell W</w:t>
              </w:r>
            </w:hyperlink>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(Last)</w:t>
            </w:r>
          </w:p>
        </w:tc>
        <w:tc>
          <w:tcPr>
            <w:tcW w:w="134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3"/>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(City)</w:t>
            </w:r>
          </w:p>
        </w:tc>
        <w:tc>
          <w:tcPr>
            <w:tcW w:w="134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Kalichstein Avshalom</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(Last)</w:t>
            </w:r>
          </w:p>
        </w:tc>
        <w:tc>
          <w:tcPr>
            <w:tcW w:w="134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3"/>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(City)</w:t>
            </w:r>
          </w:p>
        </w:tc>
        <w:tc>
          <w:tcPr>
            <w:tcW w:w="134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w w:val="92"/>
              </w:rPr>
            </w:pPr>
            <w:hyperlink r:id="rId21">
              <w:r>
                <w:rPr>
                  <w:rFonts w:ascii="Arial" w:cs="Arial" w:eastAsia="Arial" w:hAnsi="Arial"/>
                  <w:sz w:val="22"/>
                  <w:szCs w:val="22"/>
                  <w:color w:val="0000EE"/>
                  <w:w w:val="92"/>
                </w:rPr>
                <w:t>Murphy John W</w:t>
              </w:r>
            </w:hyperlink>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(Last)</w:t>
            </w:r>
          </w:p>
        </w:tc>
        <w:tc>
          <w:tcPr>
            <w:tcW w:w="134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4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34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(City)</w:t>
            </w:r>
          </w:p>
        </w:tc>
        <w:tc>
          <w:tcPr>
            <w:tcW w:w="134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978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2924175" cy="9789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3">
        <w:r>
          <w:rPr>
            <w:rFonts w:ascii="Arial" w:cs="Arial" w:eastAsia="Arial" w:hAnsi="Arial"/>
            <w:sz w:val="22"/>
            <w:szCs w:val="22"/>
            <w:u w:val="single" w:color="auto"/>
            <w:color w:val="0000EE"/>
          </w:rPr>
          <w:t>LEVIN CAPITAL STRATEGIES, L.P.</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0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Form 4 is being jointly filed by Levin Easterly Partners LLC ("Levin Easterly"), LE Partners Holdings LLC ("LEPH"), LE Partners Holdings II LLC ("LEPH II"), LE Partners Holdings III LLC ("LEPH III"), LE Partners Holdings IV LLC ("LEPH IV"), Darrell Crate ("Mr. Crate"), Avshalom Kalichstein ("Mr. Kalichstein"), John Murphy ("Mr. Murphy"), and Levin Capital Strategies, L.P. ("LCS") (collectively, the "Reporting Persons").</w:t>
      </w:r>
    </w:p>
    <w:p>
      <w:pPr>
        <w:spacing w:after="0" w:line="30" w:lineRule="exact"/>
        <w:rPr>
          <w:rFonts w:ascii="Arial" w:cs="Arial" w:eastAsia="Arial" w:hAnsi="Arial"/>
          <w:sz w:val="14"/>
          <w:szCs w:val="14"/>
          <w:color w:val="008000"/>
        </w:rPr>
      </w:pPr>
    </w:p>
    <w:p>
      <w:pPr>
        <w:ind w:left="20" w:firstLine="9"/>
        <w:spacing w:after="0" w:line="31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are passive investors in the Issuer and are voluntarily filing this Form 4 as a result of acquiring over 10% of the Issuer's outstanding shares of Common Stock. The Reporting Persons have not acquired the shares with a purpose or effect of changing or influencing control of the Issuer. Pursuant to Rule 16a-1(a)(4) under the Securities Exchange Act of 1934, as amended (the "Exchange Act"),</w:t>
      </w:r>
    </w:p>
    <w:p>
      <w:pPr>
        <w:sectPr>
          <w:pgSz w:w="11900" w:h="16838" w:orient="portrait"/>
          <w:cols w:equalWidth="0" w:num="1">
            <w:col w:w="11360"/>
          </w:cols>
          <w:pgMar w:left="260" w:top="152" w:right="279" w:bottom="0" w:gutter="0" w:footer="0" w:header="0"/>
        </w:sectPr>
      </w:pPr>
    </w:p>
    <w:bookmarkStart w:id="3" w:name="page4"/>
    <w:bookmarkEnd w:id="3"/>
    <w:p>
      <w:pPr>
        <w:jc w:val="both"/>
        <w:spacing w:after="0" w:line="233" w:lineRule="auto"/>
        <w:rPr>
          <w:sz w:val="20"/>
          <w:szCs w:val="20"/>
          <w:color w:val="auto"/>
        </w:rPr>
      </w:pPr>
      <w:r>
        <w:rPr>
          <w:rFonts w:ascii="Arial" w:cs="Arial" w:eastAsia="Arial" w:hAnsi="Arial"/>
          <w:sz w:val="14"/>
          <w:szCs w:val="14"/>
          <w:color w:val="008000"/>
        </w:rPr>
        <w:t>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31" w:lineRule="exact"/>
        <w:rPr>
          <w:sz w:val="20"/>
          <w:szCs w:val="20"/>
          <w:color w:val="auto"/>
        </w:rPr>
      </w:pPr>
    </w:p>
    <w:p>
      <w:pPr>
        <w:ind w:right="60" w:firstLine="9"/>
        <w:spacing w:after="0" w:line="273"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"LEP Managed Accounts"). Levin Easterly, as the investment manager to the LEP Managed Accounts, may be deemed to beneficially own such shares. Levin Easterly does not have a reportable pecuniary interest under Section 16a-1(a)(2) of the Exchange Act in the shares held in the LEP Managed Accounts as Levin Easterly receives an asset-based management fee for serving as investment manager to the LEP Managed Accounts, except that with respect to 110,601 shares held in the LEP Managed Accounts, Levin Easterly receives a performance-based incentive fee. The performance-based incentive fee Levin Easterly receives also does not constitute a reportable pecuniary interest under Section 16a-1(a)(2) of the Exchange Act, as such fee is based on the performance of the overall account, over a period of one year or more, and the shares of the Issuer held in such accounts constitute nor more than 10% of the market value thereof.</w:t>
      </w:r>
    </w:p>
    <w:p>
      <w:pPr>
        <w:spacing w:after="0" w:line="11" w:lineRule="exact"/>
        <w:rPr>
          <w:rFonts w:ascii="Arial" w:cs="Arial" w:eastAsia="Arial" w:hAnsi="Arial"/>
          <w:sz w:val="12"/>
          <w:szCs w:val="12"/>
          <w:color w:val="008000"/>
        </w:rPr>
      </w:pPr>
    </w:p>
    <w:p>
      <w:pPr>
        <w:ind w:right="320" w:firstLine="9"/>
        <w:spacing w:after="0" w:line="239"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For the reasons set forth above in footnote 3, none of LEPH, LEPH II, LEPH III, LEPH IV, Mr. Crate, Mr. Kalichstein and Mr. Murphy have a reportable pecuniary interest in the shares held in the LEP Managed Accounts.</w:t>
      </w:r>
    </w:p>
    <w:p>
      <w:pPr>
        <w:spacing w:after="0" w:line="30" w:lineRule="exact"/>
        <w:rPr>
          <w:rFonts w:ascii="Arial" w:cs="Arial" w:eastAsia="Arial" w:hAnsi="Arial"/>
          <w:sz w:val="14"/>
          <w:szCs w:val="14"/>
          <w:color w:val="008000"/>
        </w:rPr>
      </w:pPr>
    </w:p>
    <w:p>
      <w:pPr>
        <w:ind w:right="220" w:firstLine="9"/>
        <w:spacing w:after="0" w:line="233"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held in a certain separately managed account (the "LCS Managed Account"). LCS, as the investment manager to the LCS Managed Account, may be deemed to beneficially own such shares. LCS does not have a reportable pecuniary interest under Section 16a-1(a)(2) of the Exchange Act in the shares held in the LCS Managed Account as LCS receives an asset-based management fee for serving as investment manager to the LCS Managed Account.</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For the reasons set forth above in footnote 5, Mr. Murphy does not have a reportable pecuniary interest in the shares held in the LCS Managed Account.</w:t>
      </w:r>
    </w:p>
    <w:p>
      <w:pPr>
        <w:spacing w:after="0" w:line="41" w:lineRule="exact"/>
        <w:rPr>
          <w:rFonts w:ascii="Arial" w:cs="Arial" w:eastAsia="Arial" w:hAnsi="Arial"/>
          <w:sz w:val="14"/>
          <w:szCs w:val="14"/>
          <w:color w:val="008000"/>
        </w:rPr>
      </w:pPr>
    </w:p>
    <w:p>
      <w:pPr>
        <w:ind w:right="60" w:firstLine="9"/>
        <w:spacing w:after="0" w:line="239"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August 21, 2019, one of the Managed Accounts that held 33,881 shares closed. Accordingly, as of August 21, 2019, Levin Easterly ceased to serve as the investment manager for such Managed Account and as such, relinquished all voting and dispostive power over the shares held in the Managed Account.</w:t>
      </w:r>
    </w:p>
    <w:p>
      <w:pPr>
        <w:spacing w:after="0" w:line="30" w:lineRule="exact"/>
        <w:rPr>
          <w:rFonts w:ascii="Arial" w:cs="Arial" w:eastAsia="Arial" w:hAnsi="Arial"/>
          <w:sz w:val="14"/>
          <w:szCs w:val="14"/>
          <w:color w:val="008000"/>
        </w:rPr>
      </w:pPr>
    </w:p>
    <w:p>
      <w:pPr>
        <w:ind w:right="60" w:firstLine="9"/>
        <w:spacing w:after="0" w:line="239"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August 27, 2019, one of the Managed Accounts that held 50,928 shares closed. Accordingly, as of August 27, 2019, Levin Easterly ceased to serve as the investment manager for such Managed Account and as such, relinquished all voting and dispostive power over the shares held in the Managed Account.</w:t>
      </w:r>
    </w:p>
    <w:p>
      <w:pPr>
        <w:spacing w:after="0" w:line="30" w:lineRule="exact"/>
        <w:rPr>
          <w:rFonts w:ascii="Arial" w:cs="Arial" w:eastAsia="Arial" w:hAnsi="Arial"/>
          <w:sz w:val="14"/>
          <w:szCs w:val="14"/>
          <w:color w:val="008000"/>
        </w:rPr>
      </w:pPr>
    </w:p>
    <w:p>
      <w:pPr>
        <w:ind w:right="240" w:firstLine="9"/>
        <w:spacing w:after="0" w:line="239"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September 4, 2019, one of the Managed Accounts that held 465,400 shares closed. Accordingly, as of September 4, 2019, Levin Easterly ceased to serve as the investment manager for such Managed Account and as such, relinquished all voting and dispostive power over the shares held in the Managed Account.</w:t>
      </w:r>
    </w:p>
    <w:p>
      <w:pPr>
        <w:spacing w:after="0" w:line="30" w:lineRule="exact"/>
        <w:rPr>
          <w:rFonts w:ascii="Arial" w:cs="Arial" w:eastAsia="Arial" w:hAnsi="Arial"/>
          <w:sz w:val="14"/>
          <w:szCs w:val="14"/>
          <w:color w:val="008000"/>
        </w:rPr>
      </w:pPr>
    </w:p>
    <w:p>
      <w:pPr>
        <w:ind w:right="180" w:firstLine="9"/>
        <w:spacing w:after="0" w:line="305" w:lineRule="auto"/>
        <w:tabs>
          <w:tab w:leader="none" w:pos="20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September 5, 2019, one of the Managed Accounts that held 191,724 shares closed. Accordingly, as of September 5, 2019, Levin Easterly ceased to serve as the investment manager for such Managed Account and as such, relinquished all voting and dispostive power over the shares held in the Managed Account.</w:t>
      </w:r>
    </w:p>
    <w:p>
      <w:pPr>
        <w:ind w:right="260" w:firstLine="9"/>
        <w:spacing w:after="0" w:line="305" w:lineRule="auto"/>
        <w:tabs>
          <w:tab w:leader="none" w:pos="198"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September 5, 2019, one of the Managed Accounts that held 31,065 shares closed. Accordingly, as of September 5, 2019, Levin Easterly ceased to serve as the investment manager for such Managed Account and as such, relinquished all voting and dispostive power over the shares held in the Managed Account.</w:t>
      </w:r>
    </w:p>
    <w:p>
      <w:pPr>
        <w:jc w:val="both"/>
        <w:ind w:right="120" w:firstLine="9"/>
        <w:spacing w:after="0" w:line="288" w:lineRule="auto"/>
        <w:tabs>
          <w:tab w:leader="none" w:pos="20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sold in multiple transactions at prices ranging from $5.56 to $5.57.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 w:lineRule="exact"/>
        <w:rPr>
          <w:rFonts w:ascii="Arial" w:cs="Arial" w:eastAsia="Arial" w:hAnsi="Arial"/>
          <w:sz w:val="12"/>
          <w:szCs w:val="12"/>
          <w:color w:val="008000"/>
        </w:rPr>
      </w:pPr>
    </w:p>
    <w:p>
      <w:pPr>
        <w:ind w:right="40" w:firstLine="9"/>
        <w:spacing w:after="0" w:line="272" w:lineRule="auto"/>
        <w:tabs>
          <w:tab w:leader="none" w:pos="20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sold in multiple transactions at prices ranging from $5.550 to $5.565.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ind w:left="6820"/>
        <w:spacing w:after="0" w:line="183" w:lineRule="auto"/>
        <w:rPr>
          <w:sz w:val="20"/>
          <w:szCs w:val="20"/>
          <w:color w:val="auto"/>
        </w:rPr>
      </w:pPr>
      <w:r>
        <w:rPr>
          <w:rFonts w:ascii="Arial" w:cs="Arial" w:eastAsia="Arial" w:hAnsi="Arial"/>
          <w:sz w:val="17"/>
          <w:szCs w:val="17"/>
          <w:color w:val="0000FF"/>
        </w:rPr>
        <w:t xml:space="preserve">Levin Easterly Partners; By: /s/ </w:t>
      </w:r>
      <w:r>
        <w:rPr>
          <w:rFonts w:ascii="Arial" w:cs="Arial" w:eastAsia="Arial" w:hAnsi="Arial"/>
          <w:sz w:val="33"/>
          <w:szCs w:val="33"/>
          <w:color w:val="0000FF"/>
          <w:vertAlign w:val="subscript"/>
        </w:rPr>
        <w:t>09/13/2019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995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Darrell Crate,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0801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 Partners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357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By: /s/ Darrell Crate, Managing 09/13/2019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 Partners Holdings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37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By: /s/ Darrell Crate, Managing 09/13/2019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 Partners Holdings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74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By: /s/ Darrell Crate, Managing 09/13/2019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 Partners Holdings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81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By: /s/ Darrell Crate, Managing 09/13/2019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ectPr>
          <w:pgSz w:w="11900" w:h="16838" w:orient="portrait"/>
          <w:cols w:equalWidth="0" w:num="1">
            <w:col w:w="11320"/>
          </w:cols>
          <w:pgMar w:left="280" w:top="129" w:right="299" w:bottom="1440" w:gutter="0" w:footer="0" w:header="0"/>
        </w:sectPr>
      </w:pPr>
    </w:p>
    <w:p>
      <w:pPr>
        <w:spacing w:after="0" w:line="5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181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818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Avshalom Kalichstein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18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118870"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308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3088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73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04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931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0000FF"/>
        </w:rPr>
        <w:t>09/13/2019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09/13/2019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09/13/2019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09/13/2019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8940" w:space="180"/>
            <w:col w:w="2200"/>
          </w:cols>
          <w:pgMar w:left="280" w:top="129" w:right="29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29"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2"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12" Type="http://schemas.openxmlformats.org/officeDocument/2006/relationships/hyperlink" Target="http://www.sec.gov/cgi-bin/browse-edgar?action=getcompany&amp;CIK=0001766150"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773034" TargetMode="External"/><Relationship Id="rId16" Type="http://schemas.openxmlformats.org/officeDocument/2006/relationships/hyperlink" Target="http://www.sec.gov/cgi-bin/browse-edgar?action=getcompany&amp;CIK=0001773035" TargetMode="External"/><Relationship Id="rId17" Type="http://schemas.openxmlformats.org/officeDocument/2006/relationships/hyperlink" Target="http://www.sec.gov/cgi-bin/browse-edgar?action=getcompany&amp;CIK=0001773036" TargetMode="External"/><Relationship Id="rId18" Type="http://schemas.openxmlformats.org/officeDocument/2006/relationships/hyperlink" Target="http://www.sec.gov/cgi-bin/browse-edgar?action=getcompany&amp;CIK=0001773037" TargetMode="External"/><Relationship Id="rId19" Type="http://schemas.openxmlformats.org/officeDocument/2006/relationships/hyperlink" Target="http://www.sec.gov/cgi-bin/browse-edgar?action=getcompany&amp;CIK=0001201028" TargetMode="External"/><Relationship Id="rId20" Type="http://schemas.openxmlformats.org/officeDocument/2006/relationships/hyperlink" Target="http://www.sec.gov/cgi-bin/browse-edgar?action=getcompany&amp;CIK=0001344074" TargetMode="External"/><Relationship Id="rId21" Type="http://schemas.openxmlformats.org/officeDocument/2006/relationships/hyperlink" Target="http://www.sec.gov/cgi-bin/browse-edgar?action=getcompany&amp;CIK=0001773400" TargetMode="External"/><Relationship Id="rId23" Type="http://schemas.openxmlformats.org/officeDocument/2006/relationships/hyperlink" Target="http://www.sec.gov/cgi-bin/browse-edgar?action=getcompany&amp;CIK=00013548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2019-12-24T09:22:26Z</dcterms:created>
  <dcterms:modified xsi:type="dcterms:W3CDTF">2019-12-24T09:22:26Z</dcterms:modified>
</cp:coreProperties>
</file>