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January 16, 2018</w:t>
      </w:r>
    </w:p>
    <w:p>
      <w:pPr>
        <w:spacing w:after="0" w:line="3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FLUIDIGM CORPORATION</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500" w:type="dxa"/>
        <w:tblCellMar>
          <w:top w:w="0" w:type="dxa"/>
          <w:left w:w="0" w:type="dxa"/>
          <w:bottom w:w="0" w:type="dxa"/>
          <w:right w:w="0" w:type="dxa"/>
        </w:tblCellMar>
      </w:tblPr>
      <w:tr>
        <w:trPr>
          <w:trHeight w:val="216"/>
        </w:trPr>
        <w:tc>
          <w:tcPr>
            <w:tcW w:w="43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8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43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7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78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7000 Shoreline Court, Suite 100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Fluidigm Corporation 2011 Equity Incentive Plan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Stephen Christopher Linthwaite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7000 Shoreline Court, Suite 100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Nicholas Khadder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7000 Shoreline Court, Suite 100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(650) 266-6000</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Robert F. Kornegay</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Wilson Sonsini Goodrich &amp; Rosati,</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Professional Corporation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0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159385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60"/>
          </w:cols>
          <w:pgMar w:left="240" w:top="698" w:right="29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660" w:type="dxa"/>
            <w:vAlign w:val="bottom"/>
            <w:tcBorders>
              <w:top w:val="single" w:sz="8" w:color="auto"/>
              <w:right w:val="single" w:sz="8" w:color="auto"/>
            </w:tcBorders>
          </w:tcPr>
          <w:p>
            <w:pPr>
              <w:spacing w:after="0"/>
              <w:rPr>
                <w:sz w:val="18"/>
                <w:szCs w:val="18"/>
                <w:color w:val="auto"/>
              </w:rPr>
            </w:pPr>
          </w:p>
        </w:tc>
        <w:tc>
          <w:tcPr>
            <w:tcW w:w="218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 (1)</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$0.001 par value per share,</w:t>
            </w:r>
          </w:p>
        </w:tc>
        <w:tc>
          <w:tcPr>
            <w:tcW w:w="21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reserved for issuance pursuant to the Fluidigm</w:t>
            </w:r>
          </w:p>
        </w:tc>
        <w:tc>
          <w:tcPr>
            <w:tcW w:w="2180" w:type="dxa"/>
            <w:vAlign w:val="bottom"/>
            <w:tcBorders>
              <w:right w:val="single" w:sz="8" w:color="auto"/>
            </w:tcBorders>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30"/>
                <w:szCs w:val="30"/>
                <w:color w:val="auto"/>
                <w:vertAlign w:val="superscript"/>
              </w:rPr>
              <w:t>(2)</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0"/>
              </w:rPr>
              <w:t>$6.46</w:t>
            </w:r>
            <w:r>
              <w:rPr>
                <w:rFonts w:ascii="Times New Roman" w:cs="Times New Roman" w:eastAsia="Times New Roman" w:hAnsi="Times New Roman"/>
                <w:sz w:val="30"/>
                <w:szCs w:val="30"/>
                <w:color w:val="auto"/>
                <w:w w:val="90"/>
                <w:vertAlign w:val="superscript"/>
              </w:rPr>
              <w:t>(3)</w:t>
            </w:r>
          </w:p>
        </w:tc>
        <w:tc>
          <w:tcPr>
            <w:tcW w:w="194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Corporation 2011 Equity Incentive Plan</w:t>
            </w:r>
          </w:p>
        </w:tc>
        <w:tc>
          <w:tcPr>
            <w:tcW w:w="2180" w:type="dxa"/>
            <w:vAlign w:val="bottom"/>
            <w:tcBorders>
              <w:bottom w:val="single" w:sz="8" w:color="auto"/>
              <w:right w:val="single" w:sz="8" w:color="auto"/>
            </w:tcBorders>
            <w:vMerge w:val="continue"/>
          </w:tcPr>
          <w:p>
            <w:pPr>
              <w:spacing w:after="0"/>
              <w:rPr>
                <w:sz w:val="20"/>
                <w:szCs w:val="20"/>
                <w:color w:val="auto"/>
              </w:rPr>
            </w:pPr>
          </w:p>
        </w:tc>
        <w:tc>
          <w:tcPr>
            <w:tcW w:w="1940" w:type="dxa"/>
            <w:vAlign w:val="bottom"/>
            <w:tcBorders>
              <w:bottom w:val="single" w:sz="8" w:color="auto"/>
              <w:right w:val="single" w:sz="8" w:color="auto"/>
            </w:tcBorders>
            <w:vMerge w:val="continue"/>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$6,460,000</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$804.27</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1,000,000</w:t>
            </w:r>
          </w:p>
        </w:tc>
        <w:tc>
          <w:tcPr>
            <w:tcW w:w="19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$6,460,000</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this Registration Statement shall also cover any additional shares of the Registrant’s common stock that become issuable under the Fluidigm Corporation 2011 Equity Incentive Plan (“2011 Plan”)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1,000,000 shares of the Registrant’s common stock that were automatically added to the shares authorized for issuance under the 2011 Plan on January 1, 2018 pursuant to an “evergreen” provision contained in the 2011 Plan. Pursuant to such provision, on January 1st of each fiscal year beginning with the 2012 fiscal year, the number of shares available for issuance under the 2011 Plan is automatically increased in an amount equal to the least of (i) 1,000,000 shares of the Registrant’s common stock, (ii) four percent (4%) of the number of shares of the Registrant’s common stock outstanding on December 31st of the preceding fiscal year, or (iii) such number of shares of the Registrant’s common stock determined by the Registrant’s board of directors.</w:t>
      </w:r>
    </w:p>
    <w:p>
      <w:pPr>
        <w:spacing w:after="0" w:line="2"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paragraphs (c) and (h) of Rule 457 solely for the purpose of calculating the total registration fee. Computation based on the average of the high and low prices of the Registrant’s common stock as reported on the NASDAQ Global Select Market on January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registers additional shares of the common stock of Fluidigm Corporation (the “Registrant”) to be issued pursuant to the Registrant’s 2011 Equity Incentive Plan (the “2011 Plan”). Accordingly, the contents of (i) the previous Registration Statement on Form S-8 filed by the Registrant with the Securities and Exchange Commission (the “Commission”) on February 11, 2011 (Registration No. 333-172206); (ii) the previous Registration Statement on Form S-8 filed by the Registrant with the Commission on March 26, 2012 (Registration No. 333-180363); (iii) the previous Registration Statement on Form S-8 filed by the Registrant with the Commission on March 12, 2013 (Registration No. 333-187204); (iv) the previous Registration Statement on Form S-8 filed by the Registrant with the Commission on February 21, 2014 (Registration No. 333-194084); (v) the previous Registration Statement on Form S-8 filed by the Registrant with the Commission on February 26, 2015 (Registration No. 333-202325); (vi) the previous Registration Statement on Form S-8 filed by the Registrant with the Commission on March 3, 2016 (Registration No. 333-209904), as amended on March 15, 2016; and (vii) the previous Registration Statement on Form S-8 filed by the Registrant with the Commission on January 13, 2017 (Registration No. 333-215555) (together, the “Previous Forms S-8”) are incorporated by reference into this Registration Statement pursuant to General Instruction E of Form S-8.</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5" w:lineRule="exact"/>
        <w:rPr>
          <w:sz w:val="20"/>
          <w:szCs w:val="20"/>
          <w:color w:val="auto"/>
        </w:rPr>
      </w:pPr>
    </w:p>
    <w:p>
      <w:pPr>
        <w:ind w:left="1300" w:right="18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2016, filed with the Commission on March 3, 2017 and the Registrant’s Amendment No. 1 to the Registrant’s Form 10-K, filed with the Commission on April 28, 2017;</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Reports on Form 10-Q for the three months ended March 31, 2017, June 30, 2017, and September 30, 2017 filed with the Commission on May 9, 2017, August 8, 2017, and November 7, 2017, respectively;</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January 11, 2017, February 10, 2017, March 2, 2017, March 27, 2017, May 24, 2017, August 2, 2017, August 2, 2017, August 3, 2017, August 3, 2017, and August 23, 2017, only to the extent that the items therein are specifically stated to be “filed” rather than “furnished” for the purposes of Section 18 of the Securities Exchange Act of 1934, as amended (the “Exchange Act”); and</w:t>
      </w:r>
    </w:p>
    <w:p>
      <w:pPr>
        <w:spacing w:after="0" w:line="207"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the Company’s Registration Statements on Form 8-A (File No. 001-34180) filed with the Commission on February 7, 2011, pursuant to Section 12(b) of the Exchange Act, including any amendment or report filed for the purpose of updating such description.</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16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5"/>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by Reference</w:t>
            </w:r>
          </w:p>
        </w:tc>
        <w:tc>
          <w:tcPr>
            <w:tcW w:w="1340" w:type="dxa"/>
            <w:vAlign w:val="bottom"/>
            <w:gridSpan w:val="5"/>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From Exhibit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1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2"/>
                <w:szCs w:val="22"/>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From Form</w:t>
            </w:r>
          </w:p>
        </w:tc>
        <w:tc>
          <w:tcPr>
            <w:tcW w:w="220" w:type="dxa"/>
            <w:vAlign w:val="bottom"/>
          </w:tcPr>
          <w:p>
            <w:pPr>
              <w:spacing w:after="0"/>
              <w:rPr>
                <w:sz w:val="22"/>
                <w:szCs w:val="22"/>
                <w:color w:val="auto"/>
              </w:rPr>
            </w:pPr>
          </w:p>
        </w:tc>
        <w:tc>
          <w:tcPr>
            <w:tcW w:w="11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left="372"/>
              <w:spacing w:after="0" w:line="136" w:lineRule="exact"/>
              <w:rPr>
                <w:rFonts w:ascii="Times New Roman" w:cs="Times New Roman" w:eastAsia="Times New Roman" w:hAnsi="Times New Roman"/>
                <w:sz w:val="15"/>
                <w:szCs w:val="15"/>
                <w:color w:val="0000EE"/>
              </w:rPr>
            </w:pPr>
            <w:hyperlink r:id="rId24">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1</w:t>
              </w:r>
            </w:hyperlink>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60" w:type="dxa"/>
            <w:vAlign w:val="bottom"/>
            <w:gridSpan w:val="5"/>
          </w:tcPr>
          <w:p>
            <w:pPr>
              <w:spacing w:after="0" w:line="136" w:lineRule="exact"/>
              <w:rPr>
                <w:rFonts w:ascii="Times New Roman" w:cs="Times New Roman" w:eastAsia="Times New Roman" w:hAnsi="Times New Roman"/>
                <w:sz w:val="15"/>
                <w:szCs w:val="15"/>
                <w:color w:val="0000EE"/>
              </w:rPr>
            </w:pPr>
            <w:hyperlink r:id="rId24">
              <w:r>
                <w:rPr>
                  <w:rFonts w:ascii="Times New Roman" w:cs="Times New Roman" w:eastAsia="Times New Roman" w:hAnsi="Times New Roman"/>
                  <w:sz w:val="15"/>
                  <w:szCs w:val="15"/>
                  <w:color w:val="0000EE"/>
                </w:rPr>
                <w:t>Specimen Common Stock Certificate of the Registrant.</w:t>
              </w:r>
            </w:hyperlink>
          </w:p>
        </w:tc>
        <w:tc>
          <w:tcPr>
            <w:tcW w:w="1280" w:type="dxa"/>
            <w:vAlign w:val="bottom"/>
            <w:gridSpan w:val="4"/>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gridSpan w:val="4"/>
          </w:tcPr>
          <w:p>
            <w:pPr>
              <w:spacing w:after="0" w:line="142" w:lineRule="exact"/>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S-8</w:t>
              </w:r>
            </w:hyperlink>
          </w:p>
        </w:tc>
        <w:tc>
          <w:tcPr>
            <w:tcW w:w="240" w:type="dxa"/>
            <w:vAlign w:val="bottom"/>
          </w:tcPr>
          <w:p>
            <w:pPr>
              <w:spacing w:after="0"/>
              <w:rPr>
                <w:sz w:val="12"/>
                <w:szCs w:val="12"/>
                <w:color w:val="auto"/>
              </w:rPr>
            </w:pPr>
          </w:p>
        </w:tc>
        <w:tc>
          <w:tcPr>
            <w:tcW w:w="300" w:type="dxa"/>
            <w:vAlign w:val="bottom"/>
            <w:tcBorders>
              <w:top w:val="single" w:sz="8" w:color="auto"/>
            </w:tcBorders>
            <w:gridSpan w:val="2"/>
          </w:tcPr>
          <w:p>
            <w:pPr>
              <w:spacing w:after="0" w:line="142" w:lineRule="exact"/>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8/3/2017</w:t>
              </w:r>
            </w:hyperlink>
          </w:p>
        </w:tc>
        <w:tc>
          <w:tcPr>
            <w:tcW w:w="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40" w:type="dxa"/>
            <w:vAlign w:val="bottom"/>
            <w:gridSpan w:val="2"/>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700" w:type="dxa"/>
            <w:vAlign w:val="bottom"/>
            <w:gridSpan w:val="2"/>
          </w:tcPr>
          <w:p>
            <w:pPr>
              <w:jc w:val="center"/>
              <w:ind w:left="292"/>
              <w:spacing w:after="0"/>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5"/>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2011 Equity Incentive Plan of Fluidigm Corporation.</w:t>
              </w:r>
            </w:hyperlink>
          </w:p>
        </w:tc>
        <w:tc>
          <w:tcPr>
            <w:tcW w:w="1280" w:type="dxa"/>
            <w:vAlign w:val="bottom"/>
            <w:gridSpan w:val="4"/>
          </w:tcPr>
          <w:p>
            <w:pPr>
              <w:spacing w:after="0"/>
              <w:rPr>
                <w:sz w:val="24"/>
                <w:szCs w:val="24"/>
                <w:color w:val="auto"/>
              </w:rPr>
            </w:pPr>
          </w:p>
        </w:tc>
        <w:tc>
          <w:tcPr>
            <w:tcW w:w="1620" w:type="dxa"/>
            <w:vAlign w:val="bottom"/>
            <w:gridSpan w:val="6"/>
          </w:tcPr>
          <w:p>
            <w:pPr>
              <w:ind w:left="240"/>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S-1/A</w:t>
              </w:r>
            </w:hyperlink>
          </w:p>
        </w:tc>
        <w:tc>
          <w:tcPr>
            <w:tcW w:w="420" w:type="dxa"/>
            <w:vAlign w:val="bottom"/>
            <w:gridSpan w:val="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8"/>
                <w:szCs w:val="18"/>
                <w:color w:val="0000EE"/>
                <w:w w:val="93"/>
              </w:rPr>
            </w:pPr>
            <w:hyperlink r:id="rId25">
              <w:r>
                <w:rPr>
                  <w:rFonts w:ascii="Times New Roman" w:cs="Times New Roman" w:eastAsia="Times New Roman" w:hAnsi="Times New Roman"/>
                  <w:sz w:val="18"/>
                  <w:szCs w:val="18"/>
                  <w:color w:val="0000EE"/>
                  <w:w w:val="93"/>
                </w:rPr>
                <w:t>1/28/2011</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2"/>
              <w:spacing w:after="0"/>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9"/>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Forms of U.S. agreements under the 2011 Equity Incentive Plan.</w:t>
              </w:r>
            </w:hyperlink>
          </w:p>
        </w:tc>
        <w:tc>
          <w:tcPr>
            <w:tcW w:w="1620" w:type="dxa"/>
            <w:vAlign w:val="bottom"/>
            <w:gridSpan w:val="6"/>
          </w:tcPr>
          <w:p>
            <w:pPr>
              <w:ind w:left="240"/>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(d)(2)</w:t>
              </w:r>
            </w:hyperlink>
          </w:p>
        </w:tc>
        <w:tc>
          <w:tcPr>
            <w:tcW w:w="1140" w:type="dxa"/>
            <w:vAlign w:val="bottom"/>
            <w:gridSpan w:val="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2"/>
              <w:spacing w:after="0"/>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9"/>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Rules of the Fluidigm Corporation 2011 Equity Incentive Plan for Restricted</w:t>
              </w:r>
            </w:hyperlink>
          </w:p>
        </w:tc>
        <w:tc>
          <w:tcPr>
            <w:tcW w:w="1620" w:type="dxa"/>
            <w:vAlign w:val="bottom"/>
            <w:gridSpan w:val="6"/>
          </w:tcPr>
          <w:p>
            <w:pPr>
              <w:ind w:left="240"/>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(d)(3)</w:t>
              </w:r>
            </w:hyperlink>
          </w:p>
        </w:tc>
        <w:tc>
          <w:tcPr>
            <w:tcW w:w="1140" w:type="dxa"/>
            <w:vAlign w:val="bottom"/>
            <w:gridSpan w:val="3"/>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Stock Unit Awards Granted to French Participants.</w:t>
              </w:r>
            </w:hyperlink>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2"/>
              <w:spacing w:after="0"/>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Rules of the Fluidigm Corporation 2011 Equity Incentive Plan for Options</w:t>
              </w:r>
            </w:hyperlink>
          </w:p>
        </w:tc>
        <w:tc>
          <w:tcPr>
            <w:tcW w:w="1620" w:type="dxa"/>
            <w:vAlign w:val="bottom"/>
            <w:gridSpan w:val="6"/>
          </w:tcPr>
          <w:p>
            <w:pPr>
              <w:ind w:left="240"/>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(d)(4)</w:t>
              </w:r>
            </w:hyperlink>
          </w:p>
        </w:tc>
        <w:tc>
          <w:tcPr>
            <w:tcW w:w="1140" w:type="dxa"/>
            <w:vAlign w:val="bottom"/>
            <w:gridSpan w:val="3"/>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Granted to French Participants.</w:t>
              </w:r>
            </w:hyperlink>
          </w:p>
        </w:tc>
        <w:tc>
          <w:tcPr>
            <w:tcW w:w="3100" w:type="dxa"/>
            <w:vAlign w:val="bottom"/>
            <w:tcBorders>
              <w:top w:val="single" w:sz="8" w:color="0000EE"/>
            </w:tcBorders>
            <w:gridSpan w:val="6"/>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2"/>
              <w:spacing w:after="0"/>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9"/>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UK Sub-plan to the Fluidigm Corporation 2011 Equity Incentive Plan.</w:t>
              </w:r>
            </w:hyperlink>
          </w:p>
        </w:tc>
        <w:tc>
          <w:tcPr>
            <w:tcW w:w="1620" w:type="dxa"/>
            <w:vAlign w:val="bottom"/>
            <w:gridSpan w:val="6"/>
          </w:tcPr>
          <w:p>
            <w:pPr>
              <w:ind w:left="24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(d)(5)</w:t>
              </w:r>
            </w:hyperlink>
          </w:p>
        </w:tc>
        <w:tc>
          <w:tcPr>
            <w:tcW w:w="1140" w:type="dxa"/>
            <w:vAlign w:val="bottom"/>
            <w:gridSpan w:val="3"/>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27" w:right="239" w:bottom="0" w:gutter="0" w:footer="0" w:header="0"/>
        </w:sectPr>
      </w:pPr>
    </w:p>
    <w:bookmarkStart w:id="3" w:name="page4"/>
    <w:bookmarkEnd w:id="3"/>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60" w:type="dxa"/>
            <w:vAlign w:val="bottom"/>
            <w:gridSpan w:val="3"/>
          </w:tcPr>
          <w:p>
            <w:pPr>
              <w:jc w:val="center"/>
              <w:ind w:right="640"/>
              <w:spacing w:after="0"/>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6040" w:type="dxa"/>
            <w:vAlign w:val="bottom"/>
            <w:gridSpan w:val="18"/>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Restricted Stock Unit Agreement—Non–U.S. under the 2011 Equity</w:t>
              </w:r>
            </w:hyperlink>
          </w:p>
        </w:tc>
        <w:tc>
          <w:tcPr>
            <w:tcW w:w="1520" w:type="dxa"/>
            <w:vAlign w:val="bottom"/>
            <w:gridSpan w:val="5"/>
          </w:tcPr>
          <w:p>
            <w:pPr>
              <w:ind w:left="14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SC TO-I</w:t>
              </w:r>
            </w:hyperlink>
          </w:p>
        </w:tc>
        <w:tc>
          <w:tcPr>
            <w:tcW w:w="1340" w:type="dxa"/>
            <w:vAlign w:val="bottom"/>
            <w:gridSpan w:val="4"/>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(d)(6)</w:t>
              </w:r>
            </w:hyperlink>
          </w:p>
        </w:tc>
        <w:tc>
          <w:tcPr>
            <w:tcW w:w="740" w:type="dxa"/>
            <w:vAlign w:val="bottom"/>
            <w:gridSpan w:val="2"/>
          </w:tcPr>
          <w:p>
            <w:pPr>
              <w:spacing w:after="0"/>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8/23/2017</w:t>
              </w:r>
            </w:hyperlink>
          </w:p>
        </w:tc>
      </w:tr>
      <w:tr>
        <w:trPr>
          <w:trHeight w:val="196"/>
        </w:trPr>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5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Incentive Plan.</w:t>
              </w:r>
            </w:hyperlink>
          </w:p>
        </w:tc>
        <w:tc>
          <w:tcPr>
            <w:tcW w:w="46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60" w:type="dxa"/>
            <w:vAlign w:val="bottom"/>
            <w:gridSpan w:val="3"/>
          </w:tcPr>
          <w:p>
            <w:pPr>
              <w:jc w:val="center"/>
              <w:ind w:right="640"/>
              <w:spacing w:after="0"/>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6040" w:type="dxa"/>
            <w:vAlign w:val="bottom"/>
            <w:gridSpan w:val="18"/>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Stock Option Agreement—Non–U.S. under the 2011 Equity Incentive</w:t>
              </w:r>
            </w:hyperlink>
          </w:p>
        </w:tc>
        <w:tc>
          <w:tcPr>
            <w:tcW w:w="1520" w:type="dxa"/>
            <w:vAlign w:val="bottom"/>
            <w:gridSpan w:val="5"/>
          </w:tcPr>
          <w:p>
            <w:pPr>
              <w:ind w:left="14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SC TO-I</w:t>
              </w:r>
            </w:hyperlink>
          </w:p>
        </w:tc>
        <w:tc>
          <w:tcPr>
            <w:tcW w:w="1340" w:type="dxa"/>
            <w:vAlign w:val="bottom"/>
            <w:gridSpan w:val="4"/>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(d)(7)</w:t>
              </w:r>
            </w:hyperlink>
          </w:p>
        </w:tc>
        <w:tc>
          <w:tcPr>
            <w:tcW w:w="740" w:type="dxa"/>
            <w:vAlign w:val="bottom"/>
            <w:gridSpan w:val="2"/>
          </w:tcPr>
          <w:p>
            <w:pPr>
              <w:spacing w:after="0"/>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8/23/2017</w:t>
              </w:r>
            </w:hyperlink>
          </w:p>
        </w:tc>
      </w:tr>
      <w:tr>
        <w:trPr>
          <w:trHeight w:val="196"/>
        </w:trPr>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Plan.</w:t>
              </w:r>
            </w:hyperlink>
          </w:p>
        </w:tc>
        <w:tc>
          <w:tcPr>
            <w:tcW w:w="5320" w:type="dxa"/>
            <w:vAlign w:val="bottom"/>
            <w:tcBorders>
              <w:top w:val="single" w:sz="8" w:color="0000EE"/>
            </w:tcBorders>
            <w:gridSpan w:val="15"/>
          </w:tcPr>
          <w:p>
            <w:pPr>
              <w:spacing w:after="0"/>
              <w:rPr>
                <w:sz w:val="17"/>
                <w:szCs w:val="17"/>
                <w:color w:val="auto"/>
              </w:rPr>
            </w:pPr>
          </w:p>
        </w:tc>
        <w:tc>
          <w:tcPr>
            <w:tcW w:w="3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412"/>
        </w:trPr>
        <w:tc>
          <w:tcPr>
            <w:tcW w:w="960" w:type="dxa"/>
            <w:vAlign w:val="bottom"/>
            <w:gridSpan w:val="3"/>
          </w:tcPr>
          <w:p>
            <w:pPr>
              <w:jc w:val="center"/>
              <w:ind w:right="640"/>
              <w:spacing w:after="0"/>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hyperlink>
          </w:p>
        </w:tc>
        <w:tc>
          <w:tcPr>
            <w:tcW w:w="6040" w:type="dxa"/>
            <w:vAlign w:val="bottom"/>
            <w:gridSpan w:val="18"/>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Amendments to the Fluidigm Corporation 2011 Equity Incentive Plan, 2009</w:t>
              </w:r>
            </w:hyperlink>
          </w:p>
        </w:tc>
        <w:tc>
          <w:tcPr>
            <w:tcW w:w="1520" w:type="dxa"/>
            <w:vAlign w:val="bottom"/>
            <w:gridSpan w:val="5"/>
          </w:tcPr>
          <w:p>
            <w:pPr>
              <w:ind w:left="140"/>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8-K</w:t>
              </w:r>
            </w:hyperlink>
          </w:p>
        </w:tc>
        <w:tc>
          <w:tcPr>
            <w:tcW w:w="420" w:type="dxa"/>
            <w:vAlign w:val="bottom"/>
            <w:gridSpan w:val="3"/>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920" w:type="dxa"/>
            <w:vAlign w:val="bottom"/>
          </w:tcPr>
          <w:p>
            <w:pPr>
              <w:spacing w:after="0"/>
              <w:rPr>
                <w:sz w:val="24"/>
                <w:szCs w:val="24"/>
                <w:color w:val="auto"/>
              </w:rPr>
            </w:pPr>
          </w:p>
        </w:tc>
        <w:tc>
          <w:tcPr>
            <w:tcW w:w="740" w:type="dxa"/>
            <w:vAlign w:val="bottom"/>
            <w:gridSpan w:val="2"/>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8/2/2017</w:t>
              </w:r>
            </w:hyperlink>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7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Equity Incentive Plan, and 1999 Stock Option Plan and the DVS Sciences, Inc.</w:t>
              </w:r>
            </w:hyperlink>
          </w:p>
        </w:tc>
        <w:tc>
          <w:tcPr>
            <w:tcW w:w="3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2010 Equity Incentive Plan.</w:t>
              </w:r>
            </w:hyperlink>
          </w:p>
        </w:tc>
        <w:tc>
          <w:tcPr>
            <w:tcW w:w="4020" w:type="dxa"/>
            <w:vAlign w:val="bottom"/>
            <w:gridSpan w:val="14"/>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80" w:type="dxa"/>
            <w:vAlign w:val="bottom"/>
            <w:gridSpan w:val="2"/>
          </w:tcPr>
          <w:p>
            <w:pPr>
              <w:jc w:val="cente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680" w:type="dxa"/>
            <w:vAlign w:val="bottom"/>
          </w:tcPr>
          <w:p>
            <w:pPr>
              <w:spacing w:after="0"/>
              <w:rPr>
                <w:sz w:val="24"/>
                <w:szCs w:val="24"/>
                <w:color w:val="auto"/>
              </w:rPr>
            </w:pPr>
          </w:p>
        </w:tc>
        <w:tc>
          <w:tcPr>
            <w:tcW w:w="5600" w:type="dxa"/>
            <w:vAlign w:val="bottom"/>
            <w:gridSpan w:val="14"/>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Indenture, dated February 4, 2014, by and between Fluidigm Corporation and</w:t>
              </w:r>
            </w:hyperlink>
          </w:p>
        </w:tc>
        <w:tc>
          <w:tcPr>
            <w:tcW w:w="440" w:type="dxa"/>
            <w:vAlign w:val="bottom"/>
            <w:gridSpan w:val="4"/>
          </w:tcPr>
          <w:p>
            <w:pPr>
              <w:spacing w:after="0"/>
              <w:rPr>
                <w:sz w:val="24"/>
                <w:szCs w:val="24"/>
                <w:color w:val="auto"/>
              </w:rPr>
            </w:pPr>
          </w:p>
        </w:tc>
        <w:tc>
          <w:tcPr>
            <w:tcW w:w="1520" w:type="dxa"/>
            <w:vAlign w:val="bottom"/>
            <w:gridSpan w:val="5"/>
          </w:tcPr>
          <w:p>
            <w:pPr>
              <w:ind w:left="140"/>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8-K</w:t>
              </w:r>
            </w:hyperlink>
          </w:p>
        </w:tc>
        <w:tc>
          <w:tcPr>
            <w:tcW w:w="30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2/4/2014</w:t>
              </w:r>
            </w:hyperlink>
          </w:p>
        </w:tc>
      </w:tr>
      <w:tr>
        <w:trPr>
          <w:trHeight w:val="196"/>
        </w:trPr>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U.S. Bank National Association.</w:t>
              </w:r>
            </w:hyperlink>
          </w:p>
        </w:tc>
        <w:tc>
          <w:tcPr>
            <w:tcW w:w="3240" w:type="dxa"/>
            <w:vAlign w:val="bottom"/>
            <w:tcBorders>
              <w:top w:val="single" w:sz="8" w:color="0000EE"/>
            </w:tcBorders>
            <w:gridSpan w:val="9"/>
          </w:tcPr>
          <w:p>
            <w:pPr>
              <w:spacing w:after="0"/>
              <w:rPr>
                <w:sz w:val="17"/>
                <w:szCs w:val="17"/>
                <w:color w:val="auto"/>
              </w:rPr>
            </w:pPr>
          </w:p>
        </w:tc>
        <w:tc>
          <w:tcPr>
            <w:tcW w:w="4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80" w:type="dxa"/>
            <w:vAlign w:val="bottom"/>
            <w:gridSpan w:val="2"/>
          </w:tcPr>
          <w:p>
            <w:pPr>
              <w:jc w:val="cente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hyperlink>
          </w:p>
        </w:tc>
        <w:tc>
          <w:tcPr>
            <w:tcW w:w="680" w:type="dxa"/>
            <w:vAlign w:val="bottom"/>
          </w:tcPr>
          <w:p>
            <w:pPr>
              <w:spacing w:after="0"/>
              <w:rPr>
                <w:sz w:val="24"/>
                <w:szCs w:val="24"/>
                <w:color w:val="auto"/>
              </w:rPr>
            </w:pPr>
          </w:p>
        </w:tc>
        <w:tc>
          <w:tcPr>
            <w:tcW w:w="5660" w:type="dxa"/>
            <w:vAlign w:val="bottom"/>
            <w:gridSpan w:val="15"/>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First Supplement Indenture, dated February 4, 2014, by and between Fluidigm</w:t>
              </w:r>
            </w:hyperlink>
          </w:p>
        </w:tc>
        <w:tc>
          <w:tcPr>
            <w:tcW w:w="380" w:type="dxa"/>
            <w:vAlign w:val="bottom"/>
            <w:gridSpan w:val="3"/>
          </w:tcPr>
          <w:p>
            <w:pPr>
              <w:spacing w:after="0"/>
              <w:rPr>
                <w:sz w:val="24"/>
                <w:szCs w:val="24"/>
                <w:color w:val="auto"/>
              </w:rPr>
            </w:pPr>
          </w:p>
        </w:tc>
        <w:tc>
          <w:tcPr>
            <w:tcW w:w="1520" w:type="dxa"/>
            <w:vAlign w:val="bottom"/>
            <w:gridSpan w:val="5"/>
          </w:tcPr>
          <w:p>
            <w:pPr>
              <w:ind w:left="140"/>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8-K</w:t>
              </w:r>
            </w:hyperlink>
          </w:p>
        </w:tc>
        <w:tc>
          <w:tcPr>
            <w:tcW w:w="30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2/4/2014</w:t>
              </w:r>
            </w:hyperlink>
          </w:p>
        </w:tc>
      </w:tr>
      <w:tr>
        <w:trPr>
          <w:trHeight w:val="196"/>
        </w:trPr>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Corporation and U.S. Bank National Association.</w:t>
              </w:r>
            </w:hyperlink>
          </w:p>
        </w:tc>
        <w:tc>
          <w:tcPr>
            <w:tcW w:w="2080" w:type="dxa"/>
            <w:vAlign w:val="bottom"/>
            <w:tcBorders>
              <w:top w:val="single" w:sz="8" w:color="0000EE"/>
            </w:tcBorders>
            <w:gridSpan w:val="7"/>
          </w:tcPr>
          <w:p>
            <w:pPr>
              <w:spacing w:after="0"/>
              <w:rPr>
                <w:sz w:val="17"/>
                <w:szCs w:val="17"/>
                <w:color w:val="auto"/>
              </w:rPr>
            </w:pPr>
          </w:p>
        </w:tc>
        <w:tc>
          <w:tcPr>
            <w:tcW w:w="3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80" w:type="dxa"/>
            <w:vAlign w:val="bottom"/>
            <w:gridSpan w:val="2"/>
          </w:tcPr>
          <w:p>
            <w:pPr>
              <w:jc w:val="cente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680" w:type="dxa"/>
            <w:vAlign w:val="bottom"/>
          </w:tcPr>
          <w:p>
            <w:pPr>
              <w:spacing w:after="0"/>
              <w:rPr>
                <w:sz w:val="24"/>
                <w:szCs w:val="24"/>
                <w:color w:val="auto"/>
              </w:rPr>
            </w:pPr>
          </w:p>
        </w:tc>
        <w:tc>
          <w:tcPr>
            <w:tcW w:w="6040" w:type="dxa"/>
            <w:vAlign w:val="bottom"/>
            <w:gridSpan w:val="18"/>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Global Note (included in Exhibit 4.11).</w:t>
              </w:r>
            </w:hyperlink>
          </w:p>
        </w:tc>
        <w:tc>
          <w:tcPr>
            <w:tcW w:w="1520" w:type="dxa"/>
            <w:vAlign w:val="bottom"/>
            <w:gridSpan w:val="5"/>
          </w:tcPr>
          <w:p>
            <w:pPr>
              <w:ind w:left="140"/>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8-K</w:t>
              </w:r>
            </w:hyperlink>
          </w:p>
        </w:tc>
        <w:tc>
          <w:tcPr>
            <w:tcW w:w="30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2/4/2014</w:t>
              </w:r>
            </w:hyperlink>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680" w:type="dxa"/>
            <w:vAlign w:val="bottom"/>
          </w:tcPr>
          <w:p>
            <w:pPr>
              <w:spacing w:after="0"/>
              <w:rPr>
                <w:sz w:val="24"/>
                <w:szCs w:val="24"/>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c>
          <w:tcPr>
            <w:tcW w:w="15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00EE"/>
              </w:rPr>
              <w:t>Filed herewith.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80" w:type="dxa"/>
            <w:vAlign w:val="bottom"/>
          </w:tcPr>
          <w:p>
            <w:pPr>
              <w:spacing w:after="0"/>
              <w:rPr>
                <w:sz w:val="24"/>
                <w:szCs w:val="24"/>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w:t>
            </w:r>
          </w:p>
        </w:tc>
        <w:tc>
          <w:tcPr>
            <w:tcW w:w="15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00EE"/>
              </w:rPr>
              <w:t>Filed herewith.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76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680" w:type="dxa"/>
            <w:vAlign w:val="bottom"/>
          </w:tcPr>
          <w:p>
            <w:pPr>
              <w:spacing w:after="0"/>
              <w:rPr>
                <w:sz w:val="24"/>
                <w:szCs w:val="24"/>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c>
          <w:tcPr>
            <w:tcW w:w="15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00EE"/>
              </w:rPr>
              <w:t>Filed herewith.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80" w:type="dxa"/>
            <w:vAlign w:val="bottom"/>
            <w:tcBorders>
              <w:top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680" w:type="dxa"/>
            <w:vAlign w:val="bottom"/>
          </w:tcPr>
          <w:p>
            <w:pPr>
              <w:spacing w:after="0"/>
              <w:rPr>
                <w:sz w:val="24"/>
                <w:szCs w:val="24"/>
                <w:color w:val="auto"/>
              </w:rPr>
            </w:pPr>
          </w:p>
        </w:tc>
        <w:tc>
          <w:tcPr>
            <w:tcW w:w="58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Professional Corporation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(contained in Exhibit 5.1 hereto).</w:t>
            </w:r>
          </w:p>
        </w:tc>
        <w:tc>
          <w:tcPr>
            <w:tcW w:w="2840" w:type="dxa"/>
            <w:vAlign w:val="bottom"/>
            <w:tcBorders>
              <w:top w:val="single" w:sz="8" w:color="0000EE"/>
            </w:tcBorders>
            <w:gridSpan w:val="4"/>
          </w:tcPr>
          <w:p>
            <w:pPr>
              <w:spacing w:after="0"/>
              <w:rPr>
                <w:sz w:val="17"/>
                <w:szCs w:val="17"/>
                <w:color w:val="auto"/>
              </w:rPr>
            </w:pPr>
          </w:p>
        </w:tc>
        <w:tc>
          <w:tcPr>
            <w:tcW w:w="80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80" w:type="dxa"/>
            <w:vAlign w:val="bottom"/>
            <w:gridSpan w:val="2"/>
          </w:tcPr>
          <w:p>
            <w:pPr>
              <w:jc w:val="cente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680" w:type="dxa"/>
            <w:vAlign w:val="bottom"/>
          </w:tcPr>
          <w:p>
            <w:pPr>
              <w:spacing w:after="0"/>
              <w:rPr>
                <w:sz w:val="24"/>
                <w:szCs w:val="24"/>
                <w:color w:val="auto"/>
              </w:rPr>
            </w:pPr>
          </w:p>
        </w:tc>
        <w:tc>
          <w:tcPr>
            <w:tcW w:w="604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Power of Attorney (contained on signature page hereto).</w:t>
              </w:r>
            </w:hyperlink>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24"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January 16, 2018.</w:t>
      </w:r>
    </w:p>
    <w:p>
      <w:pPr>
        <w:spacing w:after="0" w:line="1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Christopher Linthwaite</w:t>
            </w:r>
          </w:p>
        </w:tc>
      </w:tr>
      <w:tr>
        <w:trPr>
          <w:trHeight w:val="189"/>
        </w:trPr>
        <w:tc>
          <w:tcPr>
            <w:tcW w:w="56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Christopher Linthwaite</w:t>
            </w:r>
          </w:p>
        </w:tc>
      </w:tr>
      <w:tr>
        <w:trPr>
          <w:trHeight w:val="236"/>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Stephen Christopher Linthwaite and Vikram Jog, and each of them, as his or her true and lawful attorneys-in-fact and agents, with full power of substitution and resubstitution, for him or her and in his or her name, place and stead, in any and all capacities (including his or her capacity as a director and/or officer of Fluidigm Corporation), to sign the Registration Statement on Form S-8 of Fluidigm Corporation, and any or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they or he might or could do in person, hereby and about the premises hereby ratifying and confirming all that said attorneys-in-fact and agent, proxy and agent, or his, her or their substitute or substitutes,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S-8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6"/>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Stephen Christopher Linthwaite</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Stephen Christopher Linthwaite</w:t>
            </w:r>
          </w:p>
        </w:tc>
        <w:tc>
          <w:tcPr>
            <w:tcW w:w="24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Vikram Jog</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Vikram Jog</w:t>
            </w:r>
          </w:p>
        </w:tc>
        <w:tc>
          <w:tcPr>
            <w:tcW w:w="24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Jennifer Lee</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Jennifer Lee</w:t>
            </w:r>
          </w:p>
        </w:tc>
        <w:tc>
          <w:tcPr>
            <w:tcW w:w="24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Samuel D. Colella</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Samuel D. Colella</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Nicolas Barthelemy</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Nicolas Barthelemy</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Carlos Paya</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Carlos Paya</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Gerhard F. Burbach</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Gerhard F. Burbach</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 Patrick S. Jones</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2018</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Patrick S. Jones</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7"/>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6"/>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by Reference</w:t>
            </w:r>
          </w:p>
        </w:tc>
        <w:tc>
          <w:tcPr>
            <w:tcW w:w="1340" w:type="dxa"/>
            <w:vAlign w:val="bottom"/>
            <w:gridSpan w:val="5"/>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From Exhibit</w:t>
            </w:r>
          </w:p>
        </w:tc>
        <w:tc>
          <w:tcPr>
            <w:tcW w:w="1140" w:type="dxa"/>
            <w:vAlign w:val="bottom"/>
            <w:gridSpan w:val="4"/>
          </w:tcPr>
          <w:p>
            <w:pPr>
              <w:ind w:left="420"/>
              <w:spacing w:after="0" w:line="202" w:lineRule="exact"/>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58"/>
        </w:trPr>
        <w:tc>
          <w:tcPr>
            <w:tcW w:w="11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2"/>
                <w:szCs w:val="22"/>
                <w:color w:val="auto"/>
              </w:rPr>
            </w:pPr>
          </w:p>
        </w:tc>
        <w:tc>
          <w:tcPr>
            <w:tcW w:w="13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From Form</w:t>
            </w:r>
          </w:p>
        </w:tc>
        <w:tc>
          <w:tcPr>
            <w:tcW w:w="220" w:type="dxa"/>
            <w:vAlign w:val="bottom"/>
          </w:tcPr>
          <w:p>
            <w:pPr>
              <w:spacing w:after="0"/>
              <w:rPr>
                <w:sz w:val="22"/>
                <w:szCs w:val="22"/>
                <w:color w:val="auto"/>
              </w:rPr>
            </w:pPr>
          </w:p>
        </w:tc>
        <w:tc>
          <w:tcPr>
            <w:tcW w:w="11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left="371"/>
              <w:spacing w:after="0" w:line="136" w:lineRule="exact"/>
              <w:rPr>
                <w:rFonts w:ascii="Times New Roman" w:cs="Times New Roman" w:eastAsia="Times New Roman" w:hAnsi="Times New Roman"/>
                <w:sz w:val="15"/>
                <w:szCs w:val="15"/>
                <w:color w:val="0000EE"/>
              </w:rPr>
            </w:pPr>
            <w:hyperlink r:id="rId24">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1</w:t>
              </w:r>
            </w:hyperlink>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gridSpan w:val="13"/>
          </w:tcPr>
          <w:p>
            <w:pPr>
              <w:spacing w:after="0" w:line="136" w:lineRule="exact"/>
              <w:rPr>
                <w:rFonts w:ascii="Times New Roman" w:cs="Times New Roman" w:eastAsia="Times New Roman" w:hAnsi="Times New Roman"/>
                <w:sz w:val="15"/>
                <w:szCs w:val="15"/>
                <w:color w:val="0000EE"/>
              </w:rPr>
            </w:pPr>
            <w:hyperlink r:id="rId24">
              <w:r>
                <w:rPr>
                  <w:rFonts w:ascii="Times New Roman" w:cs="Times New Roman" w:eastAsia="Times New Roman" w:hAnsi="Times New Roman"/>
                  <w:sz w:val="15"/>
                  <w:szCs w:val="15"/>
                  <w:color w:val="0000EE"/>
                </w:rPr>
                <w:t>Specimen Common Stock Certificate of the Registrant.</w:t>
              </w:r>
            </w:hyperlink>
          </w:p>
        </w:tc>
        <w:tc>
          <w:tcPr>
            <w:tcW w:w="1880" w:type="dxa"/>
            <w:vAlign w:val="bottom"/>
            <w:gridSpan w:val="13"/>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gridSpan w:val="5"/>
          </w:tcPr>
          <w:p>
            <w:pPr>
              <w:spacing w:after="0" w:line="142" w:lineRule="exact"/>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S-8</w:t>
              </w:r>
            </w:hyperlink>
          </w:p>
        </w:tc>
        <w:tc>
          <w:tcPr>
            <w:tcW w:w="240" w:type="dxa"/>
            <w:vAlign w:val="bottom"/>
          </w:tcPr>
          <w:p>
            <w:pPr>
              <w:spacing w:after="0"/>
              <w:rPr>
                <w:sz w:val="12"/>
                <w:szCs w:val="12"/>
                <w:color w:val="auto"/>
              </w:rPr>
            </w:pPr>
          </w:p>
        </w:tc>
        <w:tc>
          <w:tcPr>
            <w:tcW w:w="300" w:type="dxa"/>
            <w:vAlign w:val="bottom"/>
            <w:tcBorders>
              <w:top w:val="single" w:sz="8" w:color="auto"/>
            </w:tcBorders>
            <w:gridSpan w:val="2"/>
          </w:tcPr>
          <w:p>
            <w:pPr>
              <w:spacing w:after="0" w:line="142" w:lineRule="exact"/>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8/3/2017</w:t>
              </w:r>
            </w:hyperlink>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gridSpan w:val="2"/>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1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2011 Equity Incentive Plan of Fluidigm Corporation.</w:t>
              </w:r>
            </w:hyperlink>
          </w:p>
        </w:tc>
        <w:tc>
          <w:tcPr>
            <w:tcW w:w="1880" w:type="dxa"/>
            <w:vAlign w:val="bottom"/>
            <w:gridSpan w:val="13"/>
          </w:tcPr>
          <w:p>
            <w:pPr>
              <w:spacing w:after="0"/>
              <w:rPr>
                <w:sz w:val="24"/>
                <w:szCs w:val="24"/>
                <w:color w:val="auto"/>
              </w:rPr>
            </w:pPr>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S-1/A</w:t>
              </w:r>
            </w:hyperlink>
          </w:p>
        </w:tc>
        <w:tc>
          <w:tcPr>
            <w:tcW w:w="420" w:type="dxa"/>
            <w:vAlign w:val="bottom"/>
            <w:gridSpan w:val="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1/28/2011</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Forms of U.S. agreements under the 2011 Equity Incentive Plan.</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(d)(2)</w:t>
              </w:r>
            </w:hyperlink>
          </w:p>
        </w:tc>
        <w:tc>
          <w:tcPr>
            <w:tcW w:w="1140" w:type="dxa"/>
            <w:vAlign w:val="bottom"/>
            <w:gridSpan w:val="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Rules of the Fluidigm Corporation 2011 Equity Incentive Plan for Restricted</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(d)(3)</w:t>
              </w:r>
            </w:hyperlink>
          </w:p>
        </w:tc>
        <w:tc>
          <w:tcPr>
            <w:tcW w:w="1140" w:type="dxa"/>
            <w:vAlign w:val="bottom"/>
            <w:gridSpan w:val="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Stock Unit Awards Granted to French Participants.</w:t>
              </w:r>
            </w:hyperlink>
          </w:p>
        </w:tc>
        <w:tc>
          <w:tcPr>
            <w:tcW w:w="4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Rules of the Fluidigm Corporation 2011 Equity Incentive Plan for Options</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(d)(4)</w:t>
              </w:r>
            </w:hyperlink>
          </w:p>
        </w:tc>
        <w:tc>
          <w:tcPr>
            <w:tcW w:w="1140" w:type="dxa"/>
            <w:vAlign w:val="bottom"/>
            <w:gridSpan w:val="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Granted to French Participants.</w:t>
              </w:r>
            </w:hyperlink>
          </w:p>
        </w:tc>
        <w:tc>
          <w:tcPr>
            <w:tcW w:w="3100" w:type="dxa"/>
            <w:vAlign w:val="bottom"/>
            <w:tcBorders>
              <w:top w:val="single" w:sz="8" w:color="0000EE"/>
            </w:tcBorders>
            <w:gridSpan w:val="13"/>
          </w:tcPr>
          <w:p>
            <w:pPr>
              <w:spacing w:after="0"/>
              <w:rPr>
                <w:sz w:val="17"/>
                <w:szCs w:val="17"/>
                <w:color w:val="auto"/>
              </w:rPr>
            </w:pPr>
          </w:p>
        </w:tc>
        <w:tc>
          <w:tcPr>
            <w:tcW w:w="58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UK Sub-plan to the Fluidigm Corporation 2011 Equity Incentive Plan.</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(d)(5)</w:t>
              </w:r>
            </w:hyperlink>
          </w:p>
        </w:tc>
        <w:tc>
          <w:tcPr>
            <w:tcW w:w="1140" w:type="dxa"/>
            <w:vAlign w:val="bottom"/>
            <w:gridSpan w:val="4"/>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Restricted Stock Unit Agreement—Non–U.S. under the 2011 Equity</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(d)(6)</w:t>
              </w:r>
            </w:hyperlink>
          </w:p>
        </w:tc>
        <w:tc>
          <w:tcPr>
            <w:tcW w:w="1140" w:type="dxa"/>
            <w:vAlign w:val="bottom"/>
            <w:gridSpan w:val="4"/>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Incentive Plan.</w:t>
              </w:r>
            </w:hyperlink>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Stock Option Agreement—Non–U.S. under the 2011 Equity Incentive</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SC TO-I</w:t>
              </w:r>
            </w:hyperlink>
          </w:p>
        </w:tc>
        <w:tc>
          <w:tcPr>
            <w:tcW w:w="1340" w:type="dxa"/>
            <w:vAlign w:val="bottom"/>
            <w:gridSpan w:val="5"/>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(d)(7)</w:t>
              </w:r>
            </w:hyperlink>
          </w:p>
        </w:tc>
        <w:tc>
          <w:tcPr>
            <w:tcW w:w="1140" w:type="dxa"/>
            <w:vAlign w:val="bottom"/>
            <w:gridSpan w:val="4"/>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8/23/2017</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Plan.</w:t>
              </w:r>
            </w:hyperlink>
          </w:p>
        </w:tc>
        <w:tc>
          <w:tcPr>
            <w:tcW w:w="5320" w:type="dxa"/>
            <w:vAlign w:val="bottom"/>
            <w:tcBorders>
              <w:top w:val="single" w:sz="8" w:color="0000EE"/>
            </w:tcBorders>
            <w:gridSpan w:val="23"/>
          </w:tcPr>
          <w:p>
            <w:pPr>
              <w:spacing w:after="0"/>
              <w:rPr>
                <w:sz w:val="17"/>
                <w:szCs w:val="17"/>
                <w:color w:val="auto"/>
              </w:rPr>
            </w:pPr>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Amendments to the Fluidigm Corporation 2011 Equity Incentive Plan, 2009</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8-K</w:t>
              </w:r>
            </w:hyperlink>
          </w:p>
        </w:tc>
        <w:tc>
          <w:tcPr>
            <w:tcW w:w="420" w:type="dxa"/>
            <w:vAlign w:val="bottom"/>
            <w:gridSpan w:val="3"/>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8/2/2017</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Equity Incentive Plan, and 1999 Stock Option Plan and the DVS Sciences, Inc.</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2010 Equity Incentive Plan.</w:t>
              </w:r>
            </w:hyperlink>
          </w:p>
        </w:tc>
        <w:tc>
          <w:tcPr>
            <w:tcW w:w="3920" w:type="dxa"/>
            <w:vAlign w:val="bottom"/>
            <w:gridSpan w:val="2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Indenture, dated February 4, 2014, by and between Fluidigm Corporation and</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8-K</w:t>
              </w:r>
            </w:hyperlink>
          </w:p>
        </w:tc>
        <w:tc>
          <w:tcPr>
            <w:tcW w:w="30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2/4/2014</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U.S. Bank National Association.</w:t>
              </w:r>
            </w:hyperlink>
          </w:p>
        </w:tc>
        <w:tc>
          <w:tcPr>
            <w:tcW w:w="3240" w:type="dxa"/>
            <w:vAlign w:val="bottom"/>
            <w:tcBorders>
              <w:top w:val="single" w:sz="8" w:color="0000EE"/>
            </w:tcBorders>
            <w:gridSpan w:val="16"/>
          </w:tcPr>
          <w:p>
            <w:pPr>
              <w:spacing w:after="0"/>
              <w:rPr>
                <w:sz w:val="17"/>
                <w:szCs w:val="17"/>
                <w:color w:val="auto"/>
              </w:rPr>
            </w:pPr>
          </w:p>
        </w:tc>
        <w:tc>
          <w:tcPr>
            <w:tcW w:w="34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First Supplement Indenture, dated February 4, 2014, by and between Fluidigm</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8-K</w:t>
              </w:r>
            </w:hyperlink>
          </w:p>
        </w:tc>
        <w:tc>
          <w:tcPr>
            <w:tcW w:w="30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2/4/2014</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Corporation and U.S. Bank National Association.</w:t>
              </w:r>
            </w:hyperlink>
          </w:p>
        </w:tc>
        <w:tc>
          <w:tcPr>
            <w:tcW w:w="2080" w:type="dxa"/>
            <w:vAlign w:val="bottom"/>
            <w:tcBorders>
              <w:top w:val="single" w:sz="8" w:color="0000EE"/>
            </w:tcBorders>
            <w:gridSpan w:val="14"/>
          </w:tcPr>
          <w:p>
            <w:pPr>
              <w:spacing w:after="0"/>
              <w:rPr>
                <w:sz w:val="17"/>
                <w:szCs w:val="17"/>
                <w:color w:val="auto"/>
              </w:rPr>
            </w:pPr>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Global Note (included in Exhibit 4.11).</w:t>
              </w:r>
            </w:hyperlink>
          </w:p>
        </w:tc>
        <w:tc>
          <w:tcPr>
            <w:tcW w:w="1620" w:type="dxa"/>
            <w:vAlign w:val="bottom"/>
            <w:gridSpan w:val="7"/>
          </w:tcPr>
          <w:p>
            <w:pPr>
              <w:ind w:left="240"/>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8-K</w:t>
              </w:r>
            </w:hyperlink>
          </w:p>
        </w:tc>
        <w:tc>
          <w:tcPr>
            <w:tcW w:w="30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2/4/2014</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c>
          <w:tcPr>
            <w:tcW w:w="16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EE"/>
              </w:rPr>
              <w:t>Filed herewith.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w:t>
            </w:r>
          </w:p>
        </w:tc>
        <w:tc>
          <w:tcPr>
            <w:tcW w:w="16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EE"/>
              </w:rPr>
              <w:t>Filed herewith.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6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16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EE"/>
              </w:rPr>
              <w:t>Filed herewith.</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7"/>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Professional Corporation</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(contained in Exhibit 5.1 hereto).</w:t>
            </w:r>
          </w:p>
        </w:tc>
        <w:tc>
          <w:tcPr>
            <w:tcW w:w="2840" w:type="dxa"/>
            <w:vAlign w:val="bottom"/>
            <w:tcBorders>
              <w:top w:val="single" w:sz="8" w:color="0000EE"/>
            </w:tcBorders>
            <w:gridSpan w:val="9"/>
          </w:tcPr>
          <w:p>
            <w:pPr>
              <w:spacing w:after="0"/>
              <w:rPr>
                <w:sz w:val="17"/>
                <w:szCs w:val="17"/>
                <w:color w:val="auto"/>
              </w:rPr>
            </w:pPr>
          </w:p>
        </w:tc>
        <w:tc>
          <w:tcPr>
            <w:tcW w:w="7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291"/>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Power of Attorney (contained on signature page hereto).</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48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16,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to be filed by Fluidigm Corporation, a Delaware corporation, with the Securities and Exchange Commission on or about the date hereof, in connection with the registration under the Securities Act of 1933, as amended, of 1,000,000 shares of your common stock, par value $0.001 per share (the “Shares”), reserved for future issuance pursuant to the 2011 Equity Incentive Plan (the “Plan”). As your legal counsel, we have reviewed the actions proposed to be taken by you in connection with the issuance and sale of the Shares to be issued under the Plan.</w:t>
      </w:r>
    </w:p>
    <w:p>
      <w:pPr>
        <w:spacing w:after="0" w:line="18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It is our opinion that the Shares, when issued and sold in the manner referred to in the Plan and pursuant to the agreements that accompany the Plan, will be legally and validly issued, fully paid and nonassessable.</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Wilson Sansini Goodrich &amp; Rosati,</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March 2, 2017 relating to the financial statements, financial statement schedule and the effectiveness of internal control over financial reporting, which appears in Fluidigm Corporation's Annual Report on Form 10-K for the year ended December 31, 2016.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for the registration of 1,000,000 shares of common stock pertaining to the Fluidigm Corporation 2011 Equity Incentive Plan of our report dated February 29, 2016, with respect to the consolidated financial statements and schedule of Fluidigm Corporation included in its Annual Report (Form 10-K) for the year ended December 31, 2016,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24" Type="http://schemas.openxmlformats.org/officeDocument/2006/relationships/hyperlink" Target="http://www.sec.gov/Archives/edgar/data/1162194/000157104917007218/t1702250_ex4-1.htm" TargetMode="External"/><Relationship Id="rId25" Type="http://schemas.openxmlformats.org/officeDocument/2006/relationships/hyperlink" Target="http://www.sec.gov/Archives/edgar/data/1162194/000119312511016501/dex104.htm" TargetMode="External"/><Relationship Id="rId26" Type="http://schemas.openxmlformats.org/officeDocument/2006/relationships/hyperlink" Target="http://www.sec.gov/Archives/edgar/data/1162194/000157104917007659/t1702415_ex-d2.htm" TargetMode="External"/><Relationship Id="rId27" Type="http://schemas.openxmlformats.org/officeDocument/2006/relationships/hyperlink" Target="http://www.sec.gov/Archives/edgar/data/1162194/000157104917007659/t1702415_ex-d3.htm" TargetMode="External"/><Relationship Id="rId28" Type="http://schemas.openxmlformats.org/officeDocument/2006/relationships/hyperlink" Target="http://www.sec.gov/Archives/edgar/data/1162194/000157104917007659/t1702415_ex-d4.htm" TargetMode="External"/><Relationship Id="rId29" Type="http://schemas.openxmlformats.org/officeDocument/2006/relationships/hyperlink" Target="http://www.sec.gov/Archives/edgar/data/1162194/000157104917007659/t1702415_ex-d5.htm" TargetMode="External"/><Relationship Id="rId30" Type="http://schemas.openxmlformats.org/officeDocument/2006/relationships/hyperlink" Target="http://www.sec.gov/Archives/edgar/data/1162194/000157104917007659/t1702415_ex-d6.htm" TargetMode="External"/><Relationship Id="rId31" Type="http://schemas.openxmlformats.org/officeDocument/2006/relationships/hyperlink" Target="http://www.sec.gov/Archives/edgar/data/1162194/000157104917007659/t1702415_ex-d7.htm" TargetMode="External"/><Relationship Id="rId32" Type="http://schemas.openxmlformats.org/officeDocument/2006/relationships/hyperlink" Target="http://www.sec.gov/Archives/edgar/data/1162194/000114420417039703/v471897_ex10-2.htm" TargetMode="External"/><Relationship Id="rId33" Type="http://schemas.openxmlformats.org/officeDocument/2006/relationships/hyperlink" Target="http://www.sec.gov/Archives/edgar/data/1162194/000119312514034901/d669277dex41.htm" TargetMode="External"/><Relationship Id="rId34" Type="http://schemas.openxmlformats.org/officeDocument/2006/relationships/hyperlink" Target="http://www.sec.gov/Archives/edgar/data/1162194/000119312514034901/d66927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2019-12-06T19:27:23Z</dcterms:created>
  <dcterms:modified xsi:type="dcterms:W3CDTF">2019-12-06T19:27:23Z</dcterms:modified>
</cp:coreProperties>
</file>