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McCracken Colin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05/22/2020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6,797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amended Form 4 is being filed solely to report that the number of shares withheld for tax liability upon the vesting of RSU awards represented a disposition of 6,797 shares rather than 7,763 shares, as was reported on the Form 4 filed on May 22, 2020. All other information remains the same.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Colin McCracken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541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Nicholas Khadder,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5380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2020-06-05T14:57:20Z</dcterms:created>
  <dcterms:modified xsi:type="dcterms:W3CDTF">2020-06-05T14:57:20Z</dcterms:modified>
</cp:coreProperties>
</file>