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11/13/2025</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963"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8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8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11/13/2025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450,000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1.2031</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62,500,000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11/14/2025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250,000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1.2392</w:t>
            </w:r>
            <w:r>
              <w:rPr>
                <w:rFonts w:ascii="Times New Roman" w:cs="Times New Roman" w:eastAsia="Times New Roman" w:hAnsi="Times New Roman"/>
                <w:sz w:val="22"/>
                <w:szCs w:val="22"/>
                <w:color w:val="008000"/>
                <w:vertAlign w:val="superscript"/>
              </w:rPr>
              <w:t>(2)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62,750,000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11/17/2025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225,000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1.2248</w:t>
            </w:r>
            <w:r>
              <w:rPr>
                <w:rFonts w:ascii="Times New Roman" w:cs="Times New Roman" w:eastAsia="Times New Roman" w:hAnsi="Times New Roman"/>
                <w:sz w:val="22"/>
                <w:szCs w:val="22"/>
                <w:color w:val="008000"/>
                <w:vertAlign w:val="superscript"/>
              </w:rPr>
              <w:t>(3)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62,975,000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2,901,062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(5)</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80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1" w:lineRule="exact"/>
        <w:rPr>
          <w:sz w:val="24"/>
          <w:szCs w:val="24"/>
          <w:color w:val="auto"/>
        </w:rPr>
      </w:pPr>
    </w:p>
    <w:p>
      <w:pPr>
        <w:sectPr>
          <w:pgSz w:w="11900" w:h="16963" w:orient="portrait"/>
          <w:cols w:equalWidth="0" w:num="1">
            <w:col w:w="11080"/>
          </w:cols>
          <w:pgMar w:left="460" w:top="219" w:right="359" w:bottom="0" w:gutter="0" w:footer="0" w:header="0"/>
          <w:type w:val="continuous"/>
        </w:sectPr>
      </w:pPr>
    </w:p>
    <w:p>
      <w:pPr>
        <w:spacing w:after="0" w:line="6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tabs>
          <w:tab w:leader="none" w:pos="1360" w:val="left"/>
          <w:tab w:leader="none" w:pos="1920" w:val="left"/>
        </w:tabs>
        <w:rPr>
          <w:sz w:val="20"/>
          <w:szCs w:val="20"/>
          <w:color w:val="auto"/>
        </w:rPr>
      </w:pPr>
      <w:r>
        <w:rPr>
          <w:rFonts w:ascii="Times New Roman" w:cs="Times New Roman" w:eastAsia="Times New Roman" w:hAnsi="Times New Roman"/>
          <w:sz w:val="17"/>
          <w:szCs w:val="17"/>
          <w:color w:val="0000FF"/>
        </w:rPr>
        <w:t>13,939,637</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4"/>
          <w:szCs w:val="24"/>
          <w:color w:val="0000FF"/>
          <w:vertAlign w:val="superscript"/>
        </w:rPr>
        <w:t>See</w:t>
      </w:r>
    </w:p>
    <w:p>
      <w:pPr>
        <w:ind w:left="194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p>
      <w:pPr>
        <w:spacing w:after="0" w:line="28" w:lineRule="exact"/>
        <w:rPr>
          <w:sz w:val="24"/>
          <w:szCs w:val="24"/>
          <w:color w:val="auto"/>
        </w:rPr>
      </w:pPr>
    </w:p>
    <w:p>
      <w:pPr>
        <w:ind w:left="40"/>
        <w:spacing w:after="0"/>
        <w:tabs>
          <w:tab w:leader="none" w:pos="1360" w:val="left"/>
          <w:tab w:leader="none" w:pos="1920" w:val="left"/>
        </w:tabs>
        <w:rPr>
          <w:sz w:val="20"/>
          <w:szCs w:val="20"/>
          <w:color w:val="auto"/>
        </w:rPr>
      </w:pPr>
      <w:r>
        <w:rPr>
          <w:rFonts w:ascii="Times New Roman" w:cs="Times New Roman" w:eastAsia="Times New Roman" w:hAnsi="Times New Roman"/>
          <w:sz w:val="17"/>
          <w:szCs w:val="17"/>
          <w:color w:val="0000FF"/>
        </w:rPr>
        <w:t>2,744,219</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4"/>
          <w:szCs w:val="24"/>
          <w:color w:val="0000FF"/>
          <w:vertAlign w:val="superscript"/>
        </w:rPr>
        <w:t>See</w:t>
      </w:r>
    </w:p>
    <w:p>
      <w:pPr>
        <w:ind w:left="1940"/>
        <w:spacing w:after="0"/>
        <w:rPr>
          <w:sz w:val="20"/>
          <w:szCs w:val="20"/>
          <w:color w:val="auto"/>
        </w:rPr>
      </w:pPr>
      <w:r>
        <w:rPr>
          <w:rFonts w:ascii="Times New Roman" w:cs="Times New Roman" w:eastAsia="Times New Roman" w:hAnsi="Times New Roman"/>
          <w:sz w:val="17"/>
          <w:szCs w:val="17"/>
          <w:color w:val="0000FF"/>
        </w:rPr>
        <w:t>foonote</w:t>
      </w:r>
      <w:r>
        <w:rPr>
          <w:rFonts w:ascii="Times New Roman" w:cs="Times New Roman" w:eastAsia="Times New Roman" w:hAnsi="Times New Roman"/>
          <w:sz w:val="22"/>
          <w:szCs w:val="22"/>
          <w:color w:val="008000"/>
          <w:vertAlign w:val="superscript"/>
        </w:rPr>
        <w:t>(7)</w:t>
      </w:r>
    </w:p>
    <w:p>
      <w:pPr>
        <w:spacing w:after="0" w:line="100" w:lineRule="exact"/>
        <w:rPr>
          <w:sz w:val="24"/>
          <w:szCs w:val="24"/>
          <w:color w:val="auto"/>
        </w:rPr>
      </w:pPr>
    </w:p>
    <w:p>
      <w:pPr>
        <w:sectPr>
          <w:pgSz w:w="11900" w:h="16963" w:orient="portrait"/>
          <w:cols w:equalWidth="0" w:num="2">
            <w:col w:w="7520" w:space="720"/>
            <w:col w:w="2840"/>
          </w:cols>
          <w:pgMar w:left="460" w:top="219" w:right="35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Partners Master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71" w:lineRule="exact"/>
        <w:rPr>
          <w:sz w:val="24"/>
          <w:szCs w:val="24"/>
          <w:color w:val="auto"/>
        </w:rPr>
      </w:pPr>
    </w:p>
    <w:p>
      <w:pPr>
        <w:spacing w:after="0"/>
        <w:rPr>
          <w:sz w:val="20"/>
          <w:szCs w:val="20"/>
          <w:color w:val="auto"/>
        </w:rPr>
      </w:pPr>
      <w:r>
        <w:rPr>
          <w:sz w:val="1"/>
          <w:szCs w:val="1"/>
          <w:color w:val="auto"/>
        </w:rPr>
        <w:drawing>
          <wp:inline distT="0" distB="0" distL="0" distR="0">
            <wp:extent cx="33655" cy="190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1905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spacing w:after="0" w:line="2" w:lineRule="exact"/>
        <w:rPr>
          <w:sz w:val="20"/>
          <w:szCs w:val="20"/>
          <w:color w:val="auto"/>
        </w:rPr>
      </w:pPr>
    </w:p>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Casdin Capital,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-143510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bl>
    <w:p>
      <w:pPr>
        <w:spacing w:after="0" w:line="200" w:lineRule="exact"/>
        <w:rPr>
          <w:sz w:val="20"/>
          <w:szCs w:val="20"/>
          <w:color w:val="auto"/>
        </w:rPr>
      </w:pPr>
    </w:p>
    <w:p>
      <w:pPr>
        <w:sectPr>
          <w:pgSz w:w="11900" w:h="16840" w:orient="portrait"/>
          <w:cols w:equalWidth="0" w:num="1">
            <w:col w:w="9979"/>
          </w:cols>
          <w:pgMar w:left="480" w:top="125" w:right="1440" w:bottom="0" w:gutter="0" w:footer="0" w:header="0"/>
        </w:sectPr>
      </w:pPr>
    </w:p>
    <w:p>
      <w:pPr>
        <w:spacing w:after="0" w:line="1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40" w:orient="portrait"/>
          <w:cols w:equalWidth="0" w:num="1">
            <w:col w:w="9979"/>
          </w:cols>
          <w:pgMar w:left="480" w:top="125" w:right="1440"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31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09240" cy="183197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Casdin Eli</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$1.1978 to $1.2098.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$1.2364 to $1.2434.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$1.2175 to $1.2299.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5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("Casdin"), the investment adviser to the Master Fund, (ii) Casdin Partners GP, LLC (the "GP"), the general partner of the Master Fund,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00"/>
          </w:cols>
          <w:pgMar w:left="500" w:top="216" w:right="49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1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Growth Equity Fund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6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93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2160"/>
          </w:cols>
          <w:pgMar w:left="500" w:top="216"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216"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13" Type="http://schemas.openxmlformats.org/officeDocument/2006/relationships/hyperlink" Target="http://www.sec.gov/cgi-bin/browse-edgar?action=getcompany&amp;CIK=0001534265" TargetMode="External"/><Relationship Id="rId14" Type="http://schemas.openxmlformats.org/officeDocument/2006/relationships/hyperlink" Target="http://www.sec.gov/cgi-bin/browse-edgar?action=getcompany&amp;CIK=0001162194" TargetMode="External"/><Relationship Id="rId16" Type="http://schemas.openxmlformats.org/officeDocument/2006/relationships/hyperlink" Target="http://www.sec.gov/cgi-bin/browse-edgar?action=getcompany&amp;CIK=0001534261" TargetMode="External"/><Relationship Id="rId18" Type="http://schemas.openxmlformats.org/officeDocument/2006/relationships/hyperlink" Target="http://www.sec.gov/cgi-bin/browse-edgar?action=getcompany&amp;CIK=0001534260" TargetMode="External"/><Relationship Id="rId19" Type="http://schemas.openxmlformats.org/officeDocument/2006/relationships/hyperlink" Target="http://www.sec.gov/cgi-bin/browse-edgar?action=getcompany&amp;CIK=0001891102" TargetMode="External"/><Relationship Id="rId20" Type="http://schemas.openxmlformats.org/officeDocument/2006/relationships/hyperlink" Target="http://www.sec.gov/cgi-bin/browse-edgar?action=getcompany&amp;CIK=0001919480" TargetMode="External"/><Relationship Id="rId21" Type="http://schemas.openxmlformats.org/officeDocument/2006/relationships/hyperlink" Target="http://www.sec.gov/cgi-bin/browse-edgar?action=getcompany&amp;CIK=0001823061" TargetMode="External"/><Relationship Id="rId22" Type="http://schemas.openxmlformats.org/officeDocument/2006/relationships/hyperlink" Target="http://www.sec.gov/cgi-bin/browse-edgar?action=getcompany&amp;CIK=0001864554" TargetMode="External"/><Relationship Id="rId24" Type="http://schemas.openxmlformats.org/officeDocument/2006/relationships/hyperlink" Target="http://www.sec.gov/cgi-bin/browse-edgar?action=getcompany&amp;CIK=0001534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2025-11-17T17:59:35Z</dcterms:created>
  <dcterms:modified xsi:type="dcterms:W3CDTF">2025-11-17T17:59:35Z</dcterms:modified>
</cp:coreProperties>
</file>