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4)*</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Eli Casdin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1350 Avenue of the Americas, Suite 2600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897-5430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100" w:right="8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50" w:lineRule="exact"/>
        <w:rPr>
          <w:sz w:val="24"/>
          <w:szCs w:val="24"/>
          <w:color w:val="auto"/>
        </w:rPr>
      </w:pPr>
    </w:p>
    <w:p>
      <w:pPr>
        <w:ind w:left="500" w:hanging="492"/>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34385P108</w:t>
            </w:r>
          </w:p>
        </w:tc>
      </w:tr>
    </w:tbl>
    <w:p>
      <w:pPr>
        <w:spacing w:after="0" w:line="198"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4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Capital,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200" w:lineRule="exact"/>
        <w:rPr>
          <w:sz w:val="20"/>
          <w:szCs w:val="20"/>
          <w:color w:val="auto"/>
        </w:rPr>
      </w:pPr>
    </w:p>
    <w:p>
      <w:pPr>
        <w:spacing w:after="0" w:line="241"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8380" w:hanging="895"/>
        <w:spacing w:after="0" w:line="50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6320" w:hanging="895"/>
        <w:spacing w:after="0" w:line="53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814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86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63,959,677</w:t>
      </w:r>
    </w:p>
    <w:p>
      <w:pPr>
        <w:spacing w:after="0" w:line="1" w:lineRule="exact"/>
        <w:rPr>
          <w:rFonts w:ascii="Times New Roman" w:cs="Times New Roman" w:eastAsia="Times New Roman" w:hAnsi="Times New Roman"/>
          <w:sz w:val="18"/>
          <w:szCs w:val="18"/>
          <w:color w:val="auto"/>
        </w:rPr>
      </w:pPr>
    </w:p>
    <w:p>
      <w:pPr>
        <w:ind w:left="900" w:right="774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63,959,677</w:t>
      </w:r>
    </w:p>
    <w:p>
      <w:pPr>
        <w:spacing w:after="0" w:line="1" w:lineRule="exact"/>
        <w:rPr>
          <w:rFonts w:ascii="Times New Roman" w:cs="Times New Roman" w:eastAsia="Times New Roman" w:hAnsi="Times New Roman"/>
          <w:sz w:val="18"/>
          <w:szCs w:val="18"/>
          <w:color w:val="auto"/>
        </w:rPr>
      </w:pPr>
    </w:p>
    <w:p>
      <w:pPr>
        <w:ind w:left="900" w:right="344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63,959,677</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840" w:hanging="895"/>
        <w:spacing w:after="0" w:line="500"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17.29%</w:t>
      </w:r>
    </w:p>
    <w:p>
      <w:pPr>
        <w:spacing w:after="0" w:line="1" w:lineRule="exact"/>
        <w:rPr>
          <w:rFonts w:ascii="Times New Roman" w:cs="Times New Roman" w:eastAsia="Times New Roman" w:hAnsi="Times New Roman"/>
          <w:sz w:val="18"/>
          <w:szCs w:val="18"/>
          <w:color w:val="auto"/>
        </w:rPr>
      </w:pPr>
    </w:p>
    <w:p>
      <w:pPr>
        <w:ind w:left="900" w:right="7480" w:hanging="895"/>
        <w:spacing w:after="0" w:line="53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472"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34385P108</w:t>
            </w:r>
          </w:p>
        </w:tc>
      </w:tr>
    </w:tbl>
    <w:p>
      <w:pPr>
        <w:spacing w:after="0" w:line="198"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4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Private Growth Equity Fund II, L.P.</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200" w:lineRule="exact"/>
        <w:rPr>
          <w:sz w:val="20"/>
          <w:szCs w:val="20"/>
          <w:color w:val="auto"/>
        </w:rPr>
      </w:pPr>
    </w:p>
    <w:p>
      <w:pPr>
        <w:spacing w:after="0" w:line="214"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838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WC</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6320" w:hanging="895"/>
        <w:spacing w:after="0" w:line="53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814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86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13,939,637</w:t>
      </w:r>
    </w:p>
    <w:p>
      <w:pPr>
        <w:spacing w:after="0" w:line="1" w:lineRule="exact"/>
        <w:rPr>
          <w:rFonts w:ascii="Times New Roman" w:cs="Times New Roman" w:eastAsia="Times New Roman" w:hAnsi="Times New Roman"/>
          <w:sz w:val="18"/>
          <w:szCs w:val="18"/>
          <w:color w:val="auto"/>
        </w:rPr>
      </w:pPr>
    </w:p>
    <w:p>
      <w:pPr>
        <w:ind w:left="900" w:right="774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13,939,637</w:t>
      </w:r>
    </w:p>
    <w:p>
      <w:pPr>
        <w:spacing w:after="0" w:line="1" w:lineRule="exact"/>
        <w:rPr>
          <w:rFonts w:ascii="Times New Roman" w:cs="Times New Roman" w:eastAsia="Times New Roman" w:hAnsi="Times New Roman"/>
          <w:sz w:val="18"/>
          <w:szCs w:val="18"/>
          <w:color w:val="auto"/>
        </w:rPr>
      </w:pPr>
    </w:p>
    <w:p>
      <w:pPr>
        <w:ind w:left="900" w:right="344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13,939,637</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840" w:hanging="895"/>
        <w:spacing w:after="0" w:line="50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3.77%</w:t>
      </w:r>
    </w:p>
    <w:p>
      <w:pPr>
        <w:spacing w:after="0" w:line="1" w:lineRule="exact"/>
        <w:rPr>
          <w:rFonts w:ascii="Times New Roman" w:cs="Times New Roman" w:eastAsia="Times New Roman" w:hAnsi="Times New Roman"/>
          <w:sz w:val="18"/>
          <w:szCs w:val="18"/>
          <w:color w:val="auto"/>
        </w:rPr>
      </w:pPr>
    </w:p>
    <w:p>
      <w:pPr>
        <w:ind w:left="900" w:right="7480" w:hanging="895"/>
        <w:spacing w:after="0" w:line="53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472"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34385P108</w:t>
            </w:r>
          </w:p>
        </w:tc>
      </w:tr>
    </w:tbl>
    <w:p>
      <w:pPr>
        <w:spacing w:after="0" w:line="198"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4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Private Growth Equity Fund II GP,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200" w:lineRule="exact"/>
        <w:rPr>
          <w:sz w:val="20"/>
          <w:szCs w:val="20"/>
          <w:color w:val="auto"/>
        </w:rPr>
      </w:pPr>
    </w:p>
    <w:p>
      <w:pPr>
        <w:spacing w:after="0" w:line="214" w:lineRule="exact"/>
        <w:rPr>
          <w:sz w:val="20"/>
          <w:szCs w:val="20"/>
          <w:color w:val="auto"/>
        </w:rPr>
      </w:pPr>
    </w:p>
    <w:p>
      <w:pPr>
        <w:ind w:left="900" w:hanging="89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8380" w:hanging="895"/>
        <w:spacing w:after="0" w:line="50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6320" w:hanging="895"/>
        <w:spacing w:after="0" w:line="53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814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86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13,939,637</w:t>
      </w:r>
    </w:p>
    <w:p>
      <w:pPr>
        <w:spacing w:after="0" w:line="1" w:lineRule="exact"/>
        <w:rPr>
          <w:rFonts w:ascii="Times New Roman" w:cs="Times New Roman" w:eastAsia="Times New Roman" w:hAnsi="Times New Roman"/>
          <w:sz w:val="18"/>
          <w:szCs w:val="18"/>
          <w:color w:val="auto"/>
        </w:rPr>
      </w:pPr>
    </w:p>
    <w:p>
      <w:pPr>
        <w:ind w:left="900" w:right="774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13,939,637</w:t>
      </w:r>
    </w:p>
    <w:p>
      <w:pPr>
        <w:spacing w:after="0" w:line="1" w:lineRule="exact"/>
        <w:rPr>
          <w:rFonts w:ascii="Times New Roman" w:cs="Times New Roman" w:eastAsia="Times New Roman" w:hAnsi="Times New Roman"/>
          <w:sz w:val="18"/>
          <w:szCs w:val="18"/>
          <w:color w:val="auto"/>
        </w:rPr>
      </w:pPr>
    </w:p>
    <w:p>
      <w:pPr>
        <w:ind w:left="900" w:right="344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13,939,637</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84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3.77%</w:t>
      </w:r>
    </w:p>
    <w:p>
      <w:pPr>
        <w:spacing w:after="0" w:line="1" w:lineRule="exact"/>
        <w:rPr>
          <w:rFonts w:ascii="Times New Roman" w:cs="Times New Roman" w:eastAsia="Times New Roman" w:hAnsi="Times New Roman"/>
          <w:sz w:val="18"/>
          <w:szCs w:val="18"/>
          <w:color w:val="auto"/>
        </w:rPr>
      </w:pPr>
    </w:p>
    <w:p>
      <w:pPr>
        <w:ind w:left="900" w:right="7480" w:hanging="895"/>
        <w:spacing w:after="0" w:line="53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472"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34385P108</w:t>
            </w:r>
          </w:p>
        </w:tc>
      </w:tr>
    </w:tbl>
    <w:p>
      <w:pPr>
        <w:spacing w:after="0" w:line="198" w:lineRule="exact"/>
        <w:rPr>
          <w:sz w:val="20"/>
          <w:szCs w:val="20"/>
          <w:color w:val="auto"/>
        </w:rPr>
      </w:pPr>
    </w:p>
    <w:p>
      <w:pPr>
        <w:ind w:left="900" w:hanging="8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4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Partners Master Fund, L.P.</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200" w:lineRule="exact"/>
        <w:rPr>
          <w:sz w:val="20"/>
          <w:szCs w:val="20"/>
          <w:color w:val="auto"/>
        </w:rPr>
      </w:pPr>
    </w:p>
    <w:p>
      <w:pPr>
        <w:spacing w:after="0" w:line="214"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8380" w:hanging="895"/>
        <w:spacing w:after="0" w:line="50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WC</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6320" w:hanging="895"/>
        <w:spacing w:after="0" w:line="53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900" w:right="814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86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46,075,821</w:t>
      </w:r>
    </w:p>
    <w:p>
      <w:pPr>
        <w:spacing w:after="0" w:line="1" w:lineRule="exact"/>
        <w:rPr>
          <w:rFonts w:ascii="Times New Roman" w:cs="Times New Roman" w:eastAsia="Times New Roman" w:hAnsi="Times New Roman"/>
          <w:sz w:val="18"/>
          <w:szCs w:val="18"/>
          <w:color w:val="auto"/>
        </w:rPr>
      </w:pPr>
    </w:p>
    <w:p>
      <w:pPr>
        <w:ind w:left="900" w:right="774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46,075,821</w:t>
      </w:r>
    </w:p>
    <w:p>
      <w:pPr>
        <w:spacing w:after="0" w:line="1" w:lineRule="exact"/>
        <w:rPr>
          <w:rFonts w:ascii="Times New Roman" w:cs="Times New Roman" w:eastAsia="Times New Roman" w:hAnsi="Times New Roman"/>
          <w:sz w:val="18"/>
          <w:szCs w:val="18"/>
          <w:color w:val="auto"/>
        </w:rPr>
      </w:pPr>
    </w:p>
    <w:p>
      <w:pPr>
        <w:ind w:left="900" w:right="344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46,075,821</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840" w:hanging="895"/>
        <w:spacing w:after="0" w:line="50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12.46%</w:t>
      </w:r>
    </w:p>
    <w:p>
      <w:pPr>
        <w:spacing w:after="0" w:line="1" w:lineRule="exact"/>
        <w:rPr>
          <w:rFonts w:ascii="Times New Roman" w:cs="Times New Roman" w:eastAsia="Times New Roman" w:hAnsi="Times New Roman"/>
          <w:sz w:val="18"/>
          <w:szCs w:val="18"/>
          <w:color w:val="auto"/>
        </w:rPr>
      </w:pPr>
    </w:p>
    <w:p>
      <w:pPr>
        <w:ind w:left="900" w:right="7480" w:hanging="895"/>
        <w:spacing w:after="0" w:line="53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472"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34385P108</w:t>
            </w:r>
          </w:p>
        </w:tc>
      </w:tr>
    </w:tbl>
    <w:p>
      <w:pPr>
        <w:spacing w:after="0" w:line="198" w:lineRule="exact"/>
        <w:rPr>
          <w:sz w:val="20"/>
          <w:szCs w:val="20"/>
          <w:color w:val="auto"/>
        </w:rPr>
      </w:pPr>
    </w:p>
    <w:p>
      <w:pPr>
        <w:ind w:left="900" w:hanging="89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4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Partners GP,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200" w:lineRule="exact"/>
        <w:rPr>
          <w:sz w:val="20"/>
          <w:szCs w:val="20"/>
          <w:color w:val="auto"/>
        </w:rPr>
      </w:pPr>
    </w:p>
    <w:p>
      <w:pPr>
        <w:spacing w:after="0" w:line="214" w:lineRule="exact"/>
        <w:rPr>
          <w:sz w:val="20"/>
          <w:szCs w:val="20"/>
          <w:color w:val="auto"/>
        </w:rPr>
      </w:pPr>
    </w:p>
    <w:p>
      <w:pPr>
        <w:ind w:left="900" w:hanging="89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8380" w:hanging="895"/>
        <w:spacing w:after="0" w:line="500"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6320" w:hanging="895"/>
        <w:spacing w:after="0" w:line="53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814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86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47,275,821</w:t>
      </w:r>
    </w:p>
    <w:p>
      <w:pPr>
        <w:spacing w:after="0" w:line="1" w:lineRule="exact"/>
        <w:rPr>
          <w:rFonts w:ascii="Times New Roman" w:cs="Times New Roman" w:eastAsia="Times New Roman" w:hAnsi="Times New Roman"/>
          <w:sz w:val="18"/>
          <w:szCs w:val="18"/>
          <w:color w:val="auto"/>
        </w:rPr>
      </w:pPr>
    </w:p>
    <w:p>
      <w:pPr>
        <w:ind w:left="900" w:right="774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47,275,821</w:t>
      </w:r>
    </w:p>
    <w:p>
      <w:pPr>
        <w:spacing w:after="0" w:line="1" w:lineRule="exact"/>
        <w:rPr>
          <w:rFonts w:ascii="Times New Roman" w:cs="Times New Roman" w:eastAsia="Times New Roman" w:hAnsi="Times New Roman"/>
          <w:sz w:val="18"/>
          <w:szCs w:val="18"/>
          <w:color w:val="auto"/>
        </w:rPr>
      </w:pPr>
    </w:p>
    <w:p>
      <w:pPr>
        <w:ind w:left="900" w:right="3440" w:hanging="895"/>
        <w:spacing w:after="0" w:line="50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47,275,821</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840" w:hanging="895"/>
        <w:spacing w:after="0" w:line="50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12.78%</w:t>
      </w:r>
    </w:p>
    <w:p>
      <w:pPr>
        <w:spacing w:after="0" w:line="1" w:lineRule="exact"/>
        <w:rPr>
          <w:rFonts w:ascii="Times New Roman" w:cs="Times New Roman" w:eastAsia="Times New Roman" w:hAnsi="Times New Roman"/>
          <w:sz w:val="18"/>
          <w:szCs w:val="18"/>
          <w:color w:val="auto"/>
        </w:rPr>
      </w:pPr>
    </w:p>
    <w:p>
      <w:pPr>
        <w:ind w:left="900" w:right="7480" w:hanging="895"/>
        <w:spacing w:after="0" w:line="53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472" w:right="5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34385P108</w:t>
            </w:r>
          </w:p>
        </w:tc>
      </w:tr>
    </w:tbl>
    <w:p>
      <w:pPr>
        <w:spacing w:after="0" w:line="198" w:lineRule="exact"/>
        <w:rPr>
          <w:sz w:val="20"/>
          <w:szCs w:val="20"/>
          <w:color w:val="auto"/>
        </w:rPr>
      </w:pPr>
    </w:p>
    <w:p>
      <w:pPr>
        <w:ind w:left="900" w:hanging="89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4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Eli Casdin</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r>
        <w:trPr>
          <w:trHeight w:val="234"/>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w:t>
            </w:r>
          </w:p>
        </w:tc>
      </w:tr>
    </w:tbl>
    <w:p>
      <w:pPr>
        <w:spacing w:after="0" w:line="200" w:lineRule="exact"/>
        <w:rPr>
          <w:sz w:val="20"/>
          <w:szCs w:val="20"/>
          <w:color w:val="auto"/>
        </w:rPr>
      </w:pPr>
    </w:p>
    <w:p>
      <w:pPr>
        <w:spacing w:after="0" w:line="214" w:lineRule="exact"/>
        <w:rPr>
          <w:sz w:val="20"/>
          <w:szCs w:val="20"/>
          <w:color w:val="auto"/>
        </w:rPr>
      </w:pPr>
    </w:p>
    <w:p>
      <w:pPr>
        <w:ind w:left="900" w:hanging="89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00" w:right="8380" w:hanging="895"/>
        <w:spacing w:after="0" w:line="500"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6320" w:hanging="895"/>
        <w:spacing w:after="0" w:line="53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900" w:right="814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255,259</w:t>
      </w:r>
    </w:p>
    <w:p>
      <w:pPr>
        <w:spacing w:after="0" w:line="1" w:lineRule="exact"/>
        <w:rPr>
          <w:rFonts w:ascii="Times New Roman" w:cs="Times New Roman" w:eastAsia="Times New Roman" w:hAnsi="Times New Roman"/>
          <w:sz w:val="18"/>
          <w:szCs w:val="18"/>
          <w:color w:val="auto"/>
        </w:rPr>
      </w:pPr>
    </w:p>
    <w:p>
      <w:pPr>
        <w:ind w:left="900" w:right="786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70,146,078</w:t>
      </w:r>
    </w:p>
    <w:p>
      <w:pPr>
        <w:spacing w:after="0" w:line="1" w:lineRule="exact"/>
        <w:rPr>
          <w:rFonts w:ascii="Times New Roman" w:cs="Times New Roman" w:eastAsia="Times New Roman" w:hAnsi="Times New Roman"/>
          <w:sz w:val="18"/>
          <w:szCs w:val="18"/>
          <w:color w:val="auto"/>
        </w:rPr>
      </w:pPr>
    </w:p>
    <w:p>
      <w:pPr>
        <w:ind w:left="900" w:right="774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255,259</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70,146,078</w:t>
      </w:r>
    </w:p>
    <w:p>
      <w:pPr>
        <w:spacing w:after="0" w:line="1" w:lineRule="exact"/>
        <w:rPr>
          <w:rFonts w:ascii="Times New Roman" w:cs="Times New Roman" w:eastAsia="Times New Roman" w:hAnsi="Times New Roman"/>
          <w:sz w:val="18"/>
          <w:szCs w:val="18"/>
          <w:color w:val="auto"/>
        </w:rPr>
      </w:pPr>
    </w:p>
    <w:p>
      <w:pPr>
        <w:ind w:left="900" w:right="3440" w:hanging="895"/>
        <w:spacing w:after="0" w:line="50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70,401,337</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w:t>
      </w:r>
      <w:r>
        <w:rPr>
          <w:sz w:val="20"/>
          <w:szCs w:val="20"/>
          <w:color w:val="auto"/>
        </w:rPr>
        <w:tab/>
      </w:r>
      <w:r>
        <w:rPr>
          <w:rFonts w:ascii="Times New Roman" w:cs="Times New Roman" w:eastAsia="Times New Roman" w:hAnsi="Times New Roman"/>
          <w:sz w:val="18"/>
          <w:szCs w:val="18"/>
          <w:color w:val="auto"/>
        </w:rPr>
        <w:t>[_]</w:t>
      </w:r>
    </w:p>
    <w:p>
      <w:pPr>
        <w:spacing w:after="0" w:line="225" w:lineRule="exact"/>
        <w:rPr>
          <w:sz w:val="20"/>
          <w:szCs w:val="20"/>
          <w:color w:val="auto"/>
        </w:rPr>
      </w:pPr>
    </w:p>
    <w:p>
      <w:pPr>
        <w:ind w:left="900" w:right="4840" w:hanging="895"/>
        <w:spacing w:after="0" w:line="500"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18.91%</w:t>
      </w:r>
    </w:p>
    <w:p>
      <w:pPr>
        <w:spacing w:after="0" w:line="1" w:lineRule="exact"/>
        <w:rPr>
          <w:rFonts w:ascii="Times New Roman" w:cs="Times New Roman" w:eastAsia="Times New Roman" w:hAnsi="Times New Roman"/>
          <w:sz w:val="18"/>
          <w:szCs w:val="18"/>
          <w:color w:val="auto"/>
        </w:rPr>
      </w:pPr>
    </w:p>
    <w:p>
      <w:pPr>
        <w:ind w:left="900" w:right="7480" w:hanging="895"/>
        <w:spacing w:after="0" w:line="53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20" w:top="472" w:right="5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740" w:type="dxa"/>
            <w:vAlign w:val="bottom"/>
          </w:tcPr>
          <w:p>
            <w:pPr>
              <w:spacing w:after="0"/>
              <w:rPr>
                <w:sz w:val="20"/>
                <w:szCs w:val="20"/>
                <w:color w:val="auto"/>
              </w:rPr>
            </w:pPr>
          </w:p>
        </w:tc>
        <w:tc>
          <w:tcPr>
            <w:tcW w:w="7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125842203</w:t>
            </w:r>
          </w:p>
        </w:tc>
        <w:tc>
          <w:tcPr>
            <w:tcW w:w="2240" w:type="dxa"/>
            <w:vAlign w:val="bottom"/>
          </w:tcPr>
          <w:p>
            <w:pPr>
              <w:spacing w:after="0"/>
              <w:rPr>
                <w:sz w:val="20"/>
                <w:szCs w:val="20"/>
                <w:color w:val="auto"/>
              </w:rPr>
            </w:pPr>
          </w:p>
        </w:tc>
      </w:tr>
      <w:tr>
        <w:trPr>
          <w:trHeight w:val="42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Security and Issuer.</w:t>
            </w:r>
          </w:p>
        </w:tc>
      </w:tr>
      <w:tr>
        <w:trPr>
          <w:trHeight w:val="414"/>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name of the issuer is Standard BioTools Inc., a Delaware corporation (the “Issuer”).  The address of the Issuer’s principal</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offices is 2 Tower Place, Suite 2000, South San Francisco, California 94080. This Schedule 13D amendment relates to the</w:t>
            </w:r>
          </w:p>
        </w:tc>
      </w:tr>
      <w:tr>
        <w:trPr>
          <w:trHeight w:val="234"/>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Issuer’s Common Stock, par value $0.001 per share (the “Shares”).</w:t>
            </w:r>
          </w:p>
        </w:tc>
      </w:tr>
      <w:tr>
        <w:trPr>
          <w:trHeight w:val="216"/>
        </w:trPr>
        <w:tc>
          <w:tcPr>
            <w:tcW w:w="8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80" w:type="dxa"/>
            <w:vAlign w:val="bottom"/>
            <w:tcBorders>
              <w:bottom w:val="single" w:sz="8" w:color="auto"/>
            </w:tcBorders>
            <w:gridSpan w:val="3"/>
          </w:tcPr>
          <w:p>
            <w:pPr>
              <w:spacing w:after="0"/>
              <w:rPr>
                <w:sz w:val="18"/>
                <w:szCs w:val="18"/>
                <w:color w:val="auto"/>
              </w:rPr>
            </w:pPr>
          </w:p>
        </w:tc>
      </w:tr>
      <w:tr>
        <w:trPr>
          <w:trHeight w:val="64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Identity and Background.</w:t>
            </w:r>
          </w:p>
        </w:tc>
      </w:tr>
      <w:tr>
        <w:trPr>
          <w:trHeight w:val="414"/>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(f)</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This  Schedule  13D  is  being  filed  by  Casdin  Capital,  LLC,  a  Delaware  limited  liability  company</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(“Casdin”), Casdin Private Growth Equity Fund II, L.P., a Delaware limited partnership (“Casdin PGEII”), Casdin Private</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Growth Equity Fund II GP, LLC, a Delaware limited liability company (“Casdin PGEII GP”), Casdin Partners Master</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Fund L.P., a Cayman Islands exempted limited partnership (“Casdin PMF”), Casdin Partners GP, LLC, a Delaware</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limited liability company (“Casdin GP”), and Eli Casdin, a United States citizen (each a “Reporting Person” and</w:t>
            </w:r>
          </w:p>
        </w:tc>
      </w:tr>
      <w:tr>
        <w:trPr>
          <w:trHeight w:val="234"/>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collectively, the “Reporting Persons”).</w:t>
            </w:r>
          </w:p>
        </w:tc>
      </w:tr>
      <w:tr>
        <w:trPr>
          <w:trHeight w:val="414"/>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1350 Avenue of the Americas, Suite 2600, New York,</w:t>
            </w:r>
          </w:p>
        </w:tc>
      </w:tr>
      <w:tr>
        <w:trPr>
          <w:trHeight w:val="234"/>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New York 10019.</w:t>
            </w:r>
          </w:p>
        </w:tc>
      </w:tr>
      <w:tr>
        <w:trPr>
          <w:trHeight w:val="414"/>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principal business of Casdin is serving as an investment adviser to its clients. The principal business of Casdin GP</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Casdin PGEII GP is serving as the general partner to certain private funds. Casdin is the investment manager to</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Casdin PMF and Casdin PGEII. Casdin GP is the general partner of Casdin PMF, and Casdin PGEII GP is the general</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partner of Casdin PGEII. The principal business of Casdin PMF and Casdin PGEII is purchasing, holding and selling</w:t>
            </w:r>
          </w:p>
        </w:tc>
      </w:tr>
      <w:tr>
        <w:trPr>
          <w:trHeight w:val="234"/>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 for investment purposes.</w:t>
            </w:r>
          </w:p>
        </w:tc>
      </w:tr>
      <w:tr>
        <w:trPr>
          <w:trHeight w:val="414"/>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 (e)</w:t>
            </w: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During the last five years, none of the Reporting Persons has been (a) convicted in a criminal proceeding (excluding</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traffic violations or similar misdemeanors) or (b) a party to a civil proceeding of a judicial or administrative body of</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competent jurisdiction and as a result of such proceeding was or is subject to a judgment, decree or final order enjoining</w:t>
            </w:r>
          </w:p>
        </w:tc>
      </w:tr>
      <w:tr>
        <w:trPr>
          <w:trHeight w:val="216"/>
        </w:trPr>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future violations of, or prohibiting or mandating activities subject to, federal or state securities laws or finding any</w:t>
            </w:r>
          </w:p>
        </w:tc>
      </w:tr>
      <w:tr>
        <w:trPr>
          <w:trHeight w:val="234"/>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violation with respect to such laws. The Reporting Persons disclaim membership in a group.</w:t>
            </w:r>
          </w:p>
        </w:tc>
      </w:tr>
      <w:tr>
        <w:trPr>
          <w:trHeight w:val="216"/>
        </w:trPr>
        <w:tc>
          <w:tcPr>
            <w:tcW w:w="8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80" w:type="dxa"/>
            <w:vAlign w:val="bottom"/>
            <w:tcBorders>
              <w:bottom w:val="single" w:sz="8" w:color="auto"/>
            </w:tcBorders>
            <w:gridSpan w:val="3"/>
          </w:tcPr>
          <w:p>
            <w:pPr>
              <w:spacing w:after="0"/>
              <w:rPr>
                <w:sz w:val="18"/>
                <w:szCs w:val="18"/>
                <w:color w:val="auto"/>
              </w:rPr>
            </w:pPr>
          </w:p>
        </w:tc>
      </w:tr>
      <w:tr>
        <w:trPr>
          <w:trHeight w:val="64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and Amount of Funds or Other Consideration.</w:t>
            </w:r>
          </w:p>
        </w:tc>
      </w:tr>
      <w:tr>
        <w:trPr>
          <w:trHeight w:val="414"/>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On January 23, 2022, the Issuer agreed to issue and sell (a) 78,750 shares of Series B-1 Convertible Preferred Stock (“Series B-1</w:t>
            </w:r>
          </w:p>
        </w:tc>
      </w:tr>
      <w:tr>
        <w:trPr>
          <w:trHeight w:val="234"/>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Preferred Stock”) to Casdin PMF in exchange for cash consideration of $78,750,000 and (b) 33,750 shares of Series B-1 Preferred</w:t>
            </w:r>
          </w:p>
        </w:tc>
      </w:tr>
    </w:tbl>
    <w:p>
      <w:pPr>
        <w:jc w:val="both"/>
        <w:ind w:left="900" w:right="560"/>
        <w:spacing w:after="0" w:line="250" w:lineRule="auto"/>
        <w:rPr>
          <w:sz w:val="20"/>
          <w:szCs w:val="20"/>
          <w:color w:val="auto"/>
        </w:rPr>
      </w:pPr>
      <w:r>
        <w:rPr>
          <w:rFonts w:ascii="Times New Roman" w:cs="Times New Roman" w:eastAsia="Times New Roman" w:hAnsi="Times New Roman"/>
          <w:sz w:val="18"/>
          <w:szCs w:val="18"/>
          <w:color w:val="auto"/>
        </w:rPr>
        <w:t>Stock to Casdin PGEII in exchange for cash consideration of $33,750,000. Pursuant to the Loan Agreement (defined below), (i) Casdin PMF provided a term loan to the Issuer in an aggregate original principal amount of $8,750,000 and (ii) Casdin PGEII provided a term loan to the Issuer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w:t>
      </w:r>
    </w:p>
    <w:p>
      <w:pPr>
        <w:spacing w:after="0" w:line="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Casdin PGEII and Casdin PMF used working capital to fund the term loan and purchase of the Series B-1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142875</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472" w:right="339" w:bottom="1440" w:gutter="0" w:footer="0" w:header="0"/>
        </w:sectPr>
      </w:pPr>
    </w:p>
    <w:bookmarkStart w:id="8" w:name="page9"/>
    <w:bookmarkEnd w:id="8"/>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Purpose of Transaction.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Eli Casdin is a member of the Board of Directors of the Issuer.</w:t>
      </w:r>
    </w:p>
    <w:p>
      <w:pPr>
        <w:spacing w:after="0" w:line="225"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18"/>
          <w:szCs w:val="18"/>
          <w:color w:val="auto"/>
        </w:rPr>
        <w:t>The Reporting Persons have acquired their shares of the Issuer for investment purposes. The Reporting Persons intend to review their holdings in the Issuer on a continuing basis and, depending upon the price and availability of the Issuer’s securities, subsequent developments affecting the Issuer, the business prospects of the Issuer, general stock market and economic conditions, tax considerations, investment considerations and/or other factors deemed relevant, may consider increasing or decreasing their investments in the Issuer.</w:t>
      </w:r>
    </w:p>
    <w:p>
      <w:pPr>
        <w:spacing w:after="0" w:line="183"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18"/>
          <w:szCs w:val="18"/>
          <w:color w:val="auto"/>
        </w:rPr>
        <w:t>On January 5, 2024, the Issuer completed the previously announced merger pursuant to the Agreement and Plan of Merger, dated as of October 4, 2023 (the “Merger Agreement”), by and among the Issuer, SomaLogic, Inc., a Delaware corporation (“SomaLogic”), and Martis Merger Sub, Inc., a Delaware corporation and wholly owned subsidiary of the Issuer (“Merger Sub”). Pursuant to the Merger Agreement, Merger Sub merged with and into SomaLogic, with SomaLogic surviving as a wholly owned subsidiary of the Issuer (the “Merger”).</w:t>
      </w:r>
    </w:p>
    <w:p>
      <w:pPr>
        <w:spacing w:after="0" w:line="183"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At the consummation of the Merger, each issued and outstanding share of common stock of SomaLogic, par value $0.0001 per share (“SomaLogic Common Stock”), was converted into the right to receive 1.11 (the “Exchange Ratio”) Shares, and cash in lieu of fractional shares.</w:t>
      </w:r>
    </w:p>
    <w:p>
      <w:pPr>
        <w:spacing w:after="0" w:line="176" w:lineRule="exact"/>
        <w:rPr>
          <w:sz w:val="20"/>
          <w:szCs w:val="20"/>
          <w:color w:val="auto"/>
        </w:rPr>
      </w:pPr>
    </w:p>
    <w:p>
      <w:pPr>
        <w:jc w:val="both"/>
        <w:ind w:left="900"/>
        <w:spacing w:after="0" w:line="253" w:lineRule="auto"/>
        <w:rPr>
          <w:sz w:val="20"/>
          <w:szCs w:val="20"/>
          <w:color w:val="auto"/>
        </w:rPr>
      </w:pPr>
      <w:r>
        <w:rPr>
          <w:rFonts w:ascii="Times New Roman" w:cs="Times New Roman" w:eastAsia="Times New Roman" w:hAnsi="Times New Roman"/>
          <w:sz w:val="18"/>
          <w:szCs w:val="18"/>
          <w:color w:val="auto"/>
        </w:rPr>
        <w:t>In addition, as of the effective time of the Merger, the Issuer assumed each SomaLogic stock incentive plan, each outstanding option to purchase shares of SomaLogic Common Stock (the “Options”) and each outstanding restricted stock unit convertible into shares of SomaLogic Common Stock (the “RSUs,” and together with the Options, the “Equity Awards”), whether vested or unvested. Each such Equity Award assumed by the Issuer will continue to have, and be subject to, the same terms and conditions applicable to such Equity Award immediately prior to the effective time of the Merger, except that (A) each such Option will be exercisable for that number of Shares equal to the number of shares of SomaLogic Common Stock subject to such Option immediately prior to the effective time of the Merger multiplied by the Exchange Ratio and rounded down to the next nearest Share, (B) the exercise price per share will be the exercise price per share in effect for that Option immediately prior to the effective time of the Merger divided by the Exchange Ratio and rounded up to the next nearest cent and (C) each such RSU will vest for that number of Shares equal to the number of shares of SomaLogic Common Stock subject to such RSU immediately prior to the effective time of the Merger multiplied by the Exchange Ratio and rounded to the next nearest Share.</w:t>
      </w:r>
    </w:p>
    <w:p>
      <w:pPr>
        <w:spacing w:after="0" w:line="192" w:lineRule="exact"/>
        <w:rPr>
          <w:sz w:val="20"/>
          <w:szCs w:val="20"/>
          <w:color w:val="auto"/>
        </w:rPr>
      </w:pPr>
    </w:p>
    <w:p>
      <w:pPr>
        <w:jc w:val="both"/>
        <w:ind w:left="900"/>
        <w:spacing w:after="0" w:line="282" w:lineRule="auto"/>
        <w:rPr>
          <w:sz w:val="20"/>
          <w:szCs w:val="20"/>
          <w:color w:val="auto"/>
        </w:rPr>
      </w:pPr>
      <w:r>
        <w:rPr>
          <w:rFonts w:ascii="Times New Roman" w:cs="Times New Roman" w:eastAsia="Times New Roman" w:hAnsi="Times New Roman"/>
          <w:sz w:val="18"/>
          <w:szCs w:val="18"/>
          <w:color w:val="auto"/>
        </w:rPr>
        <w:t>In addition, as of the effective time of the Merger, each SomaLogic warrant, each exercisable for one share of SomaLogic Common Stock, shall be treated in accordance with its terms.</w:t>
      </w:r>
    </w:p>
    <w:p>
      <w:pPr>
        <w:spacing w:after="0" w:line="162"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The description of the Merger Agreement and related transactions (including, without limitation, the Merger) is subject and qualified in its entirety by reference to the full text of the Merger Agreement, a copy of which is incorporated herein by reference to Exhibit 2.1 of the 8-K filed by the Issuer on January 5, 2024.</w:t>
      </w:r>
    </w:p>
    <w:p>
      <w:pPr>
        <w:spacing w:after="0" w:line="176"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18"/>
          <w:szCs w:val="18"/>
          <w:color w:val="auto"/>
        </w:rPr>
        <w:t>Except as set forth in this Schedule 13D, none of the Reporting Persons have any plan or proposals that relate to or would result in any of the transactions described in subparagraphs (a) through (j) of Item 4 of Schedule 13D. However, each of the Reporting Persons reserves the right to change its plans at any time, as it deems appropriate, in light of its ongoing evaluation of (i) its business and liquidity objectives, (ii) the Issuer’s financial condition, business, operations, competitive position, prospects and/or share price, (iii) industry, economic and/or securities markets conditions, (iv) alternative investment opportunities and (v) other relevant factors.</w:t>
      </w:r>
    </w:p>
    <w:p>
      <w:pPr>
        <w:spacing w:after="0" w:line="183" w:lineRule="exact"/>
        <w:rPr>
          <w:sz w:val="20"/>
          <w:szCs w:val="20"/>
          <w:color w:val="auto"/>
        </w:rPr>
      </w:pPr>
    </w:p>
    <w:p>
      <w:pPr>
        <w:jc w:val="both"/>
        <w:ind w:left="900"/>
        <w:spacing w:after="0" w:line="252" w:lineRule="auto"/>
        <w:rPr>
          <w:sz w:val="20"/>
          <w:szCs w:val="20"/>
          <w:color w:val="auto"/>
        </w:rPr>
      </w:pPr>
      <w:r>
        <w:rPr>
          <w:rFonts w:ascii="Times New Roman" w:cs="Times New Roman" w:eastAsia="Times New Roman" w:hAnsi="Times New Roman"/>
          <w:sz w:val="18"/>
          <w:szCs w:val="18"/>
          <w:color w:val="auto"/>
        </w:rPr>
        <w:t>Without limiting the generality of the preceding sentence, each of the Reporting Persons reserves the right (subject to any applicable restrictions under law or contracts by which it is bound) to at any time or from time to time (A) purchase or otherwise acquire additional shares of Common Stock or other securities of the Issuer, or instruments convertible into or exercisable for any such securities (collectively, “Issuer Securities”), in the open market, in privately negotiated transactions or otherwise, (B) sell, transfer or otherwise dispose of Issuer Securities in public or private transactions, (C) acquire or write options contracts, or enter into derivatives or hedging transactions, relating to Issuer Securities, (D) pledge Issuer Securities to secure obligations of the Reporting Persons and/or (E) encourage (including, without limitation, through any designated or nominated member of the Issuer’s board of directors (the “Board of Directors”) and/or communications with directors, management and existing or prospective security holders, investors or lenders of the Issuer, existing or potential strategic partners, industry analysts and other investment and financing professionals) the Issuer to consider or explore the following: (i) sales or acquisitions of assets or businesses or extraordinary corporate transactions, such as a merger (including transactions in which affiliates of Reporting Persons may be proposed as acquirers or as a source of financing), (ii) changes to the Issuer’s capitalization or dividend policy, (iii) changes to the present Board of Directors, including changes to the number or term of members of the Board of Directors or filling existing vacancies on the Board of Directors, (iv) changes to the Issuer’s by-laws and (v) other changes to the Issuer’s business or structure.</w:t>
      </w:r>
    </w:p>
    <w:p>
      <w:pPr>
        <w:spacing w:after="0" w:line="197"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For avoidance of doubt, 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260350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568960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420" w:top="688" w:right="899" w:bottom="1440" w:gutter="0" w:footer="0" w:header="0"/>
        </w:sectPr>
      </w:pPr>
    </w:p>
    <w:bookmarkStart w:id="9" w:name="page10"/>
    <w:bookmarkEnd w:id="9"/>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Interest in Securities of the Issuer.</w:t>
      </w:r>
    </w:p>
    <w:p>
      <w:pPr>
        <w:spacing w:after="0" w:line="225" w:lineRule="exact"/>
        <w:rPr>
          <w:sz w:val="20"/>
          <w:szCs w:val="20"/>
          <w:color w:val="auto"/>
        </w:rPr>
      </w:pPr>
    </w:p>
    <w:p>
      <w:pPr>
        <w:ind w:left="1820" w:right="20" w:hanging="910"/>
        <w:spacing w:after="0" w:line="282" w:lineRule="auto"/>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(e)As of the date hereof, Casdin may be deemed to be the beneficial owner of 63,959,677 Shares, constituting 17.29% of the Shares, based upon 369,920,511*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has the sole power to vote or direct the vote of 0 Shares; has the shared power to vote or direct the vote of 63,959,677 Shares; has the sole power to dispose or direct the disposition of 0 Shares; and had the shared power to dispose or direct the disposition of 63,959,677 Shares.</w:t>
      </w:r>
    </w:p>
    <w:p>
      <w:pPr>
        <w:spacing w:after="0" w:line="176"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As of the date hereof, Casdin PGEII and Casdin PGEII GP may be deemed to be the beneficial owners of 13,939,637 Shares, constituting 3.77% of the Shares, based upon 369,920,511* Shares outstanding. As of the date hereof Casdin PGEII and Casdin PGEII GP have ceased to be the beneficial owners of more than five percent of the Shares.</w:t>
      </w:r>
    </w:p>
    <w:p>
      <w:pPr>
        <w:spacing w:after="0" w:line="176"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PGEII and Casdin PGEII GP have the sole power to vote or direct the vote of 0 Shares; have the shared power to vote or direct the vote of 13,939,637 Shares; have the sole power to dispose or direct the disposition of 0 Shares; and have the shared power to dispose or direct the disposition of 13,939,637 Shares.</w:t>
      </w:r>
    </w:p>
    <w:p>
      <w:pPr>
        <w:spacing w:after="0" w:line="176"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As of the date hereof, Casdin GP may be deemed to be the beneficial owner of 47,275,821 Shares, constituting 12.78% of the Shares, based upon 369,920,511*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GP has the sole power to vote or direct the vote of 0 Shares; has the shared power to vote or direct the vote of 47,275,821 Shares; has the sole power to dispose or direct the disposition of 0 Shares; and had the shared power to dispose or direct the disposition of 47,275,821 Shares.</w:t>
      </w:r>
    </w:p>
    <w:p>
      <w:pPr>
        <w:spacing w:after="0" w:line="176" w:lineRule="exact"/>
        <w:rPr>
          <w:sz w:val="20"/>
          <w:szCs w:val="20"/>
          <w:color w:val="auto"/>
        </w:rPr>
      </w:pPr>
    </w:p>
    <w:p>
      <w:pPr>
        <w:jc w:val="both"/>
        <w:ind w:left="1820" w:right="20"/>
        <w:spacing w:after="0" w:line="282" w:lineRule="auto"/>
        <w:rPr>
          <w:sz w:val="20"/>
          <w:szCs w:val="20"/>
          <w:color w:val="auto"/>
        </w:rPr>
      </w:pPr>
      <w:r>
        <w:rPr>
          <w:rFonts w:ascii="Times New Roman" w:cs="Times New Roman" w:eastAsia="Times New Roman" w:hAnsi="Times New Roman"/>
          <w:sz w:val="18"/>
          <w:szCs w:val="18"/>
          <w:color w:val="auto"/>
        </w:rPr>
        <w:t>As of the date hereof, Casdin PMF may be deemed to be the beneficial owner of 46,075,821 Shares, constituting 12.46% of the Shares, based upon 369,920,511*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PMF has the sole power to vote or direct the vote of 0 Shares; has the shared power to vote or direct the vote of 46,075,821 Shares; has the sole power to dispose or direct the disposition of 0 Shares; and had the shared power to dispose or direct the disposition of 46,075,821 Shares.</w:t>
      </w:r>
    </w:p>
    <w:p>
      <w:pPr>
        <w:spacing w:after="0" w:line="176"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As of the date hereof, Eli Casdin may be deemed to be the beneficial owner of 70,401,337 Shares, constituting 18.91% of the Shares, based upon 372,332,912**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Eli Casdin has the sole power to vote or direct the vote of 255,259 Shares; has the shared power to vote or direct the vote of 70,146,078 Shares; has the sole power to dispose or direct the disposition of 255,259 Shares; and had the shared power to dispose or direct the disposition of 70,146,078 Shares.</w:t>
      </w:r>
    </w:p>
    <w:p>
      <w:pPr>
        <w:spacing w:after="0" w:line="176"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The transactions by the Reporting Persons in the securities of the Issuer during the past sixty days are set forth in Exhibit B. All such transactions were carried out in open market transactions.</w:t>
      </w:r>
    </w:p>
    <w:p>
      <w:pPr>
        <w:spacing w:after="0" w:line="162" w:lineRule="exact"/>
        <w:rPr>
          <w:sz w:val="20"/>
          <w:szCs w:val="20"/>
          <w:color w:val="auto"/>
        </w:rPr>
      </w:pPr>
    </w:p>
    <w:p>
      <w:pPr>
        <w:jc w:val="both"/>
        <w:ind w:left="1820" w:right="20"/>
        <w:spacing w:after="0" w:line="282" w:lineRule="auto"/>
        <w:rPr>
          <w:sz w:val="20"/>
          <w:szCs w:val="20"/>
          <w:color w:val="auto"/>
        </w:rPr>
      </w:pPr>
      <w:r>
        <w:rPr>
          <w:rFonts w:ascii="Times New Roman" w:cs="Times New Roman" w:eastAsia="Times New Roman" w:hAnsi="Times New Roman"/>
          <w:sz w:val="18"/>
          <w:szCs w:val="18"/>
          <w:color w:val="auto"/>
        </w:rPr>
        <w:t>*This outstanding Shares figure reflects the 369,920,511 outstanding Shares as reported in the Schedule 14A filed by the Issuer on May 21, 2024.</w:t>
      </w:r>
    </w:p>
    <w:p>
      <w:pPr>
        <w:spacing w:after="0" w:line="162" w:lineRule="exact"/>
        <w:rPr>
          <w:sz w:val="20"/>
          <w:szCs w:val="20"/>
          <w:color w:val="auto"/>
        </w:rPr>
      </w:pPr>
    </w:p>
    <w:p>
      <w:pPr>
        <w:jc w:val="both"/>
        <w:ind w:left="1820" w:right="20"/>
        <w:spacing w:after="0" w:line="282" w:lineRule="auto"/>
        <w:rPr>
          <w:sz w:val="20"/>
          <w:szCs w:val="20"/>
          <w:color w:val="auto"/>
        </w:rPr>
      </w:pPr>
      <w:r>
        <w:rPr>
          <w:rFonts w:ascii="Times New Roman" w:cs="Times New Roman" w:eastAsia="Times New Roman" w:hAnsi="Times New Roman"/>
          <w:sz w:val="18"/>
          <w:szCs w:val="18"/>
          <w:color w:val="auto"/>
        </w:rPr>
        <w:t>*This outstanding Shares figure reflects the 369,920,511 outstanding Shares as reported in the Schedule 14A filed by the Issuer on May 21, 2024 and 2,412,401 warrants held by an affiliate of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114300</wp:posOffset>
            </wp:positionV>
            <wp:extent cx="65576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422910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420" w:top="688" w:right="879" w:bottom="1440" w:gutter="0" w:footer="0" w:header="0"/>
        </w:sectPr>
      </w:pPr>
    </w:p>
    <w:bookmarkStart w:id="10" w:name="page11"/>
    <w:bookmarkEnd w:id="10"/>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Contracts, Arrangements, Understandings or Relationships with Respect to Securities of the Issuer.</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29" w:lineRule="exact"/>
        <w:rPr>
          <w:sz w:val="20"/>
          <w:szCs w:val="20"/>
          <w:color w:val="auto"/>
        </w:rPr>
      </w:pPr>
    </w:p>
    <w:p>
      <w:pPr>
        <w:jc w:val="both"/>
        <w:ind w:left="900" w:right="460"/>
        <w:spacing w:after="0" w:line="261" w:lineRule="auto"/>
        <w:rPr>
          <w:sz w:val="20"/>
          <w:szCs w:val="20"/>
          <w:color w:val="auto"/>
        </w:rPr>
      </w:pPr>
      <w:r>
        <w:rPr>
          <w:rFonts w:ascii="Times New Roman" w:cs="Times New Roman" w:eastAsia="Times New Roman" w:hAnsi="Times New Roman"/>
          <w:sz w:val="18"/>
          <w:szCs w:val="18"/>
          <w:color w:val="auto"/>
        </w:rPr>
        <w:t>On January 23, 2022, Casdin PMF and Casdin PGEII entered into the Series B-1 Convertible Preferred Stock Purchase Agreement (the “Stock Purchase Agreement”) with the Issuer, pursuant to which the Issuer agreed to issue and sell (a) 78,750 shares of Series B-1 Preferred Stock to Casdin PMF in exchange for cash consideration of $78,750,000 and (b) 33,750 shares of Series B-1 Preferred Stock to Casdin PGEII in exchange for cash consideration of $33,750,000.</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29" w:lineRule="exact"/>
        <w:rPr>
          <w:sz w:val="20"/>
          <w:szCs w:val="20"/>
          <w:color w:val="auto"/>
        </w:rPr>
      </w:pPr>
    </w:p>
    <w:p>
      <w:pPr>
        <w:jc w:val="both"/>
        <w:ind w:left="900" w:right="460"/>
        <w:spacing w:after="0" w:line="266" w:lineRule="auto"/>
        <w:rPr>
          <w:sz w:val="20"/>
          <w:szCs w:val="20"/>
          <w:color w:val="auto"/>
        </w:rPr>
      </w:pPr>
      <w:r>
        <w:rPr>
          <w:rFonts w:ascii="Times New Roman" w:cs="Times New Roman" w:eastAsia="Times New Roman" w:hAnsi="Times New Roman"/>
          <w:sz w:val="18"/>
          <w:szCs w:val="18"/>
          <w:color w:val="auto"/>
        </w:rPr>
        <w:t>On January 23, 2022, the Issuer entered into a loan agreement (the “Loan Agreement”), dated and effective as of January 23, 2022, pursuant to which (a) Casdin PMF provided a term loan to the Issuer in an aggregate original principal amount of $8,750,000 and (b) Casdin PGEII provided a term loan to the Issuer in an aggregate original principal amount of $3,750,000.</w:t>
      </w:r>
    </w:p>
    <w:p>
      <w:pPr>
        <w:spacing w:after="0" w:line="176" w:lineRule="exact"/>
        <w:rPr>
          <w:sz w:val="20"/>
          <w:szCs w:val="20"/>
          <w:color w:val="auto"/>
        </w:rPr>
      </w:pPr>
    </w:p>
    <w:p>
      <w:pPr>
        <w:jc w:val="both"/>
        <w:ind w:left="900" w:right="460"/>
        <w:spacing w:after="0" w:line="258" w:lineRule="auto"/>
        <w:rPr>
          <w:sz w:val="20"/>
          <w:szCs w:val="20"/>
          <w:color w:val="auto"/>
        </w:rPr>
      </w:pPr>
      <w:r>
        <w:rPr>
          <w:rFonts w:ascii="Times New Roman" w:cs="Times New Roman" w:eastAsia="Times New Roman" w:hAnsi="Times New Roman"/>
          <w:sz w:val="18"/>
          <w:szCs w:val="18"/>
          <w:color w:val="auto"/>
        </w:rPr>
        <w:t>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229" w:lineRule="exact"/>
        <w:rPr>
          <w:sz w:val="20"/>
          <w:szCs w:val="20"/>
          <w:color w:val="auto"/>
        </w:rPr>
      </w:pPr>
    </w:p>
    <w:p>
      <w:pPr>
        <w:jc w:val="both"/>
        <w:ind w:left="900" w:right="460"/>
        <w:spacing w:after="0" w:line="266" w:lineRule="auto"/>
        <w:rPr>
          <w:sz w:val="20"/>
          <w:szCs w:val="20"/>
          <w:color w:val="auto"/>
        </w:rPr>
      </w:pPr>
      <w:r>
        <w:rPr>
          <w:rFonts w:ascii="Times New Roman" w:cs="Times New Roman" w:eastAsia="Times New Roman" w:hAnsi="Times New Roman"/>
          <w:sz w:val="18"/>
          <w:szCs w:val="18"/>
          <w:color w:val="auto"/>
        </w:rPr>
        <w:t>On March 18, 2024, Casdin PMF and Casdin PGEII entered into an exchange agreement (the “Exchange Agreement”) with the Issuer, pursuant to which (a) Casdin PMF exchanged 89,446 shares of Series B-1 Preferred Stock for 32,525,821 shares of Common Stock and (b) Casdin PGEII exchanged 38,334 shares of Series B-1 Preferred Stock for 13,939,637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260350</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Material to be Filed as Exhibits.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Exhibit B: Schedule of Transactions in Shares</w:t>
      </w:r>
    </w:p>
    <w:p>
      <w:pPr>
        <w:spacing w:after="0" w:line="225"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Exhibit C: Series B-1 Convertible Preferred Stock Purchase Agreement, dated as of January 23, 2022, by and among Standard BioTools Inc. (f/k/a Fluidigm Corporation), Casdin Private Growth Equity Fund II, L.P., and Casdin Partners Master Fund, L.P. (incorporated by reference to Exhibit 10.3 of the Issuer’s Current Report on Form 8-K, filed on January 24, 2022) (File No. 001-34180).</w:t>
      </w:r>
    </w:p>
    <w:p>
      <w:pPr>
        <w:spacing w:after="0" w:line="176"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Exhibit D: Series B-1 Loan Agreement, dated as of January 23, 2022, by and among Standard BioTools Inc. (f/k/a Fluidigm Corporation), Casdin Partners Master Fund, L.P., and Casdin Private Growth Equity Fund II, L.P. (incorporated by reference to Exhibit 10.1 of the Issuer’s Current Report on Form 8-K, filed with the SEC on January 24, 2022) (File No. 001-34180).</w:t>
      </w:r>
    </w:p>
    <w:p>
      <w:pPr>
        <w:spacing w:after="0" w:line="176"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Exhibit E: Exchange Agreement, dated as of March 18, 2024, by and among Standard BioTools Inc., Casdin Private Growth Equity Fund II, L.P., Casdin Partners Master Fund, L.P., Viking Global Opportunities Illiquid Investments Sub-Master LP, and Viking Global Opportunities Drawdown (Aggregator) LP (incorporated by reference to Exhibit 10.1 of the Issuer’s Current Report on Form 8-K, filed on March 18, 2024) (File No. 001-34180).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262890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434340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Private Growth Equity Fund II,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Private Growth Equity Fund II GP, LLC</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Private Growth Equity Fund II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20" w:lineRule="exact"/>
        <w:rPr>
          <w:sz w:val="20"/>
          <w:szCs w:val="20"/>
          <w:color w:val="auto"/>
        </w:rPr>
      </w:pPr>
    </w:p>
    <w:p>
      <w:pPr>
        <w:jc w:val="both"/>
        <w:ind w:firstLine="8"/>
        <w:spacing w:after="0" w:line="266" w:lineRule="auto"/>
        <w:tabs>
          <w:tab w:leader="none" w:pos="1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13D amendment, dated June 3, 2024, relating to the Common Stock, par value $0.001 per share, of Standard BioTools Inc. shall be filed on behalf of the undersigned.</w:t>
      </w:r>
    </w:p>
    <w:p>
      <w:pPr>
        <w:spacing w:after="0" w:line="162"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Private Growth Equity Fund II,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Private Growth Equity Fund II GP, LLC</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Private Growth Equity Fund II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tbl>
      <w:tblPr>
        <w:tblLayout w:type="fixed"/>
        <w:tblInd w:w="92"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7"/>
              </w:rPr>
              <w:t>Exhibit B</w:t>
            </w:r>
          </w:p>
        </w:tc>
      </w:tr>
      <w:tr>
        <w:trPr>
          <w:trHeight w:val="648"/>
        </w:trPr>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Schedule of Transactions in Shares</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1"/>
        </w:trPr>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60" w:type="dxa"/>
            <w:vAlign w:val="bottom"/>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4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Reporting Person</w:t>
            </w:r>
          </w:p>
        </w:tc>
        <w:tc>
          <w:tcPr>
            <w:tcW w:w="304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Title of Class</w:t>
            </w:r>
          </w:p>
        </w:tc>
        <w:tc>
          <w:tcPr>
            <w:tcW w:w="1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186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Disposed</w:t>
            </w:r>
          </w:p>
        </w:tc>
        <w:tc>
          <w:tcPr>
            <w:tcW w:w="17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Price Per Share</w:t>
            </w:r>
          </w:p>
        </w:tc>
      </w:tr>
      <w:tr>
        <w:trPr>
          <w:trHeight w:val="20"/>
        </w:trPr>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5/22/2024</w:t>
            </w:r>
          </w:p>
        </w:tc>
        <w:tc>
          <w:tcPr>
            <w:tcW w:w="2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Casdin PMF</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150,000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$2.5849 (1)</w:t>
            </w:r>
          </w:p>
        </w:tc>
        <w:tc>
          <w:tcPr>
            <w:tcW w:w="460" w:type="dxa"/>
            <w:vAlign w:val="bottom"/>
          </w:tcPr>
          <w:p>
            <w:pPr>
              <w:spacing w:after="0"/>
              <w:rPr>
                <w:sz w:val="24"/>
                <w:szCs w:val="24"/>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5/23/2024</w:t>
            </w:r>
          </w:p>
        </w:tc>
        <w:tc>
          <w:tcPr>
            <w:tcW w:w="2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Casdin PMF</w:t>
            </w:r>
          </w:p>
        </w:tc>
        <w:tc>
          <w:tcPr>
            <w:tcW w:w="3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100,000</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5/28/2024</w:t>
            </w:r>
          </w:p>
        </w:tc>
        <w:tc>
          <w:tcPr>
            <w:tcW w:w="2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 Casdin</w:t>
            </w:r>
          </w:p>
        </w:tc>
        <w:tc>
          <w:tcPr>
            <w:tcW w:w="3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3,774,000</w:t>
            </w:r>
          </w:p>
        </w:tc>
        <w:tc>
          <w:tcPr>
            <w:tcW w:w="1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5/30/2024</w:t>
            </w:r>
          </w:p>
        </w:tc>
        <w:tc>
          <w:tcPr>
            <w:tcW w:w="28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 Casdin</w:t>
            </w:r>
          </w:p>
        </w:tc>
        <w:tc>
          <w:tcPr>
            <w:tcW w:w="3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Warrant to purchase common stock</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2,412,401</w:t>
            </w:r>
          </w:p>
        </w:tc>
        <w:tc>
          <w:tcPr>
            <w:tcW w:w="1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20"/>
                <w:szCs w:val="20"/>
                <w:color w:val="auto"/>
              </w:rPr>
            </w:pPr>
          </w:p>
        </w:tc>
      </w:tr>
    </w:tbl>
    <w:p>
      <w:pPr>
        <w:spacing w:after="0" w:line="198" w:lineRule="exact"/>
        <w:rPr>
          <w:sz w:val="20"/>
          <w:szCs w:val="20"/>
          <w:color w:val="auto"/>
        </w:rPr>
      </w:pPr>
    </w:p>
    <w:p>
      <w:pPr>
        <w:jc w:val="both"/>
        <w:ind w:left="-8" w:firstLine="8"/>
        <w:spacing w:after="0" w:line="266" w:lineRule="auto"/>
        <w:tabs>
          <w:tab w:leader="none" w:pos="2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purchased in multiple transactions within the range of $2.5771 to $2.5865. The Reporting Persons undertake to provide to the Issuer, any security holder of the Issuer or the staff of the SEC, upon request, full information regarding the number of shares purchased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distributed by CMLS Holdings II LLC (“CMLS II”) to equity holders of CMLS II pursuant to a grant for no consideration. The Board of Managers of CMLS Holdings II includes Eli Casdin, who, as a member of the Board of Managers of CMLS II, shares voting and investment discretion with respect to the Shares held by CMLS II.</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warrants were distributed by CMLS II to equity holders of CMLS II pursuant to a grant for no consideration. The Board of Managers of CMLS Holdings II includes Eli Casdin, who, as a member of the Board of Managers of CMLS II, shares voting and investment discretion with respect to the warrants held by CMLS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835025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32"/>
      </w:cols>
      <w:pgMar w:left="328"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1."/>
      <w:numFmt w:val="decimal"/>
      <w:start w:val="6"/>
    </w:lvl>
  </w:abstractNum>
  <w:abstractNum w:abstractNumId="4">
    <w:nsid w:val="257130A3"/>
    <w:multiLevelType w:val="hybridMultilevel"/>
    <w:lvl w:ilvl="0">
      <w:lvlJc w:val="left"/>
      <w:lvlText w:val="%1."/>
      <w:numFmt w:val="decimal"/>
      <w:start w:val="7"/>
    </w:lvl>
  </w:abstractNum>
  <w:abstractNum w:abstractNumId="5">
    <w:nsid w:val="62BBD95A"/>
    <w:multiLevelType w:val="hybridMultilevel"/>
    <w:lvl w:ilvl="0">
      <w:lvlJc w:val="left"/>
      <w:lvlText w:val="%1."/>
      <w:numFmt w:val="decimal"/>
      <w:start w:val="13"/>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13"/>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6"/>
    </w:lvl>
  </w:abstractNum>
  <w:abstractNum w:abstractNumId="14">
    <w:nsid w:val="8EDBDAB"/>
    <w:multiLevelType w:val="hybridMultilevel"/>
    <w:lvl w:ilvl="0">
      <w:lvlJc w:val="left"/>
      <w:lvlText w:val="%1."/>
      <w:numFmt w:val="decimal"/>
      <w:start w:val="7"/>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decimal"/>
      <w:start w:val="6"/>
    </w:lvl>
  </w:abstractNum>
  <w:abstractNum w:abstractNumId="19">
    <w:nsid w:val="54E49EB4"/>
    <w:multiLevelType w:val="hybridMultilevel"/>
    <w:lvl w:ilvl="0">
      <w:lvlJc w:val="left"/>
      <w:lvlText w:val="%1."/>
      <w:numFmt w:val="decimal"/>
      <w:start w:val="7"/>
    </w:lvl>
  </w:abstractNum>
  <w:abstractNum w:abstractNumId="20">
    <w:nsid w:val="71F32454"/>
    <w:multiLevelType w:val="hybridMultilevel"/>
    <w:lvl w:ilvl="0">
      <w:lvlJc w:val="left"/>
      <w:lvlText w:val="%1."/>
      <w:numFmt w:val="decimal"/>
      <w:start w:val="13"/>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decimal"/>
      <w:start w:val="6"/>
    </w:lvl>
  </w:abstractNum>
  <w:abstractNum w:abstractNumId="24">
    <w:nsid w:val="3A95F874"/>
    <w:multiLevelType w:val="hybridMultilevel"/>
    <w:lvl w:ilvl="0">
      <w:lvlJc w:val="left"/>
      <w:lvlText w:val="%1."/>
      <w:numFmt w:val="decimal"/>
      <w:start w:val="7"/>
    </w:lvl>
  </w:abstractNum>
  <w:abstractNum w:abstractNumId="25">
    <w:nsid w:val="8138641"/>
    <w:multiLevelType w:val="hybridMultilevel"/>
    <w:lvl w:ilvl="0">
      <w:lvlJc w:val="left"/>
      <w:lvlText w:val="%1."/>
      <w:numFmt w:val="decimal"/>
      <w:start w:val="13"/>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3"/>
    </w:lvl>
  </w:abstractNum>
  <w:abstractNum w:abstractNumId="28">
    <w:nsid w:val="737B8DDC"/>
    <w:multiLevelType w:val="hybridMultilevel"/>
    <w:lvl w:ilvl="0">
      <w:lvlJc w:val="left"/>
      <w:lvlText w:val="%1."/>
      <w:numFmt w:val="decimal"/>
      <w:start w:val="6"/>
    </w:lvl>
  </w:abstractNum>
  <w:abstractNum w:abstractNumId="29">
    <w:nsid w:val="6CEAF087"/>
    <w:multiLevelType w:val="hybridMultilevel"/>
    <w:lvl w:ilvl="0">
      <w:lvlJc w:val="left"/>
      <w:lvlText w:val="%1."/>
      <w:numFmt w:val="decimal"/>
      <w:start w:val="7"/>
    </w:lvl>
  </w:abstractNum>
  <w:abstractNum w:abstractNumId="30">
    <w:nsid w:val="22221A70"/>
    <w:multiLevelType w:val="hybridMultilevel"/>
    <w:lvl w:ilvl="0">
      <w:lvlJc w:val="left"/>
      <w:lvlText w:val="%1."/>
      <w:numFmt w:val="decimal"/>
      <w:start w:val="13"/>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2024-06-03T16:35:52Z</dcterms:created>
  <dcterms:modified xsi:type="dcterms:W3CDTF">2024-06-03T16:35:52Z</dcterms:modified>
</cp:coreProperties>
</file>