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LEVIN CAPITAL STRATEGIES,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FLUIDIGM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40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4"/>
          </w:tcPr>
          <w:p>
            <w:pPr>
              <w:ind w:left="160"/>
              <w:spacing w:after="0"/>
              <w:rPr>
                <w:sz w:val="20"/>
                <w:szCs w:val="20"/>
                <w:color w:val="auto"/>
              </w:rPr>
            </w:pPr>
            <w:r>
              <w:rPr>
                <w:rFonts w:ascii="Arial" w:cs="Arial" w:eastAsia="Arial" w:hAnsi="Arial"/>
                <w:sz w:val="18"/>
                <w:szCs w:val="18"/>
                <w:color w:val="0000FF"/>
              </w:rPr>
              <w:t>10/25/2018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Passive Investor</w:t>
      </w:r>
    </w:p>
    <w:p>
      <w:pPr>
        <w:spacing w:after="0" w:line="462"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7"/>
        </w:trPr>
        <w:tc>
          <w:tcPr>
            <w:tcW w:w="23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3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3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3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3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vMerge w:val="restart"/>
          </w:tcPr>
          <w:p>
            <w:pPr>
              <w:ind w:left="320"/>
              <w:spacing w:after="0"/>
              <w:rPr>
                <w:sz w:val="20"/>
                <w:szCs w:val="20"/>
                <w:color w:val="auto"/>
              </w:rPr>
            </w:pPr>
            <w:r>
              <w:rPr>
                <w:rFonts w:ascii="Arial" w:cs="Arial" w:eastAsia="Arial" w:hAnsi="Arial"/>
                <w:sz w:val="18"/>
                <w:szCs w:val="18"/>
                <w:color w:val="0000FF"/>
                <w:w w:val="88"/>
              </w:rPr>
              <w:t>10/25/2018</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restart"/>
          </w:tcPr>
          <w:p>
            <w:pPr>
              <w:ind w:left="640"/>
              <w:spacing w:after="0"/>
              <w:rPr>
                <w:sz w:val="20"/>
                <w:szCs w:val="20"/>
                <w:color w:val="auto"/>
              </w:rPr>
            </w:pPr>
            <w:r>
              <w:rPr>
                <w:rFonts w:ascii="Arial" w:cs="Arial" w:eastAsia="Arial" w:hAnsi="Arial"/>
                <w:sz w:val="14"/>
                <w:szCs w:val="14"/>
                <w:color w:val="0000FF"/>
              </w:rPr>
              <w:t>P</w:t>
            </w:r>
          </w:p>
        </w:tc>
        <w:tc>
          <w:tcPr>
            <w:tcW w:w="1440" w:type="dxa"/>
            <w:vAlign w:val="bottom"/>
            <w:gridSpan w:val="2"/>
            <w:vMerge w:val="restart"/>
          </w:tcPr>
          <w:p>
            <w:pPr>
              <w:ind w:left="680"/>
              <w:spacing w:after="0"/>
              <w:rPr>
                <w:sz w:val="20"/>
                <w:szCs w:val="20"/>
                <w:color w:val="auto"/>
              </w:rPr>
            </w:pPr>
            <w:r>
              <w:rPr>
                <w:rFonts w:ascii="Arial" w:cs="Arial" w:eastAsia="Arial" w:hAnsi="Arial"/>
                <w:sz w:val="18"/>
                <w:szCs w:val="18"/>
                <w:color w:val="0000FF"/>
              </w:rPr>
              <w:t>7,363</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A</w:t>
            </w:r>
          </w:p>
        </w:tc>
        <w:tc>
          <w:tcPr>
            <w:tcW w:w="1080" w:type="dxa"/>
            <w:vAlign w:val="bottom"/>
            <w:vMerge w:val="restart"/>
          </w:tcPr>
          <w:p>
            <w:pPr>
              <w:jc w:val="center"/>
              <w:ind w:right="7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7.211</w:t>
            </w:r>
            <w:r>
              <w:rPr>
                <w:rFonts w:ascii="Arial" w:cs="Arial" w:eastAsia="Arial" w:hAnsi="Arial"/>
                <w:sz w:val="22"/>
                <w:szCs w:val="22"/>
                <w:color w:val="008000"/>
                <w:vertAlign w:val="superscript"/>
              </w:rPr>
              <w:t>(10)</w:t>
            </w:r>
          </w:p>
        </w:tc>
        <w:tc>
          <w:tcPr>
            <w:tcW w:w="1540" w:type="dxa"/>
            <w:vAlign w:val="bottom"/>
            <w:gridSpan w:val="2"/>
            <w:vMerge w:val="restart"/>
          </w:tcPr>
          <w:p>
            <w:pPr>
              <w:jc w:val="center"/>
              <w:ind w:right="399"/>
              <w:spacing w:after="0"/>
              <w:rPr>
                <w:sz w:val="20"/>
                <w:szCs w:val="20"/>
                <w:color w:val="auto"/>
              </w:rPr>
            </w:pPr>
            <w:r>
              <w:rPr>
                <w:rFonts w:ascii="Arial" w:cs="Arial" w:eastAsia="Arial" w:hAnsi="Arial"/>
                <w:sz w:val="18"/>
                <w:szCs w:val="18"/>
                <w:color w:val="0000FF"/>
                <w:w w:val="88"/>
              </w:rPr>
              <w:t>11,334,743</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Managed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vMerge w:val="restart"/>
          </w:tcPr>
          <w:p>
            <w:pPr>
              <w:ind w:left="320"/>
              <w:spacing w:after="0"/>
              <w:rPr>
                <w:sz w:val="20"/>
                <w:szCs w:val="20"/>
                <w:color w:val="auto"/>
              </w:rPr>
            </w:pPr>
            <w:r>
              <w:rPr>
                <w:rFonts w:ascii="Arial" w:cs="Arial" w:eastAsia="Arial" w:hAnsi="Arial"/>
                <w:sz w:val="18"/>
                <w:szCs w:val="18"/>
                <w:color w:val="0000FF"/>
                <w:w w:val="88"/>
              </w:rPr>
              <w:t>10/26/2018</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restart"/>
          </w:tcPr>
          <w:p>
            <w:pPr>
              <w:ind w:left="640"/>
              <w:spacing w:after="0"/>
              <w:rPr>
                <w:sz w:val="20"/>
                <w:szCs w:val="20"/>
                <w:color w:val="auto"/>
              </w:rPr>
            </w:pPr>
            <w:r>
              <w:rPr>
                <w:rFonts w:ascii="Arial" w:cs="Arial" w:eastAsia="Arial" w:hAnsi="Arial"/>
                <w:sz w:val="14"/>
                <w:szCs w:val="14"/>
                <w:color w:val="0000FF"/>
              </w:rPr>
              <w:t>P</w:t>
            </w:r>
          </w:p>
        </w:tc>
        <w:tc>
          <w:tcPr>
            <w:tcW w:w="1440" w:type="dxa"/>
            <w:vAlign w:val="bottom"/>
            <w:gridSpan w:val="2"/>
            <w:vMerge w:val="restart"/>
          </w:tcPr>
          <w:p>
            <w:pPr>
              <w:ind w:left="680"/>
              <w:spacing w:after="0"/>
              <w:rPr>
                <w:sz w:val="20"/>
                <w:szCs w:val="20"/>
                <w:color w:val="auto"/>
              </w:rPr>
            </w:pPr>
            <w:r>
              <w:rPr>
                <w:rFonts w:ascii="Arial" w:cs="Arial" w:eastAsia="Arial" w:hAnsi="Arial"/>
                <w:sz w:val="18"/>
                <w:szCs w:val="18"/>
                <w:color w:val="0000FF"/>
              </w:rPr>
              <w:t>2,599</w:t>
            </w:r>
          </w:p>
        </w:tc>
        <w:tc>
          <w:tcPr>
            <w:tcW w:w="160" w:type="dxa"/>
            <w:vAlign w:val="bottom"/>
            <w:vMerge w:val="restart"/>
          </w:tcPr>
          <w:p>
            <w:pPr>
              <w:spacing w:after="0"/>
              <w:rPr>
                <w:sz w:val="20"/>
                <w:szCs w:val="20"/>
                <w:color w:val="auto"/>
              </w:rPr>
            </w:pPr>
            <w:r>
              <w:rPr>
                <w:rFonts w:ascii="Arial" w:cs="Arial" w:eastAsia="Arial" w:hAnsi="Arial"/>
                <w:sz w:val="18"/>
                <w:szCs w:val="18"/>
                <w:color w:val="0000FF"/>
              </w:rPr>
              <w:t>A</w:t>
            </w:r>
          </w:p>
        </w:tc>
        <w:tc>
          <w:tcPr>
            <w:tcW w:w="1080" w:type="dxa"/>
            <w:vAlign w:val="bottom"/>
            <w:vMerge w:val="restart"/>
          </w:tcPr>
          <w:p>
            <w:pPr>
              <w:jc w:val="center"/>
              <w:ind w:right="1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7.1875</w:t>
            </w:r>
            <w:r>
              <w:rPr>
                <w:rFonts w:ascii="Arial" w:cs="Arial" w:eastAsia="Arial" w:hAnsi="Arial"/>
                <w:sz w:val="22"/>
                <w:szCs w:val="22"/>
                <w:color w:val="008000"/>
                <w:vertAlign w:val="superscript"/>
              </w:rPr>
              <w:t>(11)</w:t>
            </w:r>
          </w:p>
        </w:tc>
        <w:tc>
          <w:tcPr>
            <w:tcW w:w="1540" w:type="dxa"/>
            <w:vAlign w:val="bottom"/>
            <w:gridSpan w:val="2"/>
            <w:vMerge w:val="restart"/>
          </w:tcPr>
          <w:p>
            <w:pPr>
              <w:jc w:val="center"/>
              <w:ind w:right="399"/>
              <w:spacing w:after="0"/>
              <w:rPr>
                <w:sz w:val="20"/>
                <w:szCs w:val="20"/>
                <w:color w:val="auto"/>
              </w:rPr>
            </w:pPr>
            <w:r>
              <w:rPr>
                <w:rFonts w:ascii="Arial" w:cs="Arial" w:eastAsia="Arial" w:hAnsi="Arial"/>
                <w:sz w:val="18"/>
                <w:szCs w:val="18"/>
                <w:color w:val="0000FF"/>
                <w:w w:val="88"/>
              </w:rPr>
              <w:t>11,337,342</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Accounts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Levin Capital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0"/>
              </w:rPr>
              <w:t>Strategies,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(3)(4)</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Bi-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vMerge w:val="restart"/>
          </w:tcPr>
          <w:p>
            <w:pPr>
              <w:jc w:val="center"/>
              <w:ind w:left="222"/>
              <w:spacing w:after="0"/>
              <w:rPr>
                <w:sz w:val="20"/>
                <w:szCs w:val="20"/>
                <w:color w:val="auto"/>
              </w:rPr>
            </w:pPr>
            <w:r>
              <w:rPr>
                <w:rFonts w:ascii="Arial" w:cs="Arial" w:eastAsia="Arial" w:hAnsi="Arial"/>
                <w:sz w:val="18"/>
                <w:szCs w:val="18"/>
                <w:color w:val="0000FF"/>
                <w:w w:val="87"/>
              </w:rPr>
              <w:t>95,606</w:t>
            </w:r>
          </w:p>
        </w:tc>
        <w:tc>
          <w:tcPr>
            <w:tcW w:w="760" w:type="dxa"/>
            <w:vAlign w:val="bottom"/>
          </w:tcPr>
          <w:p>
            <w:pPr>
              <w:spacing w:after="0"/>
              <w:rPr>
                <w:sz w:val="18"/>
                <w:szCs w:val="18"/>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Directional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color w:val="0000FF"/>
                <w:w w:val="99"/>
              </w:rPr>
              <w:t>Disequilibrium</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0000FF"/>
              </w:rPr>
              <w:t>By:</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gridSpan w:val="2"/>
            <w:vMerge w:val="restart"/>
          </w:tcPr>
          <w:p>
            <w:pPr>
              <w:jc w:val="center"/>
              <w:ind w:right="419"/>
              <w:spacing w:after="0"/>
              <w:rPr>
                <w:sz w:val="20"/>
                <w:szCs w:val="20"/>
                <w:color w:val="auto"/>
              </w:rPr>
            </w:pPr>
            <w:r>
              <w:rPr>
                <w:rFonts w:ascii="Arial" w:cs="Arial" w:eastAsia="Arial" w:hAnsi="Arial"/>
                <w:sz w:val="18"/>
                <w:szCs w:val="18"/>
                <w:color w:val="0000FF"/>
                <w:w w:val="87"/>
              </w:rPr>
              <w:t>1,305,269</w:t>
            </w: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Transamerica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color w:val="0000FF"/>
              </w:rPr>
              <w:t>Large Cap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9"/>
              </w:rPr>
              <w:t>Value Fund</w:t>
            </w:r>
            <w:r>
              <w:rPr>
                <w:rFonts w:ascii="Arial" w:cs="Arial" w:eastAsia="Arial" w:hAnsi="Arial"/>
                <w:sz w:val="22"/>
                <w:szCs w:val="22"/>
                <w:color w:val="008000"/>
                <w:w w:val="99"/>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Levcap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jc w:val="center"/>
              <w:ind w:left="222"/>
              <w:spacing w:after="0"/>
              <w:rPr>
                <w:sz w:val="20"/>
                <w:szCs w:val="20"/>
                <w:color w:val="auto"/>
              </w:rPr>
            </w:pPr>
            <w:r>
              <w:rPr>
                <w:rFonts w:ascii="Arial" w:cs="Arial" w:eastAsia="Arial" w:hAnsi="Arial"/>
                <w:sz w:val="18"/>
                <w:szCs w:val="18"/>
                <w:color w:val="0000FF"/>
                <w:w w:val="87"/>
              </w:rPr>
              <w:t>56,820</w:t>
            </w:r>
          </w:p>
        </w:tc>
        <w:tc>
          <w:tcPr>
            <w:tcW w:w="7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Alternative</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Fund, L.P.</w:t>
            </w:r>
            <w:r>
              <w:rPr>
                <w:rFonts w:ascii="Arial" w:cs="Arial" w:eastAsia="Arial" w:hAnsi="Arial"/>
                <w:sz w:val="22"/>
                <w:szCs w:val="22"/>
                <w:color w:val="008000"/>
                <w:vertAlign w:val="superscript"/>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vMerge w:val="restart"/>
          </w:tcPr>
          <w:p>
            <w:pPr>
              <w:jc w:val="center"/>
              <w:ind w:left="222"/>
              <w:spacing w:after="0"/>
              <w:rPr>
                <w:sz w:val="20"/>
                <w:szCs w:val="20"/>
                <w:color w:val="auto"/>
              </w:rPr>
            </w:pPr>
            <w:r>
              <w:rPr>
                <w:rFonts w:ascii="Arial" w:cs="Arial" w:eastAsia="Arial" w:hAnsi="Arial"/>
                <w:sz w:val="18"/>
                <w:szCs w:val="18"/>
                <w:color w:val="0000FF"/>
                <w:w w:val="87"/>
              </w:rPr>
              <w:t>19,818</w:t>
            </w:r>
          </w:p>
        </w:tc>
        <w:tc>
          <w:tcPr>
            <w:tcW w:w="760" w:type="dxa"/>
            <w:vAlign w:val="bottom"/>
          </w:tcPr>
          <w:p>
            <w:pPr>
              <w:spacing w:after="0"/>
              <w:rPr>
                <w:sz w:val="22"/>
                <w:szCs w:val="22"/>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By: Safinia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Partners, 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ind w:left="20"/>
              <w:spacing w:after="0"/>
              <w:rPr>
                <w:sz w:val="20"/>
                <w:szCs w:val="20"/>
                <w:color w:val="auto"/>
              </w:rPr>
            </w:pPr>
            <w:r>
              <w:rPr>
                <w:rFonts w:ascii="Arial" w:cs="Arial" w:eastAsia="Arial" w:hAnsi="Arial"/>
                <w:sz w:val="11"/>
                <w:szCs w:val="11"/>
                <w:color w:val="008000"/>
              </w:rPr>
              <w:t>(8)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w w:val="99"/>
              </w:rPr>
              <w:t>By: Spouse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93"/>
              </w:rPr>
              <w:t>Common Stock</w:t>
            </w:r>
            <w:r>
              <w:rPr>
                <w:rFonts w:ascii="Arial" w:cs="Arial" w:eastAsia="Arial" w:hAnsi="Arial"/>
                <w:sz w:val="22"/>
                <w:szCs w:val="22"/>
                <w:color w:val="008000"/>
                <w:w w:val="93"/>
                <w:vertAlign w:val="superscript"/>
              </w:rPr>
              <w:t>(1)(2)</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jc w:val="center"/>
              <w:ind w:left="222"/>
              <w:spacing w:after="0"/>
              <w:rPr>
                <w:sz w:val="20"/>
                <w:szCs w:val="20"/>
                <w:color w:val="auto"/>
              </w:rPr>
            </w:pPr>
            <w:r>
              <w:rPr>
                <w:rFonts w:ascii="Arial" w:cs="Arial" w:eastAsia="Arial" w:hAnsi="Arial"/>
                <w:sz w:val="18"/>
                <w:szCs w:val="18"/>
                <w:color w:val="0000FF"/>
                <w:w w:val="88"/>
              </w:rPr>
              <w:t>5,000</w:t>
            </w:r>
          </w:p>
        </w:tc>
        <w:tc>
          <w:tcPr>
            <w:tcW w:w="7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I</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John A.</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Levin</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6. Date Exercisable and</w:t>
            </w:r>
          </w:p>
        </w:tc>
        <w:tc>
          <w:tcPr>
            <w:tcW w:w="16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3"/>
              </w:rPr>
              <w:t>Form:</w:t>
            </w:r>
          </w:p>
        </w:tc>
        <w:tc>
          <w:tcPr>
            <w:tcW w:w="36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ind w:left="50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0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3"/>
                <w:szCs w:val="13"/>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LEVIN CAPITAL STRATEGIES,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2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20" w:type="dxa"/>
            <w:vAlign w:val="bottom"/>
            <w:tcBorders>
              <w:bottom w:val="single" w:sz="8" w:color="0000EE"/>
            </w:tcBorders>
            <w:gridSpan w:val="2"/>
          </w:tcPr>
          <w:p>
            <w:pPr>
              <w:spacing w:after="0" w:line="224" w:lineRule="exact"/>
              <w:rPr>
                <w:rFonts w:ascii="Arial" w:cs="Arial" w:eastAsia="Arial" w:hAnsi="Arial"/>
                <w:sz w:val="22"/>
                <w:szCs w:val="22"/>
                <w:color w:val="0000EE"/>
                <w:w w:val="89"/>
              </w:rPr>
            </w:pPr>
            <w:hyperlink r:id="rId15">
              <w:r>
                <w:rPr>
                  <w:rFonts w:ascii="Arial" w:cs="Arial" w:eastAsia="Arial" w:hAnsi="Arial"/>
                  <w:sz w:val="22"/>
                  <w:szCs w:val="22"/>
                  <w:color w:val="0000EE"/>
                  <w:w w:val="89"/>
                </w:rPr>
                <w:t>Levin Capital Strategies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2"/>
          </w:tcPr>
          <w:p>
            <w:pPr>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6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tcPr>
          <w:p>
            <w:pPr>
              <w:ind w:left="200"/>
              <w:spacing w:after="0"/>
              <w:rPr>
                <w:sz w:val="20"/>
                <w:szCs w:val="20"/>
                <w:color w:val="auto"/>
              </w:rPr>
            </w:pPr>
            <w:r>
              <w:rPr>
                <w:rFonts w:ascii="Arial" w:cs="Arial" w:eastAsia="Arial" w:hAnsi="Arial"/>
                <w:sz w:val="18"/>
                <w:szCs w:val="18"/>
                <w:color w:val="0000FF"/>
              </w:rPr>
              <w:t>NY</w:t>
            </w:r>
          </w:p>
        </w:tc>
        <w:tc>
          <w:tcPr>
            <w:tcW w:w="1420" w:type="dxa"/>
            <w:vAlign w:val="bottom"/>
          </w:tcPr>
          <w:p>
            <w:pPr>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2"/>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Bi-Directional Disequilibrium Fund, L.P.</w:t>
        </w:r>
      </w:hyperlink>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Levcap Alternative Fund,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LCS Event Partners,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Safinia Partners,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gridSpan w:val="4"/>
          </w:tcPr>
          <w:p>
            <w:pPr>
              <w:ind w:left="20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0219"/>
          </w:cols>
          <w:pgMar w:left="240" w:top="140" w:right="1440" w:bottom="0" w:gutter="0" w:footer="0" w:header="0"/>
        </w:sectPr>
      </w:pPr>
    </w:p>
    <w:bookmarkStart w:id="2" w:name="page3"/>
    <w:bookmarkEnd w:id="2"/>
    <w:p>
      <w:pPr>
        <w:ind w:left="100"/>
        <w:spacing w:after="0"/>
        <w:rPr>
          <w:rFonts w:ascii="Arial" w:cs="Arial" w:eastAsia="Arial" w:hAnsi="Arial"/>
          <w:sz w:val="22"/>
          <w:szCs w:val="22"/>
          <w:u w:val="single" w:color="auto"/>
          <w:color w:val="0000EE"/>
        </w:rPr>
      </w:pPr>
      <w:hyperlink r:id="rId21">
        <w:r>
          <w:rPr>
            <w:rFonts w:ascii="Arial" w:cs="Arial" w:eastAsia="Arial" w:hAnsi="Arial"/>
            <w:sz w:val="22"/>
            <w:szCs w:val="22"/>
            <w:u w:val="single" w:color="auto"/>
            <w:color w:val="0000EE"/>
          </w:rPr>
          <w:t>LCS L/S,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451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924175" cy="345186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LEVIN JOHN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595 MADISON AVENUE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Form 4 is filed jointly by Levin Capital Strategies, L.P. ("LCS"), Levin Capital Strategies GP, LLC ("LCS GP"), Bi-Directional Disequilibrium Fund, L.P. ("BDD")(formerly known as Levin Capital Trilogy Master Fund, Ltd.), Levcap Alternative Fund, L.P. ("Levcap"), LCS Event Partners, LLC ("LCSEP"), Safinia Partners, L.P. ("Safinia"), LCS L/S, LLC ("LCSLS"), and John A. Levin (collectively, the "Reporting Persons"). The Reporting Persons are passive investors in the Issuer and are voluntarily filing this Form 4 as a result of acquiring over 20% of the Issuer's outstanding shares of Common Stock. The Reporting Persons have not acquired the shares with a purpose or effect of changing or influencing control of the Issuer.</w:t>
      </w:r>
    </w:p>
    <w:p>
      <w:pPr>
        <w:spacing w:after="0" w:line="8" w:lineRule="exact"/>
        <w:rPr>
          <w:rFonts w:ascii="Arial" w:cs="Arial" w:eastAsia="Arial" w:hAnsi="Arial"/>
          <w:sz w:val="12"/>
          <w:szCs w:val="12"/>
          <w:color w:val="008000"/>
        </w:rPr>
      </w:pPr>
    </w:p>
    <w:p>
      <w:pPr>
        <w:ind w:left="20" w:right="14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2" w:lineRule="exact"/>
        <w:rPr>
          <w:rFonts w:ascii="Arial" w:cs="Arial" w:eastAsia="Arial" w:hAnsi="Arial"/>
          <w:sz w:val="12"/>
          <w:szCs w:val="12"/>
          <w:color w:val="008000"/>
        </w:rPr>
      </w:pPr>
    </w:p>
    <w:p>
      <w:pPr>
        <w:ind w:left="20" w:firstLine="9"/>
        <w:spacing w:after="0" w:line="273"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"Managed Accounts"). LCS, as the investment manager to the Managed Accounts, may be deemed to beneficially own such shares. LCS does not have a reportable pecuniary interest under Section 16a-1(a)(2) of the Exchange Act in the shares held in the Managed Accounts, as LCS receives an asset-based management fee for serving as investment manager to the Managed Accounts, except that with respect to 127,460 shares held in the Managed Accounts, LCS receives a performance-based incentive fee. The performance-based incentive fee LCS receives also does not constitute a reportable pecuniary interest under Section 16a-1(a)(2) of the Exchange Act, as such fee is based on the performance of the overall account, over a period of one year or more, and the shares of the Issuer held in such accounts constitute no more than 10% of the market value thereof.</w:t>
      </w:r>
    </w:p>
    <w:p>
      <w:pPr>
        <w:spacing w:after="0" w:line="11" w:lineRule="exact"/>
        <w:rPr>
          <w:rFonts w:ascii="Arial" w:cs="Arial" w:eastAsia="Arial" w:hAnsi="Arial"/>
          <w:sz w:val="12"/>
          <w:szCs w:val="12"/>
          <w:color w:val="008000"/>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For the reasons set forth in footnote 3, none of LCS GP, BDD, Levcap, LCSEP, Safinia, LCSLS and Mr. Levin have a reportable pecuniary interest in the shares held in the Managed Accounts.</w:t>
      </w:r>
    </w:p>
    <w:p>
      <w:pPr>
        <w:spacing w:after="0" w:line="64" w:lineRule="exact"/>
        <w:rPr>
          <w:rFonts w:ascii="Arial" w:cs="Arial" w:eastAsia="Arial" w:hAnsi="Arial"/>
          <w:sz w:val="12"/>
          <w:szCs w:val="12"/>
          <w:color w:val="008000"/>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the separate managed account Transamerica Large Cap Value Fund ("Transamerica"). LCS, as the sub-investment advisor to Transamerica, may be deemed to share voting and dispositive power over the shares held by Transamerica. LCS receives an asset-based management fee for serving as sub-investment advisor to Transamerica. Accordingly, LCS does not have a reportable pecuniary interest in the shares held by Transamerica. In addition, none of LCS GP, BDD, Levcap, LCSEP, Safinia, LCSLS and Mr. Levin have a reportable pecuniary interest in the shares held by Transamerica.</w:t>
      </w:r>
    </w:p>
    <w:p>
      <w:pPr>
        <w:spacing w:after="0" w:line="2" w:lineRule="exact"/>
        <w:rPr>
          <w:rFonts w:ascii="Arial" w:cs="Arial" w:eastAsia="Arial" w:hAnsi="Arial"/>
          <w:sz w:val="12"/>
          <w:szCs w:val="12"/>
          <w:color w:val="008000"/>
        </w:rPr>
      </w:pPr>
    </w:p>
    <w:p>
      <w:pPr>
        <w:ind w:left="20" w:right="2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BDD. LCS, as the investment advisor of BDD, may be deemed to share voting and dispositive power over the shares owned directly by BDD. Mr. Levin, as the Chief Executive Officer of LCS, may be deemed to share voting and dispositive power over the shares owned directly by BDD.</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Levcap. LCSEP, as the general partner of Levcap, may be deemed to share voting and dispositive power over the shares owned directly by Levcap. LCS, as the investment advisor of Levcap, may be deemed to share voting and dispositive power over the shares owned directly by Levcap. Mr. Levin, as the Chief Executive Officer of LCS, may be deemed to share voting and dispositive power over the shares owned directly by Levcap.</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Safinia. LCSLS, as the general partner of Safinia, may be deemed to share voting and dispositive power over the shares owned directly by Safinia. LCS, as the investment advisor of Safinia, may be deemed to share voting and dispositive power over the shares owned directly by Safinia. Mr. Levin, as the Chief Executive Officer of LCS, may be deemed to share voting and dispositive power over the shares owned directly by Safinia.</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owned directly by the spouse of Mr. Levin. Mr. Levin has investment discretion over such shares.</w:t>
      </w:r>
    </w:p>
    <w:p>
      <w:pPr>
        <w:spacing w:after="0" w:line="41" w:lineRule="exact"/>
        <w:rPr>
          <w:rFonts w:ascii="Arial" w:cs="Arial" w:eastAsia="Arial" w:hAnsi="Arial"/>
          <w:sz w:val="14"/>
          <w:szCs w:val="14"/>
          <w:color w:val="008000"/>
        </w:rPr>
      </w:pPr>
    </w:p>
    <w:p>
      <w:pPr>
        <w:ind w:left="20" w:right="80" w:firstLine="9"/>
        <w:spacing w:after="0" w:line="288"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$7.20 to $7.22.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10.</w:t>
      </w:r>
    </w:p>
    <w:p>
      <w:pPr>
        <w:spacing w:after="0" w:line="2" w:lineRule="exact"/>
        <w:rPr>
          <w:rFonts w:ascii="Arial" w:cs="Arial" w:eastAsia="Arial" w:hAnsi="Arial"/>
          <w:sz w:val="12"/>
          <w:szCs w:val="12"/>
          <w:color w:val="008000"/>
        </w:rPr>
      </w:pPr>
    </w:p>
    <w:p>
      <w:pPr>
        <w:ind w:left="20" w:right="80" w:firstLine="9"/>
        <w:spacing w:after="0" w:line="288"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reported shares were purchased in multiple transactions at prices ranging from $7.18 to $7.19. The Reporting Persons undertake to provide to the Issuer, any security holder of the Issuer, or the staff of the Securities and Exchange Commission, upon request, full information regarding the number of shares purchased at each separate price within the range set forth in this footnote 11.</w:t>
      </w:r>
    </w:p>
    <w:p>
      <w:pPr>
        <w:sectPr>
          <w:pgSz w:w="11900" w:h="16838" w:orient="portrait"/>
          <w:cols w:equalWidth="0" w:num="1">
            <w:col w:w="11340"/>
          </w:cols>
          <w:pgMar w:left="260" w:top="118" w:right="299" w:bottom="0" w:gutter="0" w:footer="0" w:header="0"/>
        </w:sectPr>
      </w:pPr>
    </w:p>
    <w:p>
      <w:pPr>
        <w:spacing w:after="0" w:line="3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0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793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Levin Capital Strategies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63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By: John A. Levin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GRAT Separation Trust;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4077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Elisabeth Levin,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Bi-Directional Disequilibrium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46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Fund, L.P.; By: LCS;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3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23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Levcap Alternative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LCS Event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16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Event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16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John A. Levin,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757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Safinia Partners, L.P.; By: LCS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0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50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LCS L/S, LLC; By: /s/ John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874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Levin,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677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67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000FF"/>
        </w:rPr>
        <w:t>10/26/2018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10/26/2018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10/26/2018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10/26/2018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10/26/2018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10/26/2018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10/26/2018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10/26/2018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60" w:space="80"/>
            <w:col w:w="2200"/>
          </w:cols>
          <w:pgMar w:left="260" w:top="118" w:right="299" w:bottom="0" w:gutter="0" w:footer="0" w:header="0"/>
          <w:type w:val="continuous"/>
        </w:sectPr>
      </w:pPr>
    </w:p>
    <w:bookmarkStart w:id="3" w:name="page4"/>
    <w:bookmarkEnd w:id="3"/>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20" Type="http://schemas.openxmlformats.org/officeDocument/2006/relationships/image" Target="media/image6.png"/><Relationship Id="rId22"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12" Type="http://schemas.openxmlformats.org/officeDocument/2006/relationships/hyperlink" Target="http://www.sec.gov/cgi-bin/browse-edgar?action=getcompany&amp;CIK=0001354821"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688305" TargetMode="External"/><Relationship Id="rId16" Type="http://schemas.openxmlformats.org/officeDocument/2006/relationships/hyperlink" Target="http://www.sec.gov/cgi-bin/browse-edgar?action=getcompany&amp;CIK=0001688307" TargetMode="External"/><Relationship Id="rId17" Type="http://schemas.openxmlformats.org/officeDocument/2006/relationships/hyperlink" Target="http://www.sec.gov/cgi-bin/browse-edgar?action=getcompany&amp;CIK=0001474048" TargetMode="External"/><Relationship Id="rId18" Type="http://schemas.openxmlformats.org/officeDocument/2006/relationships/hyperlink" Target="http://www.sec.gov/cgi-bin/browse-edgar?action=getcompany&amp;CIK=0001688302" TargetMode="External"/><Relationship Id="rId19" Type="http://schemas.openxmlformats.org/officeDocument/2006/relationships/hyperlink" Target="http://www.sec.gov/cgi-bin/browse-edgar?action=getcompany&amp;CIK=0001539456" TargetMode="External"/><Relationship Id="rId21" Type="http://schemas.openxmlformats.org/officeDocument/2006/relationships/hyperlink" Target="http://www.sec.gov/cgi-bin/browse-edgar?action=getcompany&amp;CIK=0001688301" TargetMode="External"/><Relationship Id="rId23" Type="http://schemas.openxmlformats.org/officeDocument/2006/relationships/hyperlink" Target="http://www.sec.gov/cgi-bin/browse-edgar?action=getcompany&amp;CIK=0001018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2019-12-23T16:17:24Z</dcterms:created>
  <dcterms:modified xsi:type="dcterms:W3CDTF">2019-12-23T16:17:24Z</dcterms:modified>
</cp:coreProperties>
</file>