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August 15, 2025</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53340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STANDARD BIOTOOLS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97" w:lineRule="exact"/>
        <w:rPr>
          <w:sz w:val="24"/>
          <w:szCs w:val="24"/>
          <w:color w:val="auto"/>
        </w:rPr>
      </w:pPr>
    </w:p>
    <w:tbl>
      <w:tblPr>
        <w:tblLayout w:type="fixed"/>
        <w:tblInd w:w="1700" w:type="dxa"/>
        <w:tblCellMar>
          <w:top w:w="0" w:type="dxa"/>
          <w:left w:w="0" w:type="dxa"/>
          <w:bottom w:w="0" w:type="dxa"/>
          <w:right w:w="0" w:type="dxa"/>
        </w:tblCellMar>
      </w:tblPr>
      <w:tr>
        <w:trPr>
          <w:trHeight w:val="207"/>
        </w:trPr>
        <w:tc>
          <w:tcPr>
            <w:tcW w:w="4100" w:type="dxa"/>
            <w:vAlign w:val="bottom"/>
          </w:tcPr>
          <w:p>
            <w:pPr>
              <w:jc w:val="center"/>
              <w:ind w:right="177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540" w:type="dxa"/>
            <w:vAlign w:val="bottom"/>
          </w:tcPr>
          <w:p>
            <w:pPr>
              <w:jc w:val="center"/>
              <w:ind w:left="1754"/>
              <w:spacing w:after="0"/>
              <w:rPr>
                <w:sz w:val="20"/>
                <w:szCs w:val="20"/>
                <w:color w:val="auto"/>
              </w:rPr>
            </w:pPr>
            <w:r>
              <w:rPr>
                <w:rFonts w:ascii="Times New Roman" w:cs="Times New Roman" w:eastAsia="Times New Roman" w:hAnsi="Times New Roman"/>
                <w:sz w:val="17"/>
                <w:szCs w:val="17"/>
                <w:b w:val="1"/>
                <w:bCs w:val="1"/>
                <w:color w:val="auto"/>
                <w:w w:val="99"/>
              </w:rPr>
              <w:t>77-0513190</w:t>
            </w:r>
          </w:p>
        </w:tc>
      </w:tr>
      <w:tr>
        <w:trPr>
          <w:trHeight w:val="207"/>
        </w:trPr>
        <w:tc>
          <w:tcPr>
            <w:tcW w:w="4100" w:type="dxa"/>
            <w:vAlign w:val="bottom"/>
          </w:tcPr>
          <w:p>
            <w:pPr>
              <w:jc w:val="center"/>
              <w:ind w:right="1814"/>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540" w:type="dxa"/>
            <w:vAlign w:val="bottom"/>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8"/>
        </w:trPr>
        <w:tc>
          <w:tcPr>
            <w:tcW w:w="4100" w:type="dxa"/>
            <w:vAlign w:val="bottom"/>
          </w:tcPr>
          <w:p>
            <w:pPr>
              <w:jc w:val="center"/>
              <w:ind w:right="1774"/>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540" w:type="dxa"/>
            <w:vAlign w:val="bottom"/>
          </w:tcPr>
          <w:p>
            <w:pPr>
              <w:jc w:val="center"/>
              <w:ind w:left="1754"/>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 Tower Place, Suite 2000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San Francisco, California 94080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Standard BioTools Inc. Amended and Restated 2011 Equity Incentive Plan, As Amended</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 Title of Plan)</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Michael Egholm, Ph.D.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 Tower Place, Suite 2000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San Francisco, CA 94080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(650) 266-6000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Copy 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William C. Hicks, Esq.</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John T. Rudy,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Mintz, Levin, Cohn, Ferris, Glovsky and Popeo, P.C.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 Financial Center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Boston, MA 02111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(617) 542-6000</w:t>
      </w:r>
    </w:p>
    <w:p>
      <w:pPr>
        <w:spacing w:after="0" w:line="200" w:lineRule="exact"/>
        <w:rPr>
          <w:sz w:val="24"/>
          <w:szCs w:val="24"/>
          <w:color w:val="auto"/>
        </w:rPr>
      </w:pPr>
    </w:p>
    <w:p>
      <w:pPr>
        <w:ind w:right="420"/>
        <w:spacing w:after="0" w:line="29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456" w:right="339" w:bottom="1440" w:gutter="0" w:footer="0" w:header="0"/>
        </w:sectPr>
      </w:pP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Smaller reporting company  </w:t>
      </w:r>
      <w:r>
        <w:rPr>
          <w:rFonts w:ascii="MS PGothic" w:cs="MS PGothic" w:eastAsia="MS PGothic" w:hAnsi="MS PGothic"/>
          <w:sz w:val="16"/>
          <w:szCs w:val="16"/>
          <w:color w:val="auto"/>
        </w:rPr>
        <w:t>☐</w:t>
      </w:r>
    </w:p>
    <w:p>
      <w:pPr>
        <w:spacing w:after="0" w:line="2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p>
    <w:p>
      <w:pPr>
        <w:spacing w:after="0" w:line="199" w:lineRule="exact"/>
        <w:rPr>
          <w:sz w:val="24"/>
          <w:szCs w:val="24"/>
          <w:color w:val="auto"/>
        </w:rPr>
      </w:pPr>
    </w:p>
    <w:p>
      <w:pPr>
        <w:sectPr>
          <w:pgSz w:w="11900" w:h="16838" w:orient="portrait"/>
          <w:cols w:equalWidth="0" w:num="2">
            <w:col w:w="5020" w:space="720"/>
            <w:col w:w="5500"/>
          </w:cols>
          <w:pgMar w:left="320" w:top="456" w:right="339" w:bottom="1440" w:gutter="0" w:footer="0" w:header="0"/>
          <w:type w:val="continuous"/>
        </w:sectPr>
      </w:pPr>
    </w:p>
    <w:p>
      <w:pPr>
        <w:spacing w:after="0" w:line="229" w:lineRule="exact"/>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140335</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568325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1" w:lineRule="exact"/>
        <w:rPr>
          <w:sz w:val="20"/>
          <w:szCs w:val="20"/>
          <w:color w:val="auto"/>
        </w:rPr>
      </w:pPr>
    </w:p>
    <w:p>
      <w:pPr>
        <w:jc w:val="both"/>
        <w:ind w:firstLine="622"/>
        <w:spacing w:after="0" w:line="259"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This Registration Statement on Form S-8 (this “Registration Statement”) is being filed by Standard BioTools Inc. (f/k/a Fluidigm Corporation) (the “Registrant”) for the purpose of registering an additional 17,400,000 shares of common stock, par value $0.001 per share, of the Registrant (the “Common Stock”) reserved for issuance under the Standard BioTools Inc. Amended and Restated 2011 Equity Incentive Plan, As Amended (the “2011 Plan”), effective as of June 18, 2025. This registration statement registers additional securities of the same class as other securities for which a registration statement filed on Form S-8 (File No. 333-172206) relating to an employee benefit plan is effective. The information contained in the Registrant’s registration statements on Form S-8 filed with the Securities and Exchange Commission on </w:t>
      </w:r>
      <w:hyperlink r:id="rId13">
        <w:r>
          <w:rPr>
            <w:rFonts w:ascii="Times New Roman" w:cs="Times New Roman" w:eastAsia="Times New Roman" w:hAnsi="Times New Roman"/>
            <w:sz w:val="17"/>
            <w:szCs w:val="17"/>
            <w:u w:val="single" w:color="auto"/>
            <w:color w:val="0000EE"/>
          </w:rPr>
          <w:t>February 11, 2011</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EE"/>
          </w:rPr>
          <w:t>March 26, 2012</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EE"/>
          </w:rPr>
          <w:t>March 12, 2013</w:t>
        </w:r>
      </w:hyperlink>
      <w:r>
        <w:rPr>
          <w:rFonts w:ascii="Times New Roman" w:cs="Times New Roman" w:eastAsia="Times New Roman" w:hAnsi="Times New Roman"/>
          <w:sz w:val="17"/>
          <w:szCs w:val="17"/>
          <w:color w:val="auto"/>
        </w:rPr>
        <w:t xml:space="preserve">, </w:t>
      </w:r>
      <w:hyperlink r:id="rId16">
        <w:r>
          <w:rPr>
            <w:rFonts w:ascii="Times New Roman" w:cs="Times New Roman" w:eastAsia="Times New Roman" w:hAnsi="Times New Roman"/>
            <w:sz w:val="17"/>
            <w:szCs w:val="17"/>
            <w:u w:val="single" w:color="auto"/>
            <w:color w:val="0000EE"/>
          </w:rPr>
          <w:t>February 21, 2014</w:t>
        </w:r>
      </w:hyperlink>
      <w:r>
        <w:rPr>
          <w:rFonts w:ascii="Times New Roman" w:cs="Times New Roman" w:eastAsia="Times New Roman" w:hAnsi="Times New Roman"/>
          <w:sz w:val="17"/>
          <w:szCs w:val="17"/>
          <w:color w:val="auto"/>
        </w:rPr>
        <w:t xml:space="preserve">, </w:t>
      </w:r>
      <w:hyperlink r:id="rId17">
        <w:r>
          <w:rPr>
            <w:rFonts w:ascii="Times New Roman" w:cs="Times New Roman" w:eastAsia="Times New Roman" w:hAnsi="Times New Roman"/>
            <w:sz w:val="17"/>
            <w:szCs w:val="17"/>
            <w:u w:val="single" w:color="auto"/>
            <w:color w:val="0000EE"/>
          </w:rPr>
          <w:t>February 26, 2015</w:t>
        </w:r>
      </w:hyperlink>
      <w:r>
        <w:rPr>
          <w:rFonts w:ascii="Times New Roman" w:cs="Times New Roman" w:eastAsia="Times New Roman" w:hAnsi="Times New Roman"/>
          <w:sz w:val="17"/>
          <w:szCs w:val="17"/>
          <w:color w:val="auto"/>
        </w:rPr>
        <w:t xml:space="preserve">, </w:t>
      </w:r>
      <w:hyperlink r:id="rId18">
        <w:r>
          <w:rPr>
            <w:rFonts w:ascii="Times New Roman" w:cs="Times New Roman" w:eastAsia="Times New Roman" w:hAnsi="Times New Roman"/>
            <w:sz w:val="17"/>
            <w:szCs w:val="17"/>
            <w:u w:val="single" w:color="auto"/>
            <w:color w:val="0000EE"/>
          </w:rPr>
          <w:t>March 3, 2016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(as </w:t>
      </w:r>
      <w:hyperlink r:id="rId19">
        <w:r>
          <w:rPr>
            <w:rFonts w:ascii="Times New Roman" w:cs="Times New Roman" w:eastAsia="Times New Roman" w:hAnsi="Times New Roman"/>
            <w:sz w:val="17"/>
            <w:szCs w:val="17"/>
            <w:color w:val="auto"/>
          </w:rPr>
          <w:t xml:space="preserve">amended on </w:t>
        </w:r>
        <w:r>
          <w:rPr>
            <w:rFonts w:ascii="Times New Roman" w:cs="Times New Roman" w:eastAsia="Times New Roman" w:hAnsi="Times New Roman"/>
            <w:sz w:val="17"/>
            <w:szCs w:val="17"/>
            <w:u w:val="single" w:color="auto"/>
            <w:color w:val="0000EE"/>
          </w:rPr>
          <w:t>March 15, 2016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13, 2017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16, 2018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11, 2019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June 28, 2019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July 10, 2020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May 28, 2021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June 16, 2023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19,</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20">
        <w:r>
          <w:rPr>
            <w:rFonts w:ascii="Times New Roman" w:cs="Times New Roman" w:eastAsia="Times New Roman" w:hAnsi="Times New Roman"/>
            <w:sz w:val="17"/>
            <w:szCs w:val="17"/>
            <w:u w:val="single" w:color="auto"/>
            <w:color w:val="0000EE"/>
          </w:rPr>
          <w:t xml:space="preserve">August 6, 2024 </w:t>
        </w:r>
      </w:hyperlink>
      <w:hyperlink r:id="rId19">
        <w:r>
          <w:rPr>
            <w:rFonts w:ascii="Times New Roman" w:cs="Times New Roman" w:eastAsia="Times New Roman" w:hAnsi="Times New Roman"/>
            <w:sz w:val="17"/>
            <w:szCs w:val="17"/>
            <w:color w:val="000000"/>
          </w:rPr>
          <w:t>(File Nos. 333-172206, 333-180363, 333-187204, 333-194084, 333-202325, 333-209904, 333-215555, 333-222561, 333-229214, 333-</w:t>
        </w:r>
      </w:hyperlink>
      <w:r>
        <w:rPr>
          <w:rFonts w:ascii="Times New Roman" w:cs="Times New Roman" w:eastAsia="Times New Roman" w:hAnsi="Times New Roman"/>
          <w:sz w:val="17"/>
          <w:szCs w:val="17"/>
          <w:color w:val="000000"/>
        </w:rPr>
        <w:t>232441, 333-239810, 333-256617, 333-272753, 333-276620 and 333-281295) is hereby incorporated by reference pursuant to General Instruction E of Form S-8.</w:t>
      </w:r>
    </w:p>
    <w:p>
      <w:pPr>
        <w:spacing w:after="0" w:line="381" w:lineRule="exact"/>
        <w:rPr>
          <w:rFonts w:ascii="Times New Roman" w:cs="Times New Roman" w:eastAsia="Times New Roman" w:hAnsi="Times New Roman"/>
          <w:sz w:val="17"/>
          <w:szCs w:val="17"/>
          <w:color w:val="0000EE"/>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360" w:type="dxa"/>
            <w:vAlign w:val="bottom"/>
            <w:gridSpan w:val="8"/>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00" w:type="dxa"/>
            <w:vAlign w:val="bottom"/>
            <w:gridSpan w:val="17"/>
          </w:tcPr>
          <w:p>
            <w:pPr>
              <w:jc w:val="center"/>
              <w:ind w:left="574"/>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9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616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940" w:type="dxa"/>
            <w:vAlign w:val="bottom"/>
            <w:gridSpan w:val="4"/>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gridSpan w:val="10"/>
          </w:tcPr>
          <w:p>
            <w:pPr>
              <w:ind w:left="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4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38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Incorporated</w:t>
            </w:r>
          </w:p>
        </w:tc>
        <w:tc>
          <w:tcPr>
            <w:tcW w:w="1120" w:type="dxa"/>
            <w:vAlign w:val="bottom"/>
            <w:gridSpan w:val="6"/>
          </w:tcPr>
          <w:p>
            <w:pPr>
              <w:ind w:left="360"/>
              <w:spacing w:after="0"/>
              <w:rPr>
                <w:sz w:val="20"/>
                <w:szCs w:val="20"/>
                <w:color w:val="auto"/>
              </w:rPr>
            </w:pPr>
            <w:r>
              <w:rPr>
                <w:rFonts w:ascii="Times New Roman" w:cs="Times New Roman" w:eastAsia="Times New Roman" w:hAnsi="Times New Roman"/>
                <w:sz w:val="17"/>
                <w:szCs w:val="17"/>
                <w:b w:val="1"/>
                <w:bCs w:val="1"/>
                <w:color w:val="auto"/>
                <w:w w:val="98"/>
              </w:rPr>
              <w:t>Date Filed</w:t>
            </w:r>
          </w:p>
        </w:tc>
      </w:tr>
      <w:tr>
        <w:trPr>
          <w:trHeight w:val="207"/>
        </w:trPr>
        <w:tc>
          <w:tcPr>
            <w:tcW w:w="360" w:type="dxa"/>
            <w:vAlign w:val="bottom"/>
          </w:tcPr>
          <w:p>
            <w:pPr>
              <w:spacing w:after="0"/>
              <w:rPr>
                <w:sz w:val="18"/>
                <w:szCs w:val="18"/>
                <w:color w:val="auto"/>
              </w:rPr>
            </w:pPr>
          </w:p>
        </w:tc>
        <w:tc>
          <w:tcPr>
            <w:tcW w:w="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by Reference</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From Exhibit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5"/>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60" w:type="dxa"/>
            <w:vAlign w:val="bottom"/>
          </w:tcPr>
          <w:p>
            <w:pPr>
              <w:spacing w:after="0"/>
              <w:rPr>
                <w:sz w:val="19"/>
                <w:szCs w:val="19"/>
                <w:color w:val="auto"/>
              </w:rPr>
            </w:pPr>
          </w:p>
        </w:tc>
        <w:tc>
          <w:tcPr>
            <w:tcW w:w="220" w:type="dxa"/>
            <w:vAlign w:val="bottom"/>
          </w:tcPr>
          <w:p>
            <w:pPr>
              <w:jc w:val="cente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160" w:type="dxa"/>
            <w:vAlign w:val="bottom"/>
            <w:gridSpan w:val="15"/>
          </w:tcPr>
          <w:p>
            <w:pP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Specimen Common Stock Certificate of the Registrant.</w:t>
              </w:r>
            </w:hyperlink>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center"/>
              <w:ind w:right="660"/>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S-8</w:t>
              </w:r>
            </w:hyperlink>
          </w:p>
        </w:tc>
        <w:tc>
          <w:tcPr>
            <w:tcW w:w="700" w:type="dxa"/>
            <w:vAlign w:val="bottom"/>
            <w:gridSpan w:val="4"/>
          </w:tcPr>
          <w:p>
            <w:pPr>
              <w:jc w:val="center"/>
              <w:ind w:left="314"/>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680" w:type="dxa"/>
            <w:vAlign w:val="bottom"/>
          </w:tcPr>
          <w:p>
            <w:pPr>
              <w:spacing w:after="0"/>
              <w:rPr>
                <w:sz w:val="19"/>
                <w:szCs w:val="19"/>
                <w:color w:val="auto"/>
              </w:rPr>
            </w:pPr>
          </w:p>
        </w:tc>
        <w:tc>
          <w:tcPr>
            <w:tcW w:w="1080" w:type="dxa"/>
            <w:vAlign w:val="bottom"/>
            <w:gridSpan w:val="4"/>
          </w:tcPr>
          <w:p>
            <w:pPr>
              <w:jc w:val="center"/>
              <w:ind w:left="314"/>
              <w:spacing w:after="0"/>
              <w:rPr>
                <w:rFonts w:ascii="Times New Roman" w:cs="Times New Roman" w:eastAsia="Times New Roman" w:hAnsi="Times New Roman"/>
                <w:sz w:val="17"/>
                <w:szCs w:val="17"/>
                <w:color w:val="0000EE"/>
                <w:w w:val="99"/>
              </w:rPr>
            </w:pPr>
            <w:hyperlink r:id="rId22">
              <w:r>
                <w:rPr>
                  <w:rFonts w:ascii="Times New Roman" w:cs="Times New Roman" w:eastAsia="Times New Roman" w:hAnsi="Times New Roman"/>
                  <w:sz w:val="17"/>
                  <w:szCs w:val="17"/>
                  <w:color w:val="0000EE"/>
                  <w:w w:val="99"/>
                </w:rPr>
                <w:t>4/1/2022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jc w:val="center"/>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60" w:type="dxa"/>
            <w:vAlign w:val="bottom"/>
            <w:gridSpan w:val="15"/>
          </w:tcPr>
          <w:p>
            <w:pPr>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Eighth Amended and Restated Certificate of Incorporation of the Registrant filed on</w:t>
              </w:r>
            </w:hyperlink>
          </w:p>
        </w:tc>
        <w:tc>
          <w:tcPr>
            <w:tcW w:w="280" w:type="dxa"/>
            <w:vAlign w:val="bottom"/>
          </w:tcPr>
          <w:p>
            <w:pPr>
              <w:spacing w:after="0"/>
              <w:rPr>
                <w:sz w:val="20"/>
                <w:szCs w:val="20"/>
                <w:color w:val="auto"/>
              </w:rPr>
            </w:pPr>
          </w:p>
        </w:tc>
        <w:tc>
          <w:tcPr>
            <w:tcW w:w="960" w:type="dxa"/>
            <w:vAlign w:val="bottom"/>
            <w:gridSpan w:val="5"/>
          </w:tcPr>
          <w:p>
            <w:pPr>
              <w:jc w:val="center"/>
              <w:ind w:right="600"/>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10-K</w:t>
              </w:r>
            </w:hyperlink>
          </w:p>
        </w:tc>
        <w:tc>
          <w:tcPr>
            <w:tcW w:w="700" w:type="dxa"/>
            <w:vAlign w:val="bottom"/>
            <w:gridSpan w:val="4"/>
          </w:tcPr>
          <w:p>
            <w:pPr>
              <w:jc w:val="center"/>
              <w:ind w:left="314"/>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680" w:type="dxa"/>
            <w:vAlign w:val="bottom"/>
          </w:tcPr>
          <w:p>
            <w:pPr>
              <w:spacing w:after="0"/>
              <w:rPr>
                <w:sz w:val="20"/>
                <w:szCs w:val="20"/>
                <w:color w:val="auto"/>
              </w:rPr>
            </w:pPr>
          </w:p>
        </w:tc>
        <w:tc>
          <w:tcPr>
            <w:tcW w:w="1100" w:type="dxa"/>
            <w:vAlign w:val="bottom"/>
            <w:gridSpan w:val="5"/>
          </w:tcPr>
          <w:p>
            <w:pPr>
              <w:jc w:val="center"/>
              <w:ind w:left="294"/>
              <w:spacing w:after="0"/>
              <w:rPr>
                <w:rFonts w:ascii="Times New Roman" w:cs="Times New Roman" w:eastAsia="Times New Roman" w:hAnsi="Times New Roman"/>
                <w:sz w:val="17"/>
                <w:szCs w:val="17"/>
                <w:color w:val="0000EE"/>
                <w:w w:val="98"/>
              </w:rPr>
            </w:pPr>
            <w:hyperlink r:id="rId23">
              <w:r>
                <w:rPr>
                  <w:rFonts w:ascii="Times New Roman" w:cs="Times New Roman" w:eastAsia="Times New Roman" w:hAnsi="Times New Roman"/>
                  <w:sz w:val="17"/>
                  <w:szCs w:val="17"/>
                  <w:color w:val="0000EE"/>
                  <w:w w:val="98"/>
                </w:rPr>
                <w:t>3/28/2011</w:t>
              </w:r>
            </w:hyperlink>
          </w:p>
        </w:tc>
        <w:tc>
          <w:tcPr>
            <w:tcW w:w="20" w:type="dxa"/>
            <w:vAlign w:val="bottom"/>
          </w:tcPr>
          <w:p>
            <w:pPr>
              <w:spacing w:after="0"/>
              <w:rPr>
                <w:sz w:val="20"/>
                <w:szCs w:val="20"/>
                <w:color w:val="auto"/>
              </w:rPr>
            </w:pPr>
          </w:p>
        </w:tc>
      </w:tr>
      <w:tr>
        <w:trPr>
          <w:trHeight w:val="187"/>
        </w:trPr>
        <w:tc>
          <w:tcPr>
            <w:tcW w:w="3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0" w:type="dxa"/>
            <w:vAlign w:val="bottom"/>
            <w:tcBorders>
              <w:top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February 15, 2011.</w:t>
              </w:r>
            </w:hyperlink>
          </w:p>
        </w:tc>
        <w:tc>
          <w:tcPr>
            <w:tcW w:w="36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360" w:type="dxa"/>
            <w:vAlign w:val="bottom"/>
          </w:tcPr>
          <w:p>
            <w:pPr>
              <w:spacing w:after="0"/>
              <w:rPr>
                <w:sz w:val="22"/>
                <w:szCs w:val="22"/>
                <w:color w:val="auto"/>
              </w:rPr>
            </w:pPr>
          </w:p>
        </w:tc>
        <w:tc>
          <w:tcPr>
            <w:tcW w:w="220" w:type="dxa"/>
            <w:vAlign w:val="bottom"/>
          </w:tcPr>
          <w:p>
            <w:pPr>
              <w:jc w:val="center"/>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3</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160" w:type="dxa"/>
            <w:vAlign w:val="bottom"/>
            <w:gridSpan w:val="15"/>
          </w:tcPr>
          <w:p>
            <w:pPr>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Certificate of Amendment to the Eighth Amended and Restated Certificate of</w:t>
              </w:r>
            </w:hyperlink>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3"/>
          </w:tcPr>
          <w:p>
            <w:pPr>
              <w:jc w:val="center"/>
              <w:ind w:right="660"/>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S-8</w:t>
              </w:r>
            </w:hyperlink>
          </w:p>
        </w:tc>
        <w:tc>
          <w:tcPr>
            <w:tcW w:w="700" w:type="dxa"/>
            <w:vAlign w:val="bottom"/>
            <w:gridSpan w:val="4"/>
          </w:tcPr>
          <w:p>
            <w:pPr>
              <w:jc w:val="center"/>
              <w:ind w:left="314"/>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3</w:t>
              </w:r>
            </w:hyperlink>
          </w:p>
        </w:tc>
        <w:tc>
          <w:tcPr>
            <w:tcW w:w="680" w:type="dxa"/>
            <w:vAlign w:val="bottom"/>
          </w:tcPr>
          <w:p>
            <w:pPr>
              <w:spacing w:after="0"/>
              <w:rPr>
                <w:sz w:val="22"/>
                <w:szCs w:val="22"/>
                <w:color w:val="auto"/>
              </w:rPr>
            </w:pPr>
          </w:p>
        </w:tc>
        <w:tc>
          <w:tcPr>
            <w:tcW w:w="1080" w:type="dxa"/>
            <w:vAlign w:val="bottom"/>
            <w:gridSpan w:val="4"/>
          </w:tcPr>
          <w:p>
            <w:pPr>
              <w:jc w:val="center"/>
              <w:ind w:left="314"/>
              <w:spacing w:after="0"/>
              <w:rPr>
                <w:rFonts w:ascii="Times New Roman" w:cs="Times New Roman" w:eastAsia="Times New Roman" w:hAnsi="Times New Roman"/>
                <w:sz w:val="17"/>
                <w:szCs w:val="17"/>
                <w:color w:val="0000EE"/>
                <w:w w:val="99"/>
              </w:rPr>
            </w:pPr>
            <w:hyperlink r:id="rId24">
              <w:r>
                <w:rPr>
                  <w:rFonts w:ascii="Times New Roman" w:cs="Times New Roman" w:eastAsia="Times New Roman" w:hAnsi="Times New Roman"/>
                  <w:sz w:val="17"/>
                  <w:szCs w:val="17"/>
                  <w:color w:val="0000EE"/>
                  <w:w w:val="99"/>
                </w:rPr>
                <w:t>4/1/2022</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7"/>
        </w:trPr>
        <w:tc>
          <w:tcPr>
            <w:tcW w:w="36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Borders>
              <w:top w:val="single" w:sz="8" w:color="0000EE"/>
            </w:tcBorders>
            <w:gridSpan w:val="9"/>
          </w:tcPr>
          <w:p>
            <w:pPr>
              <w:spacing w:after="0" w:line="167"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Incorporation filed on April 1, 2022.</w:t>
              </w:r>
            </w:hyperlink>
          </w:p>
        </w:tc>
        <w:tc>
          <w:tcPr>
            <w:tcW w:w="820" w:type="dxa"/>
            <w:vAlign w:val="bottom"/>
            <w:gridSpan w:val="6"/>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360" w:type="dxa"/>
            <w:vAlign w:val="bottom"/>
          </w:tcPr>
          <w:p>
            <w:pPr>
              <w:spacing w:after="0"/>
              <w:rPr>
                <w:sz w:val="22"/>
                <w:szCs w:val="22"/>
                <w:color w:val="auto"/>
              </w:rPr>
            </w:pPr>
          </w:p>
        </w:tc>
        <w:tc>
          <w:tcPr>
            <w:tcW w:w="220" w:type="dxa"/>
            <w:vAlign w:val="bottom"/>
          </w:tcPr>
          <w:p>
            <w:pPr>
              <w:jc w:val="cente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4</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gridSpan w:val="14"/>
          </w:tcPr>
          <w:p>
            <w:pP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Second Certificate of Amendment to the Eighth Amended and Restated Certificate of</w:t>
              </w:r>
            </w:hyperlink>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5"/>
          </w:tcPr>
          <w:p>
            <w:pPr>
              <w:jc w:val="center"/>
              <w:ind w:right="620"/>
              <w:spacing w:after="0"/>
              <w:rPr>
                <w:rFonts w:ascii="Times New Roman" w:cs="Times New Roman" w:eastAsia="Times New Roman" w:hAnsi="Times New Roman"/>
                <w:sz w:val="17"/>
                <w:szCs w:val="17"/>
                <w:color w:val="0000EE"/>
                <w:w w:val="98"/>
              </w:rPr>
            </w:pPr>
            <w:hyperlink r:id="rId25">
              <w:r>
                <w:rPr>
                  <w:rFonts w:ascii="Times New Roman" w:cs="Times New Roman" w:eastAsia="Times New Roman" w:hAnsi="Times New Roman"/>
                  <w:sz w:val="17"/>
                  <w:szCs w:val="17"/>
                  <w:color w:val="0000EE"/>
                  <w:w w:val="98"/>
                </w:rPr>
                <w:t>8-K</w:t>
              </w:r>
            </w:hyperlink>
          </w:p>
        </w:tc>
        <w:tc>
          <w:tcPr>
            <w:tcW w:w="700" w:type="dxa"/>
            <w:vAlign w:val="bottom"/>
            <w:gridSpan w:val="4"/>
          </w:tcPr>
          <w:p>
            <w:pPr>
              <w:jc w:val="center"/>
              <w:ind w:left="314"/>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680" w:type="dxa"/>
            <w:vAlign w:val="bottom"/>
          </w:tcPr>
          <w:p>
            <w:pPr>
              <w:spacing w:after="0"/>
              <w:rPr>
                <w:sz w:val="22"/>
                <w:szCs w:val="22"/>
                <w:color w:val="auto"/>
              </w:rPr>
            </w:pPr>
          </w:p>
        </w:tc>
        <w:tc>
          <w:tcPr>
            <w:tcW w:w="1080" w:type="dxa"/>
            <w:vAlign w:val="bottom"/>
            <w:gridSpan w:val="4"/>
          </w:tcPr>
          <w:p>
            <w:pPr>
              <w:jc w:val="center"/>
              <w:ind w:left="314"/>
              <w:spacing w:after="0"/>
              <w:rPr>
                <w:rFonts w:ascii="Times New Roman" w:cs="Times New Roman" w:eastAsia="Times New Roman" w:hAnsi="Times New Roman"/>
                <w:sz w:val="17"/>
                <w:szCs w:val="17"/>
                <w:color w:val="0000EE"/>
                <w:w w:val="99"/>
              </w:rPr>
            </w:pPr>
            <w:hyperlink r:id="rId25">
              <w:r>
                <w:rPr>
                  <w:rFonts w:ascii="Times New Roman" w:cs="Times New Roman" w:eastAsia="Times New Roman" w:hAnsi="Times New Roman"/>
                  <w:sz w:val="17"/>
                  <w:szCs w:val="17"/>
                  <w:color w:val="0000EE"/>
                  <w:w w:val="99"/>
                </w:rPr>
                <w:t>1/5/2024</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7"/>
        </w:trPr>
        <w:tc>
          <w:tcPr>
            <w:tcW w:w="36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Borders>
              <w:top w:val="single" w:sz="8" w:color="0000EE"/>
              <w:bottom w:val="single" w:sz="8" w:color="0000EE"/>
            </w:tcBorders>
            <w:gridSpan w:val="6"/>
          </w:tcPr>
          <w:p>
            <w:pPr>
              <w:spacing w:after="0" w:line="16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Incorporation filed on January 4, 2024.</w:t>
              </w:r>
            </w:hyperlink>
          </w:p>
        </w:tc>
        <w:tc>
          <w:tcPr>
            <w:tcW w:w="3220" w:type="dxa"/>
            <w:vAlign w:val="bottom"/>
            <w:tcBorders>
              <w:top w:val="single" w:sz="8" w:color="0000EE"/>
            </w:tcBorders>
            <w:gridSpan w:val="8"/>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9"/>
        </w:trPr>
        <w:tc>
          <w:tcPr>
            <w:tcW w:w="62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320" w:type="dxa"/>
            <w:vAlign w:val="bottom"/>
          </w:tcPr>
          <w:p>
            <w:pPr>
              <w:spacing w:after="0"/>
              <w:rPr>
                <w:sz w:val="20"/>
                <w:szCs w:val="20"/>
                <w:color w:val="auto"/>
              </w:rPr>
            </w:pPr>
          </w:p>
        </w:tc>
        <w:tc>
          <w:tcPr>
            <w:tcW w:w="61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Opinion of Mintz, Levin, Cohn, Ferris, Glovsky and Popeo, P.C.</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620" w:type="dxa"/>
            <w:vAlign w:val="bottom"/>
            <w:gridSpan w:val="3"/>
          </w:tcPr>
          <w:p>
            <w:pPr>
              <w:jc w:val="center"/>
              <w:ind w:left="154"/>
              <w:spacing w:after="0"/>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w:t>
            </w:r>
          </w:p>
        </w:tc>
        <w:tc>
          <w:tcPr>
            <w:tcW w:w="320" w:type="dxa"/>
            <w:vAlign w:val="bottom"/>
          </w:tcPr>
          <w:p>
            <w:pPr>
              <w:spacing w:after="0"/>
              <w:rPr>
                <w:sz w:val="22"/>
                <w:szCs w:val="22"/>
                <w:color w:val="auto"/>
              </w:rPr>
            </w:pPr>
          </w:p>
        </w:tc>
        <w:tc>
          <w:tcPr>
            <w:tcW w:w="61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Consent of PricewaterhouseCoopers LLP, Independent Registered Public Accounting</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7"/>
        </w:trPr>
        <w:tc>
          <w:tcPr>
            <w:tcW w:w="36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top w:val="single" w:sz="8" w:color="0000EE"/>
              <w:bottom w:val="single" w:sz="8" w:color="0000EE"/>
            </w:tcBorders>
          </w:tcPr>
          <w:p>
            <w:pPr>
              <w:spacing w:after="0" w:line="167" w:lineRule="exact"/>
              <w:rPr>
                <w:sz w:val="20"/>
                <w:szCs w:val="20"/>
                <w:color w:val="auto"/>
              </w:rPr>
            </w:pPr>
            <w:r>
              <w:rPr>
                <w:rFonts w:ascii="Times New Roman" w:cs="Times New Roman" w:eastAsia="Times New Roman" w:hAnsi="Times New Roman"/>
                <w:sz w:val="17"/>
                <w:szCs w:val="17"/>
                <w:color w:val="0000EE"/>
                <w:w w:val="96"/>
              </w:rPr>
              <w:t>Firm.</w:t>
            </w:r>
          </w:p>
        </w:tc>
        <w:tc>
          <w:tcPr>
            <w:tcW w:w="5520" w:type="dxa"/>
            <w:vAlign w:val="bottom"/>
            <w:tcBorders>
              <w:top w:val="single" w:sz="8" w:color="0000EE"/>
            </w:tcBorders>
            <w:gridSpan w:val="12"/>
          </w:tcPr>
          <w:p>
            <w:pPr>
              <w:spacing w:after="0"/>
              <w:rPr>
                <w:sz w:val="14"/>
                <w:szCs w:val="14"/>
                <w:color w:val="auto"/>
              </w:rPr>
            </w:pPr>
          </w:p>
        </w:tc>
        <w:tc>
          <w:tcPr>
            <w:tcW w:w="2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9"/>
        </w:trPr>
        <w:tc>
          <w:tcPr>
            <w:tcW w:w="620" w:type="dxa"/>
            <w:vAlign w:val="bottom"/>
            <w:gridSpan w:val="3"/>
          </w:tcPr>
          <w:p>
            <w:pPr>
              <w:jc w:val="center"/>
              <w:ind w:left="154"/>
              <w:spacing w:after="0"/>
              <w:rPr>
                <w:sz w:val="20"/>
                <w:szCs w:val="20"/>
                <w:color w:val="auto"/>
              </w:rPr>
            </w:pPr>
            <w:r>
              <w:rPr>
                <w:rFonts w:ascii="Times New Roman" w:cs="Times New Roman" w:eastAsia="Times New Roman" w:hAnsi="Times New Roman"/>
                <w:sz w:val="17"/>
                <w:szCs w:val="17"/>
                <w:color w:val="0000EE"/>
                <w:w w:val="99"/>
              </w:rPr>
              <w:t>24.</w:t>
            </w:r>
            <w:r>
              <w:rPr>
                <w:rFonts w:ascii="Times New Roman" w:cs="Times New Roman" w:eastAsia="Times New Roman" w:hAnsi="Times New Roman"/>
                <w:sz w:val="17"/>
                <w:szCs w:val="17"/>
                <w:u w:val="single" w:color="auto"/>
                <w:color w:val="0000EE"/>
                <w:w w:val="99"/>
              </w:rPr>
              <w:t>1*</w:t>
            </w:r>
          </w:p>
        </w:tc>
        <w:tc>
          <w:tcPr>
            <w:tcW w:w="320" w:type="dxa"/>
            <w:vAlign w:val="bottom"/>
          </w:tcPr>
          <w:p>
            <w:pPr>
              <w:spacing w:after="0"/>
              <w:rPr>
                <w:sz w:val="20"/>
                <w:szCs w:val="20"/>
                <w:color w:val="auto"/>
              </w:rPr>
            </w:pPr>
          </w:p>
        </w:tc>
        <w:tc>
          <w:tcPr>
            <w:tcW w:w="61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 to this registration statement).</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620" w:type="dxa"/>
            <w:vAlign w:val="bottom"/>
            <w:gridSpan w:val="3"/>
          </w:tcPr>
          <w:p>
            <w:pPr>
              <w:jc w:val="center"/>
              <w:ind w:left="154"/>
              <w:spacing w:after="0"/>
              <w:rPr>
                <w:rFonts w:ascii="Times New Roman" w:cs="Times New Roman" w:eastAsia="Times New Roman" w:hAnsi="Times New Roman"/>
                <w:sz w:val="17"/>
                <w:szCs w:val="17"/>
                <w:color w:val="0000EE"/>
                <w:w w:val="99"/>
              </w:rPr>
            </w:pPr>
            <w:hyperlink r:id="rId26">
              <w:r>
                <w:rPr>
                  <w:rFonts w:ascii="Times New Roman" w:cs="Times New Roman" w:eastAsia="Times New Roman" w:hAnsi="Times New Roman"/>
                  <w:sz w:val="17"/>
                  <w:szCs w:val="17"/>
                  <w:color w:val="0000EE"/>
                  <w:w w:val="99"/>
                </w:rPr>
                <w:t>99.</w:t>
              </w:r>
              <w:r>
                <w:rPr>
                  <w:rFonts w:ascii="Times New Roman" w:cs="Times New Roman" w:eastAsia="Times New Roman" w:hAnsi="Times New Roman"/>
                  <w:sz w:val="17"/>
                  <w:szCs w:val="17"/>
                  <w:u w:val="single" w:color="auto"/>
                  <w:color w:val="0000EE"/>
                  <w:w w:val="99"/>
                </w:rPr>
                <w:t>1#</w:t>
              </w:r>
            </w:hyperlink>
          </w:p>
        </w:tc>
        <w:tc>
          <w:tcPr>
            <w:tcW w:w="320" w:type="dxa"/>
            <w:vAlign w:val="bottom"/>
          </w:tcPr>
          <w:p>
            <w:pPr>
              <w:spacing w:after="0"/>
              <w:rPr>
                <w:sz w:val="22"/>
                <w:szCs w:val="22"/>
                <w:color w:val="auto"/>
              </w:rPr>
            </w:pPr>
          </w:p>
        </w:tc>
        <w:tc>
          <w:tcPr>
            <w:tcW w:w="6160" w:type="dxa"/>
            <w:vAlign w:val="bottom"/>
            <w:gridSpan w:val="15"/>
          </w:tcPr>
          <w:p>
            <w:pPr>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Standard BioTools Inc. Amended and Restated 2011 Equity Incentive Plan, As</w:t>
              </w:r>
            </w:hyperlink>
          </w:p>
        </w:tc>
        <w:tc>
          <w:tcPr>
            <w:tcW w:w="280" w:type="dxa"/>
            <w:vAlign w:val="bottom"/>
          </w:tcPr>
          <w:p>
            <w:pPr>
              <w:spacing w:after="0"/>
              <w:rPr>
                <w:sz w:val="22"/>
                <w:szCs w:val="22"/>
                <w:color w:val="auto"/>
              </w:rPr>
            </w:pPr>
          </w:p>
        </w:tc>
        <w:tc>
          <w:tcPr>
            <w:tcW w:w="960" w:type="dxa"/>
            <w:vAlign w:val="bottom"/>
            <w:gridSpan w:val="5"/>
          </w:tcPr>
          <w:p>
            <w:pPr>
              <w:jc w:val="center"/>
              <w:ind w:right="620"/>
              <w:spacing w:after="0"/>
              <w:rPr>
                <w:rFonts w:ascii="Times New Roman" w:cs="Times New Roman" w:eastAsia="Times New Roman" w:hAnsi="Times New Roman"/>
                <w:sz w:val="17"/>
                <w:szCs w:val="17"/>
                <w:color w:val="0000EE"/>
                <w:w w:val="98"/>
              </w:rPr>
            </w:pPr>
            <w:hyperlink r:id="rId26">
              <w:r>
                <w:rPr>
                  <w:rFonts w:ascii="Times New Roman" w:cs="Times New Roman" w:eastAsia="Times New Roman" w:hAnsi="Times New Roman"/>
                  <w:sz w:val="17"/>
                  <w:szCs w:val="17"/>
                  <w:color w:val="0000EE"/>
                  <w:w w:val="98"/>
                </w:rPr>
                <w:t>8-K</w:t>
              </w:r>
            </w:hyperlink>
          </w:p>
        </w:tc>
        <w:tc>
          <w:tcPr>
            <w:tcW w:w="1380" w:type="dxa"/>
            <w:vAlign w:val="bottom"/>
            <w:gridSpan w:val="5"/>
          </w:tcPr>
          <w:p>
            <w:pPr>
              <w:jc w:val="center"/>
              <w:ind w:right="280"/>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1120" w:type="dxa"/>
            <w:vAlign w:val="bottom"/>
            <w:gridSpan w:val="6"/>
          </w:tcPr>
          <w:p>
            <w:pPr>
              <w:jc w:val="center"/>
              <w:ind w:left="294"/>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6/20/2025</w:t>
              </w:r>
            </w:hyperlink>
          </w:p>
        </w:tc>
      </w:tr>
      <w:tr>
        <w:trPr>
          <w:trHeight w:val="167"/>
        </w:trPr>
        <w:tc>
          <w:tcPr>
            <w:tcW w:w="36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top w:val="single" w:sz="8" w:color="0000EE"/>
              <w:bottom w:val="single" w:sz="8" w:color="0000EE"/>
            </w:tcBorders>
            <w:gridSpan w:val="2"/>
          </w:tcPr>
          <w:p>
            <w:pPr>
              <w:spacing w:after="0" w:line="167" w:lineRule="exact"/>
              <w:rPr>
                <w:rFonts w:ascii="Times New Roman" w:cs="Times New Roman" w:eastAsia="Times New Roman" w:hAnsi="Times New Roman"/>
                <w:sz w:val="17"/>
                <w:szCs w:val="17"/>
                <w:color w:val="0000EE"/>
                <w:w w:val="99"/>
              </w:rPr>
            </w:pPr>
            <w:hyperlink r:id="rId26">
              <w:r>
                <w:rPr>
                  <w:rFonts w:ascii="Times New Roman" w:cs="Times New Roman" w:eastAsia="Times New Roman" w:hAnsi="Times New Roman"/>
                  <w:sz w:val="17"/>
                  <w:szCs w:val="17"/>
                  <w:color w:val="0000EE"/>
                  <w:w w:val="99"/>
                </w:rPr>
                <w:t>Amended.</w:t>
              </w:r>
            </w:hyperlink>
          </w:p>
        </w:tc>
        <w:tc>
          <w:tcPr>
            <w:tcW w:w="4720" w:type="dxa"/>
            <w:vAlign w:val="bottom"/>
            <w:tcBorders>
              <w:top w:val="single" w:sz="8" w:color="0000EE"/>
            </w:tcBorders>
            <w:gridSpan w:val="8"/>
          </w:tcPr>
          <w:p>
            <w:pPr>
              <w:spacing w:after="0"/>
              <w:rPr>
                <w:sz w:val="14"/>
                <w:szCs w:val="14"/>
                <w:color w:val="auto"/>
              </w:rPr>
            </w:pPr>
          </w:p>
        </w:tc>
        <w:tc>
          <w:tcPr>
            <w:tcW w:w="720" w:type="dxa"/>
            <w:vAlign w:val="bottom"/>
            <w:gridSpan w:val="5"/>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239"/>
        </w:trPr>
        <w:tc>
          <w:tcPr>
            <w:tcW w:w="620" w:type="dxa"/>
            <w:vAlign w:val="bottom"/>
            <w:gridSpan w:val="3"/>
          </w:tcPr>
          <w:p>
            <w:pPr>
              <w:jc w:val="center"/>
              <w:ind w:left="194"/>
              <w:spacing w:after="0"/>
              <w:rPr>
                <w:sz w:val="20"/>
                <w:szCs w:val="20"/>
                <w:color w:val="auto"/>
              </w:rPr>
            </w:pPr>
            <w:r>
              <w:rPr>
                <w:rFonts w:ascii="Times New Roman" w:cs="Times New Roman" w:eastAsia="Times New Roman" w:hAnsi="Times New Roman"/>
                <w:sz w:val="17"/>
                <w:szCs w:val="17"/>
                <w:color w:val="0000EE"/>
                <w:w w:val="99"/>
              </w:rPr>
              <w:t>107*</w:t>
            </w:r>
          </w:p>
        </w:tc>
        <w:tc>
          <w:tcPr>
            <w:tcW w:w="320" w:type="dxa"/>
            <w:vAlign w:val="bottom"/>
          </w:tcPr>
          <w:p>
            <w:pPr>
              <w:spacing w:after="0"/>
              <w:rPr>
                <w:sz w:val="20"/>
                <w:szCs w:val="20"/>
                <w:color w:val="auto"/>
              </w:rPr>
            </w:pPr>
          </w:p>
        </w:tc>
        <w:tc>
          <w:tcPr>
            <w:tcW w:w="61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management contract or compensatory plan, contract, or arrangement.</w:t>
      </w: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0840"/>
          </w:cols>
          <w:pgMar w:left="320" w:top="870" w:right="7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August 15, 2025.</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STANDARD BIOTOOLS INC.</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19050</wp:posOffset>
            </wp:positionV>
            <wp:extent cx="3347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Michael Egholm, Ph.D.</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Michael Egholm, Ph.D. and Alex Kim,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5"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12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700" w:type="dxa"/>
            <w:vAlign w:val="bottom"/>
            <w:gridSpan w:val="2"/>
          </w:tcPr>
          <w:p>
            <w:pPr>
              <w:jc w:val="center"/>
              <w:ind w:right="236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300" w:type="dxa"/>
            <w:vAlign w:val="bottom"/>
          </w:tcPr>
          <w:p>
            <w:pPr>
              <w:spacing w:after="0"/>
              <w:rPr>
                <w:sz w:val="17"/>
                <w:szCs w:val="17"/>
                <w:color w:val="auto"/>
              </w:rPr>
            </w:pPr>
          </w:p>
        </w:tc>
        <w:tc>
          <w:tcPr>
            <w:tcW w:w="1280" w:type="dxa"/>
            <w:vAlign w:val="bottom"/>
            <w:gridSpan w:val="2"/>
          </w:tcPr>
          <w:p>
            <w:pPr>
              <w:jc w:val="center"/>
              <w:ind w:right="940"/>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20"/>
        </w:trPr>
        <w:tc>
          <w:tcPr>
            <w:tcW w:w="1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3"/>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Michael Egholm, Ph.D.</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Egholm, Ph.D.</w:t>
            </w:r>
          </w:p>
        </w:tc>
        <w:tc>
          <w:tcPr>
            <w:tcW w:w="540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6"/>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Alex Kim</w:t>
            </w:r>
          </w:p>
        </w:tc>
        <w:tc>
          <w:tcPr>
            <w:tcW w:w="540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Chief Financial Officer</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Alex Kim</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6"/>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Tom Carey</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Tom Carey</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6"/>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Frank R. Witney, Ph.D.</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Frank R. Witney, Ph.D.</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6"/>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Fenel M. Eloi</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Fenel M. Eloi</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6"/>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Troy Cox</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Troy Cox</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6"/>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Eli Casdin</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Eli Casdin</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96"/>
        </w:trPr>
        <w:tc>
          <w:tcPr>
            <w:tcW w:w="3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Kathy Hibbs</w:t>
            </w:r>
          </w:p>
        </w:tc>
        <w:tc>
          <w:tcPr>
            <w:tcW w:w="540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color w:val="auto"/>
              </w:rPr>
              <w:t>August 15, 2025</w:t>
            </w:r>
          </w:p>
        </w:tc>
      </w:tr>
      <w:tr>
        <w:trPr>
          <w:trHeight w:val="219"/>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Kathy Hibbs</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603"/>
        </w:trPr>
        <w:tc>
          <w:tcPr>
            <w:tcW w:w="1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4</w:t>
            </w:r>
          </w:p>
        </w:tc>
        <w:tc>
          <w:tcPr>
            <w:tcW w:w="3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-111760</wp:posOffset>
            </wp:positionV>
            <wp:extent cx="822325" cy="1085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822325" cy="1085215"/>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Boston, MA 02111</w:t>
      </w:r>
    </w:p>
    <w:p>
      <w:pPr>
        <w:spacing w:after="0" w:line="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617 542 6000</w:t>
      </w:r>
    </w:p>
    <w:p>
      <w:pPr>
        <w:spacing w:after="0" w:line="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15,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Standard BioTools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Tower Place, Suite 2000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San Francisco, CA 94080</w:t>
      </w:r>
    </w:p>
    <w:p>
      <w:pPr>
        <w:spacing w:after="0" w:line="20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9"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We have acted as legal counsel to Standard BioTools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17,400,000 additional shares (the “Shares”) of the Company’s common stock, par value $0.001 per share, that may be issued pursuant to the Company’s Amended and Restated 2011 Equity Incentive Plan, As Amended (the “2011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75"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62"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2011 Plan.</w:t>
      </w:r>
    </w:p>
    <w:p>
      <w:pPr>
        <w:spacing w:after="0" w:line="16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6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Based upon the foregoing, we are of the opinion that the Shares, when issued and delivered in accordance with the terms of the 2011 Plan, will be validly issued, fully paid and non-assessable.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BOSTON   LOS ANGELES   MIAMI   NEW YORK    SAN DIEGO    SAN FRANCISCO    TORONTO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6729095</wp:posOffset>
            </wp:positionH>
            <wp:positionV relativeFrom="paragraph">
              <wp:posOffset>-110490</wp:posOffset>
            </wp:positionV>
            <wp:extent cx="411480" cy="526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411480" cy="5264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15, 2025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8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426720</wp:posOffset>
            </wp:positionV>
            <wp:extent cx="7138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Standard BioTools Inc. of our report dated March 10, 2025 relating to the financial statements, and the effectiveness of internal control over financial reporting, which appears in Standard BioTools Inc.’s Annual Report on Form 10-K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Irvine,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7138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7" w:name="page8"/>
    <w:bookmarkEnd w:id="7"/>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STANDARD BIOTOOLS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17,400,000</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$ 1.2675</w:t>
            </w:r>
          </w:p>
        </w:tc>
        <w:tc>
          <w:tcPr>
            <w:tcW w:w="20" w:type="dxa"/>
            <w:vAlign w:val="bottom"/>
          </w:tcPr>
          <w:p>
            <w:pPr>
              <w:spacing w:after="0"/>
              <w:rPr>
                <w:sz w:val="20"/>
                <w:szCs w:val="20"/>
                <w:color w:val="auto"/>
              </w:rPr>
            </w:pPr>
          </w:p>
        </w:tc>
        <w:tc>
          <w:tcPr>
            <w:tcW w:w="154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$ 22,054,500.00</w:t>
            </w:r>
          </w:p>
        </w:tc>
        <w:tc>
          <w:tcPr>
            <w:tcW w:w="20" w:type="dxa"/>
            <w:vAlign w:val="bottom"/>
          </w:tcPr>
          <w:p>
            <w:pPr>
              <w:spacing w:after="0"/>
              <w:rPr>
                <w:sz w:val="20"/>
                <w:szCs w:val="20"/>
                <w:color w:val="auto"/>
              </w:rPr>
            </w:pPr>
          </w:p>
        </w:tc>
        <w:tc>
          <w:tcPr>
            <w:tcW w:w="10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98"/>
              </w:rPr>
              <w:t>0.0001531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$ 3,376.54</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21"/>
                <w:szCs w:val="21"/>
                <w:color w:val="auto"/>
                <w:w w:val="98"/>
              </w:rPr>
              <w:t>$ 22,054,500.00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$ 3,376.54</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$ 3,376.54</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720"/>
        <w:spacing w:after="0" w:line="236" w:lineRule="auto"/>
        <w:rPr>
          <w:sz w:val="20"/>
          <w:szCs w:val="20"/>
          <w:color w:val="auto"/>
        </w:rPr>
      </w:pPr>
      <w:r>
        <w:rPr>
          <w:rFonts w:ascii="Arial" w:cs="Arial" w:eastAsia="Arial" w:hAnsi="Arial"/>
          <w:sz w:val="21"/>
          <w:szCs w:val="21"/>
          <w:color w:val="auto"/>
        </w:rPr>
        <w:t>Note 1(a): The number of shares of common stock, par value $0.001 per share ("Common Stock") of Standard BioTools Inc. (the "Registrant") stated above consists of additional shares of Common Stock available for issuance pursuant to the Standard BioTools Inc. Amended and Restated 2011 Equity Incentive Plan, As Amended (the "2011 Plan"). In addition, pursuant to Rule 416(a) under the Securities Act of 1933, as amended (the "Securities Act"), this Registration Statement shall also cover any additional shares of the Registrant's Common Stock that become issuable under the 2011 Plan by reason of an event such as any stock split, stock dividend or similar adjustment effected without the Registrant's receipt of consideration that increases the number of the outstanding shares of Common Stock.</w:t>
      </w:r>
    </w:p>
    <w:p>
      <w:pPr>
        <w:spacing w:after="0" w:line="198" w:lineRule="exact"/>
        <w:rPr>
          <w:sz w:val="20"/>
          <w:szCs w:val="20"/>
          <w:color w:val="auto"/>
        </w:rPr>
      </w:pPr>
    </w:p>
    <w:p>
      <w:pPr>
        <w:ind w:left="820" w:right="820"/>
        <w:spacing w:after="0" w:line="238" w:lineRule="auto"/>
        <w:rPr>
          <w:sz w:val="20"/>
          <w:szCs w:val="20"/>
          <w:color w:val="auto"/>
        </w:rPr>
      </w:pPr>
      <w:r>
        <w:rPr>
          <w:rFonts w:ascii="Arial" w:cs="Arial" w:eastAsia="Arial" w:hAnsi="Arial"/>
          <w:sz w:val="21"/>
          <w:szCs w:val="21"/>
          <w:color w:val="auto"/>
        </w:rPr>
        <w:t>Note 1(b): Estimated solely for the purpose of calculating the amount of the registration fee pursuant to Rule 457(c) and Rule 457(h) under the Securities Act. The offering price per share and the aggregate offering price for shares reserved for future grant or issuance under the 2011 Plan are based upon a price of $1.2675 per share, which is the average of the high and the low price of Registrant's Common Stock as reported on The Nasdaq Global Select Market as of a date (August 12, 2025)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226695</wp:posOffset>
            </wp:positionV>
            <wp:extent cx="6398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jpe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jpe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13" Type="http://schemas.openxmlformats.org/officeDocument/2006/relationships/hyperlink" Target="https://www.sec.gov/Archives/edgar/data/1162194/000119312511032909/ds8.htm" TargetMode="External"/><Relationship Id="rId14" Type="http://schemas.openxmlformats.org/officeDocument/2006/relationships/hyperlink" Target="https://www.sec.gov/Archives/edgar/data/1162194/000119312512132415/d320914ds8.htm" TargetMode="External"/><Relationship Id="rId15" Type="http://schemas.openxmlformats.org/officeDocument/2006/relationships/hyperlink" Target="https://www.sec.gov/Archives/edgar/data/1162194/000119312513103422/d500069ds8.htm" TargetMode="External"/><Relationship Id="rId16" Type="http://schemas.openxmlformats.org/officeDocument/2006/relationships/hyperlink" Target="https://www.sec.gov/Archives/edgar/data/1162194/000119312514063047/d681552ds8.htm" TargetMode="External"/><Relationship Id="rId17" Type="http://schemas.openxmlformats.org/officeDocument/2006/relationships/hyperlink" Target="https://www.sec.gov/Archives/edgar/data/1162194/000116219415000041/forms-8x2015.htm" TargetMode="External"/><Relationship Id="rId18" Type="http://schemas.openxmlformats.org/officeDocument/2006/relationships/hyperlink" Target="https://www.sec.gov/Archives/edgar/data/1162194/000116219416000185/fluidigm-formsx8evergreeni.htm" TargetMode="External"/><Relationship Id="rId19" Type="http://schemas.openxmlformats.org/officeDocument/2006/relationships/hyperlink" Target="https://www.sec.gov/Archives/edgar/data/1162194/000110465924005270/tm243481d2_s8.htm" TargetMode="External"/><Relationship Id="rId20" Type="http://schemas.openxmlformats.org/officeDocument/2006/relationships/hyperlink" Target="https://www.sec.gov/Archives/edgar/data/1162194/000110465924086311/tm2420729d1_s8.htm" TargetMode="External"/><Relationship Id="rId22" Type="http://schemas.openxmlformats.org/officeDocument/2006/relationships/hyperlink" Target="https://www.sec.gov/Archives/edgar/data/1162194/000119312522093794/d300506dex41.htm" TargetMode="External"/><Relationship Id="rId23" Type="http://schemas.openxmlformats.org/officeDocument/2006/relationships/hyperlink" Target="https://www.sec.gov/Archives/edgar/data/1162194/000119312511078412/dex31.htm" TargetMode="External"/><Relationship Id="rId24" Type="http://schemas.openxmlformats.org/officeDocument/2006/relationships/hyperlink" Target="https://www.sec.gov/Archives/edgar/data/1162194/000119312522093794/d300506dex43.htm" TargetMode="External"/><Relationship Id="rId25" Type="http://schemas.openxmlformats.org/officeDocument/2006/relationships/hyperlink" Target="https://www.sec.gov/Archives/edgar/data/1162194/000110465924001640/tm2333984d3_ex3-1.htm" TargetMode="External"/><Relationship Id="rId26" Type="http://schemas.openxmlformats.org/officeDocument/2006/relationships/hyperlink" Target="https://www.sec.gov/Archives/edgar/data/1162194/000095017025088519/la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2025-08-15T15:23:32Z</dcterms:created>
  <dcterms:modified xsi:type="dcterms:W3CDTF">2025-08-15T15:23:32Z</dcterms:modified>
</cp:coreProperties>
</file>