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06/22/2018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700" w:type="dxa"/>
            <w:vAlign w:val="bottom"/>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7"/>
        </w:trPr>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3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400" w:type="dxa"/>
            <w:vAlign w:val="bottom"/>
            <w:vMerge w:val="restart"/>
          </w:tcPr>
          <w:p>
            <w:pPr>
              <w:jc w:val="right"/>
              <w:ind w:right="652"/>
              <w:spacing w:after="0"/>
              <w:rPr>
                <w:sz w:val="20"/>
                <w:szCs w:val="20"/>
                <w:color w:val="auto"/>
              </w:rPr>
            </w:pPr>
            <w:r>
              <w:rPr>
                <w:rFonts w:ascii="Arial" w:cs="Arial" w:eastAsia="Arial" w:hAnsi="Arial"/>
                <w:sz w:val="18"/>
                <w:szCs w:val="18"/>
                <w:color w:val="0000FF"/>
              </w:rPr>
              <w:t>06/22/2018</w:t>
            </w:r>
          </w:p>
        </w:tc>
        <w:tc>
          <w:tcPr>
            <w:tcW w:w="1260" w:type="dxa"/>
            <w:vAlign w:val="bottom"/>
            <w:vMerge w:val="restart"/>
          </w:tcPr>
          <w:p>
            <w:pPr>
              <w:ind w:left="740"/>
              <w:spacing w:after="0"/>
              <w:rPr>
                <w:sz w:val="20"/>
                <w:szCs w:val="20"/>
                <w:color w:val="auto"/>
              </w:rPr>
            </w:pPr>
            <w:r>
              <w:rPr>
                <w:rFonts w:ascii="Arial" w:cs="Arial" w:eastAsia="Arial" w:hAnsi="Arial"/>
                <w:sz w:val="14"/>
                <w:szCs w:val="14"/>
                <w:color w:val="0000FF"/>
              </w:rPr>
              <w:t>P</w:t>
            </w:r>
          </w:p>
        </w:tc>
        <w:tc>
          <w:tcPr>
            <w:tcW w:w="840" w:type="dxa"/>
            <w:vAlign w:val="bottom"/>
            <w:vMerge w:val="restart"/>
          </w:tcPr>
          <w:p>
            <w:pPr>
              <w:jc w:val="right"/>
              <w:ind w:right="152"/>
              <w:spacing w:after="0"/>
              <w:rPr>
                <w:sz w:val="20"/>
                <w:szCs w:val="20"/>
                <w:color w:val="auto"/>
              </w:rPr>
            </w:pPr>
            <w:r>
              <w:rPr>
                <w:rFonts w:ascii="Arial" w:cs="Arial" w:eastAsia="Arial" w:hAnsi="Arial"/>
                <w:sz w:val="18"/>
                <w:szCs w:val="18"/>
                <w:color w:val="0000FF"/>
              </w:rPr>
              <w:t>34</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A</w:t>
            </w:r>
          </w:p>
        </w:tc>
        <w:tc>
          <w:tcPr>
            <w:tcW w:w="84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5.4499</w:t>
            </w:r>
          </w:p>
        </w:tc>
        <w:tc>
          <w:tcPr>
            <w:tcW w:w="1220" w:type="dxa"/>
            <w:vAlign w:val="bottom"/>
            <w:vMerge w:val="restart"/>
          </w:tcPr>
          <w:p>
            <w:pPr>
              <w:jc w:val="right"/>
              <w:ind w:right="212"/>
              <w:spacing w:after="0"/>
              <w:rPr>
                <w:sz w:val="20"/>
                <w:szCs w:val="20"/>
                <w:color w:val="auto"/>
              </w:rPr>
            </w:pPr>
            <w:r>
              <w:rPr>
                <w:rFonts w:ascii="Arial" w:cs="Arial" w:eastAsia="Arial" w:hAnsi="Arial"/>
                <w:sz w:val="18"/>
                <w:szCs w:val="18"/>
                <w:color w:val="0000FF"/>
                <w:w w:val="99"/>
              </w:rPr>
              <w:t>11,697,475</w:t>
            </w:r>
          </w:p>
        </w:tc>
        <w:tc>
          <w:tcPr>
            <w:tcW w:w="640" w:type="dxa"/>
            <w:vAlign w:val="bottom"/>
            <w:vMerge w:val="restart"/>
          </w:tcPr>
          <w:p>
            <w:pPr>
              <w:ind w:left="32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89"/>
              </w:rPr>
              <w:t>Strategies, L.P.</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83"/>
        </w:trPr>
        <w:tc>
          <w:tcPr>
            <w:tcW w:w="23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3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3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400" w:type="dxa"/>
            <w:vAlign w:val="bottom"/>
            <w:vMerge w:val="restart"/>
          </w:tcPr>
          <w:p>
            <w:pPr>
              <w:jc w:val="right"/>
              <w:ind w:right="652"/>
              <w:spacing w:after="0"/>
              <w:rPr>
                <w:sz w:val="20"/>
                <w:szCs w:val="20"/>
                <w:color w:val="auto"/>
              </w:rPr>
            </w:pPr>
            <w:r>
              <w:rPr>
                <w:rFonts w:ascii="Arial" w:cs="Arial" w:eastAsia="Arial" w:hAnsi="Arial"/>
                <w:sz w:val="18"/>
                <w:szCs w:val="18"/>
                <w:color w:val="0000FF"/>
              </w:rPr>
              <w:t>07/03/2018</w:t>
            </w:r>
          </w:p>
        </w:tc>
        <w:tc>
          <w:tcPr>
            <w:tcW w:w="1260" w:type="dxa"/>
            <w:vAlign w:val="bottom"/>
            <w:vMerge w:val="restart"/>
          </w:tcPr>
          <w:p>
            <w:pPr>
              <w:ind w:left="740"/>
              <w:spacing w:after="0"/>
              <w:rPr>
                <w:sz w:val="20"/>
                <w:szCs w:val="20"/>
                <w:color w:val="auto"/>
              </w:rPr>
            </w:pPr>
            <w:r>
              <w:rPr>
                <w:rFonts w:ascii="Arial" w:cs="Arial" w:eastAsia="Arial" w:hAnsi="Arial"/>
                <w:sz w:val="14"/>
                <w:szCs w:val="14"/>
                <w:color w:val="0000FF"/>
              </w:rPr>
              <w:t>P</w:t>
            </w:r>
          </w:p>
        </w:tc>
        <w:tc>
          <w:tcPr>
            <w:tcW w:w="840" w:type="dxa"/>
            <w:vAlign w:val="bottom"/>
            <w:vMerge w:val="restart"/>
          </w:tcPr>
          <w:p>
            <w:pPr>
              <w:jc w:val="right"/>
              <w:ind w:right="152"/>
              <w:spacing w:after="0"/>
              <w:rPr>
                <w:sz w:val="20"/>
                <w:szCs w:val="20"/>
                <w:color w:val="auto"/>
              </w:rPr>
            </w:pPr>
            <w:r>
              <w:rPr>
                <w:rFonts w:ascii="Arial" w:cs="Arial" w:eastAsia="Arial" w:hAnsi="Arial"/>
                <w:sz w:val="18"/>
                <w:szCs w:val="18"/>
                <w:color w:val="0000FF"/>
              </w:rPr>
              <w:t>61</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A</w:t>
            </w:r>
          </w:p>
        </w:tc>
        <w:tc>
          <w:tcPr>
            <w:tcW w:w="84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5.9998</w:t>
            </w:r>
          </w:p>
        </w:tc>
        <w:tc>
          <w:tcPr>
            <w:tcW w:w="1220" w:type="dxa"/>
            <w:vAlign w:val="bottom"/>
            <w:vMerge w:val="restart"/>
          </w:tcPr>
          <w:p>
            <w:pPr>
              <w:jc w:val="right"/>
              <w:ind w:right="212"/>
              <w:spacing w:after="0"/>
              <w:rPr>
                <w:sz w:val="20"/>
                <w:szCs w:val="20"/>
                <w:color w:val="auto"/>
              </w:rPr>
            </w:pPr>
            <w:r>
              <w:rPr>
                <w:rFonts w:ascii="Arial" w:cs="Arial" w:eastAsia="Arial" w:hAnsi="Arial"/>
                <w:sz w:val="18"/>
                <w:szCs w:val="18"/>
                <w:color w:val="0000FF"/>
                <w:w w:val="99"/>
              </w:rPr>
              <w:t>11,697,536</w:t>
            </w:r>
          </w:p>
        </w:tc>
        <w:tc>
          <w:tcPr>
            <w:tcW w:w="640" w:type="dxa"/>
            <w:vAlign w:val="bottom"/>
            <w:vMerge w:val="restart"/>
          </w:tcPr>
          <w:p>
            <w:pPr>
              <w:ind w:left="32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30"/>
        </w:trPr>
        <w:tc>
          <w:tcPr>
            <w:tcW w:w="2300" w:type="dxa"/>
            <w:vAlign w:val="bottom"/>
            <w:vMerge w:val="continue"/>
          </w:tcPr>
          <w:p>
            <w:pPr>
              <w:spacing w:after="0"/>
              <w:rPr>
                <w:sz w:val="20"/>
                <w:szCs w:val="20"/>
                <w:color w:val="auto"/>
              </w:rPr>
            </w:pPr>
          </w:p>
        </w:tc>
        <w:tc>
          <w:tcPr>
            <w:tcW w:w="240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bl>
    <w:p>
      <w:pPr>
        <w:ind w:left="10280"/>
        <w:spacing w:after="0"/>
        <w:rPr>
          <w:sz w:val="20"/>
          <w:szCs w:val="20"/>
          <w:color w:val="auto"/>
        </w:rPr>
      </w:pPr>
      <w:r>
        <w:rPr>
          <w:rFonts w:ascii="Arial" w:cs="Arial" w:eastAsia="Arial" w:hAnsi="Arial"/>
          <w:sz w:val="16"/>
          <w:szCs w:val="16"/>
          <w:color w:val="0000FF"/>
        </w:rPr>
        <w:t>Strategies, L.P.</w:t>
      </w:r>
    </w:p>
    <w:p>
      <w:pPr>
        <w:spacing w:after="0" w:line="21" w:lineRule="exact"/>
        <w:rPr>
          <w:sz w:val="20"/>
          <w:szCs w:val="20"/>
          <w:color w:val="auto"/>
        </w:rPr>
      </w:pPr>
    </w:p>
    <w:p>
      <w:pPr>
        <w:ind w:left="10280"/>
        <w:spacing w:after="0"/>
        <w:rPr>
          <w:sz w:val="20"/>
          <w:szCs w:val="20"/>
          <w:color w:val="auto"/>
        </w:rPr>
      </w:pPr>
      <w:r>
        <w:rPr>
          <w:rFonts w:ascii="Arial" w:cs="Arial" w:eastAsia="Arial" w:hAnsi="Arial"/>
          <w:sz w:val="11"/>
          <w:szCs w:val="11"/>
          <w:color w:val="008000"/>
        </w:rPr>
        <w:t>(3)(4)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Bi-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Directional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184"/>
              <w:spacing w:after="0"/>
              <w:rPr>
                <w:sz w:val="20"/>
                <w:szCs w:val="20"/>
                <w:color w:val="auto"/>
              </w:rPr>
            </w:pPr>
            <w:r>
              <w:rPr>
                <w:rFonts w:ascii="Arial" w:cs="Arial" w:eastAsia="Arial" w:hAnsi="Arial"/>
                <w:sz w:val="18"/>
                <w:szCs w:val="18"/>
                <w:color w:val="0000FF"/>
                <w:w w:val="87"/>
              </w:rPr>
              <w:t>95,606</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w w:val="99"/>
              </w:rPr>
              <w:t>Disequilibrium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Master Fund,</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w w:val="83"/>
              </w:rPr>
              <w:t>Ltd.</w:t>
            </w:r>
            <w:r>
              <w:rPr>
                <w:rFonts w:ascii="Arial" w:cs="Arial" w:eastAsia="Arial" w:hAnsi="Arial"/>
                <w:sz w:val="22"/>
                <w:szCs w:val="22"/>
                <w:color w:val="008000"/>
                <w:w w:val="83"/>
                <w:vertAlign w:val="superscript"/>
              </w:rPr>
              <w:t>(6)</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ind w:left="420"/>
              <w:spacing w:after="0"/>
              <w:rPr>
                <w:sz w:val="20"/>
                <w:szCs w:val="20"/>
                <w:color w:val="auto"/>
              </w:rPr>
            </w:pPr>
            <w:r>
              <w:rPr>
                <w:rFonts w:ascii="Arial" w:cs="Arial" w:eastAsia="Arial" w:hAnsi="Arial"/>
                <w:sz w:val="18"/>
                <w:szCs w:val="18"/>
                <w:color w:val="0000FF"/>
              </w:rPr>
              <w:t>By:</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gridSpan w:val="2"/>
            <w:vMerge w:val="restart"/>
          </w:tcPr>
          <w:p>
            <w:pPr>
              <w:jc w:val="center"/>
              <w:ind w:right="459"/>
              <w:spacing w:after="0"/>
              <w:rPr>
                <w:sz w:val="20"/>
                <w:szCs w:val="20"/>
                <w:color w:val="auto"/>
              </w:rPr>
            </w:pPr>
            <w:r>
              <w:rPr>
                <w:rFonts w:ascii="Arial" w:cs="Arial" w:eastAsia="Arial" w:hAnsi="Arial"/>
                <w:sz w:val="18"/>
                <w:szCs w:val="18"/>
                <w:color w:val="0000FF"/>
                <w:w w:val="87"/>
              </w:rPr>
              <w:t>1,305,269</w:t>
            </w: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Transamerica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560" w:type="dxa"/>
            <w:vAlign w:val="bottom"/>
            <w:gridSpan w:val="3"/>
            <w:vMerge w:val="restart"/>
          </w:tcPr>
          <w:p>
            <w:pPr>
              <w:ind w:left="420"/>
              <w:spacing w:after="0"/>
              <w:rPr>
                <w:sz w:val="20"/>
                <w:szCs w:val="20"/>
                <w:color w:val="auto"/>
              </w:rPr>
            </w:pPr>
            <w:r>
              <w:rPr>
                <w:rFonts w:ascii="Arial" w:cs="Arial" w:eastAsia="Arial" w:hAnsi="Arial"/>
                <w:sz w:val="18"/>
                <w:szCs w:val="18"/>
                <w:color w:val="0000FF"/>
              </w:rPr>
              <w:t>Large Cap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w w:val="99"/>
              </w:rPr>
              <w:t>Value Fund</w:t>
            </w:r>
            <w:r>
              <w:rPr>
                <w:rFonts w:ascii="Arial" w:cs="Arial" w:eastAsia="Arial" w:hAnsi="Arial"/>
                <w:sz w:val="22"/>
                <w:szCs w:val="22"/>
                <w:color w:val="008000"/>
                <w:w w:val="99"/>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Levcap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184"/>
              <w:spacing w:after="0"/>
              <w:rPr>
                <w:sz w:val="20"/>
                <w:szCs w:val="20"/>
                <w:color w:val="auto"/>
              </w:rPr>
            </w:pPr>
            <w:r>
              <w:rPr>
                <w:rFonts w:ascii="Arial" w:cs="Arial" w:eastAsia="Arial" w:hAnsi="Arial"/>
                <w:sz w:val="18"/>
                <w:szCs w:val="18"/>
                <w:color w:val="0000FF"/>
                <w:w w:val="87"/>
              </w:rPr>
              <w:t>56,820</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Alternative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vMerge w:val="restart"/>
          </w:tcPr>
          <w:p>
            <w:pPr>
              <w:jc w:val="center"/>
              <w:ind w:left="184"/>
              <w:spacing w:after="0"/>
              <w:rPr>
                <w:sz w:val="20"/>
                <w:szCs w:val="20"/>
                <w:color w:val="auto"/>
              </w:rPr>
            </w:pPr>
            <w:r>
              <w:rPr>
                <w:rFonts w:ascii="Arial" w:cs="Arial" w:eastAsia="Arial" w:hAnsi="Arial"/>
                <w:sz w:val="18"/>
                <w:szCs w:val="18"/>
                <w:color w:val="0000FF"/>
                <w:w w:val="87"/>
              </w:rPr>
              <w:t>19,818</w:t>
            </w:r>
          </w:p>
        </w:tc>
        <w:tc>
          <w:tcPr>
            <w:tcW w:w="760" w:type="dxa"/>
            <w:vAlign w:val="bottom"/>
          </w:tcPr>
          <w:p>
            <w:pPr>
              <w:spacing w:after="0"/>
              <w:rPr>
                <w:sz w:val="22"/>
                <w:szCs w:val="22"/>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Safinia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Partners,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ind w:left="420"/>
              <w:spacing w:after="0"/>
              <w:rPr>
                <w:sz w:val="20"/>
                <w:szCs w:val="20"/>
                <w:color w:val="auto"/>
              </w:rPr>
            </w:pPr>
            <w:r>
              <w:rPr>
                <w:rFonts w:ascii="Arial" w:cs="Arial" w:eastAsia="Arial" w:hAnsi="Arial"/>
                <w:sz w:val="11"/>
                <w:szCs w:val="11"/>
                <w:color w:val="008000"/>
              </w:rPr>
              <w:t>(8)</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w w:val="99"/>
              </w:rPr>
              <w:t>By: Spouse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184"/>
              <w:spacing w:after="0"/>
              <w:rPr>
                <w:sz w:val="20"/>
                <w:szCs w:val="20"/>
                <w:color w:val="auto"/>
              </w:rPr>
            </w:pPr>
            <w:r>
              <w:rPr>
                <w:rFonts w:ascii="Arial" w:cs="Arial" w:eastAsia="Arial" w:hAnsi="Arial"/>
                <w:sz w:val="18"/>
                <w:szCs w:val="18"/>
                <w:color w:val="0000FF"/>
                <w:w w:val="88"/>
              </w:rPr>
              <w:t>5,000</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John A.</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Levin</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0"/>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160" w:type="dxa"/>
            <w:vAlign w:val="bottom"/>
          </w:tcPr>
          <w:p>
            <w:pPr>
              <w:spacing w:after="0"/>
              <w:rPr>
                <w:sz w:val="15"/>
                <w:szCs w:val="15"/>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LEVIN CAPITAL STRATEGIES, L.P.</w:t>
        </w:r>
      </w:hyperlink>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Bi-Directional Disequilibrium Master Fund, Ltd.</w:t>
        </w:r>
      </w:hyperlink>
    </w:p>
    <w:p>
      <w:pPr>
        <w:spacing w:after="0" w:line="329"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595 MADISON AVENUE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w w:val="95"/>
              </w:rPr>
            </w:pPr>
            <w:hyperlink r:id="rId17">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Safinia Partners,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0199"/>
          </w:cols>
          <w:pgMar w:left="260" w:top="301" w:right="1440" w:bottom="0" w:gutter="0" w:footer="0" w:header="0"/>
        </w:sectPr>
      </w:pPr>
    </w:p>
    <w:p>
      <w:pPr>
        <w:spacing w:after="0" w:line="125"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0199"/>
          </w:cols>
          <w:pgMar w:left="260" w:top="301" w:right="1440"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597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2924175" cy="359727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21">
        <w:r>
          <w:rPr>
            <w:rFonts w:ascii="Arial" w:cs="Arial" w:eastAsia="Arial" w:hAnsi="Arial"/>
            <w:sz w:val="22"/>
            <w:szCs w:val="22"/>
            <w:u w:val="single" w:color="auto"/>
            <w:color w:val="0000EE"/>
          </w:rPr>
          <w:t>LCS L/S, LLC</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40" w:firstLine="9"/>
        <w:spacing w:after="0" w:line="27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filed jointly by Levin Capital Strategies, L.P. ("LCS"), Levin Capital Strategies GP, LLC ("LCS GP"), Bi-Directional Disequilibrium Master Fund, Ltd. ("BDD")(formerly known as Levin Capital Trilogy Master Fund, Ltd.),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8" w:lineRule="exact"/>
        <w:rPr>
          <w:rFonts w:ascii="Arial" w:cs="Arial" w:eastAsia="Arial" w:hAnsi="Arial"/>
          <w:sz w:val="12"/>
          <w:szCs w:val="12"/>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BDD,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26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BDD,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ind w:left="20" w:right="2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BDD. LCS, as the investment advisor of BDD, may be deemed to share voting and dispositive power over the shares owned directly by BDD. Mr. Levin, as the Chief Executive Officer of LCS, may be deemed to share voting and dispositive power over the shares owned directly by BDD.</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the spouse of Mr. Levin. Mr. Levin has investment discretion over such shares.</w:t>
      </w:r>
    </w:p>
    <w:p>
      <w:pPr>
        <w:sectPr>
          <w:pgSz w:w="11900" w:h="16838" w:orient="portrait"/>
          <w:cols w:equalWidth="0" w:num="1">
            <w:col w:w="11340"/>
          </w:cols>
          <w:pgMar w:left="260" w:top="113" w:right="299" w:bottom="0" w:gutter="0" w:footer="0" w:header="0"/>
        </w:sectPr>
      </w:pPr>
    </w:p>
    <w:p>
      <w:pPr>
        <w:spacing w:after="0" w:line="7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Bi-Directional Disequilibrium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68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Master Fund, Ltd.;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884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4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16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16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757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90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550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874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677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0000FF"/>
        </w:rPr>
        <w:t>07/06/2018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07/06/2018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07/06/2018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07/06/2018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07/06/2018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07/06/2018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07/06/2018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07/06/2018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9060" w:space="80"/>
            <w:col w:w="2200"/>
          </w:cols>
          <w:pgMar w:left="260" w:top="113" w:right="299" w:bottom="0" w:gutter="0" w:footer="0" w:header="0"/>
          <w:type w:val="continuous"/>
        </w:sectPr>
      </w:pPr>
    </w:p>
    <w:p>
      <w:pPr>
        <w:jc w:val="right"/>
        <w:ind w:right="1920"/>
        <w:spacing w:after="0"/>
        <w:tabs>
          <w:tab w:leader="none" w:pos="26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ectPr>
          <w:pgSz w:w="11900" w:h="16838" w:orient="portrait"/>
          <w:cols w:equalWidth="0" w:num="1">
            <w:col w:w="11340"/>
          </w:cols>
          <w:pgMar w:left="260" w:top="113" w:right="299" w:bottom="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6"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0"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474048" TargetMode="External"/><Relationship Id="rId18" Type="http://schemas.openxmlformats.org/officeDocument/2006/relationships/hyperlink" Target="http://www.sec.gov/cgi-bin/browse-edgar?action=getcompany&amp;CIK=0001688302" TargetMode="External"/><Relationship Id="rId19" Type="http://schemas.openxmlformats.org/officeDocument/2006/relationships/hyperlink" Target="http://www.sec.gov/cgi-bin/browse-edgar?action=getcompany&amp;CIK=0001539456" TargetMode="External"/><Relationship Id="rId21" Type="http://schemas.openxmlformats.org/officeDocument/2006/relationships/hyperlink" Target="http://www.sec.gov/cgi-bin/browse-edgar?action=getcompany&amp;CIK=0001688301" TargetMode="External"/><Relationship Id="rId22"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2019-12-23T16:25:32Z</dcterms:created>
  <dcterms:modified xsi:type="dcterms:W3CDTF">2019-12-23T16:25:32Z</dcterms:modified>
</cp:coreProperties>
</file>