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774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774815"/>
                    </a:xfrm>
                    <a:prstGeom prst="rect">
                      <a:avLst/>
                    </a:prstGeom>
                    <a:noFill/>
                  </pic:spPr>
                </pic:pic>
              </a:graphicData>
            </a:graphic>
          </wp:anchor>
        </w:drawing>
      </w:r>
    </w:p>
    <w:p>
      <w:pPr>
        <w:sectPr>
          <w:pgSz w:w="11900" w:h="16942"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JONES ROBERT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7000 SHORELINE COURT SUITE 100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1420" w:type="dxa"/>
            <w:vAlign w:val="bottom"/>
          </w:tcPr>
          <w:p>
            <w:pPr>
              <w:ind w:left="120"/>
              <w:spacing w:after="0" w:line="108" w:lineRule="exact"/>
              <w:rPr>
                <w:sz w:val="20"/>
                <w:szCs w:val="20"/>
                <w:color w:val="auto"/>
              </w:rPr>
            </w:pPr>
            <w:r>
              <w:rPr>
                <w:rFonts w:ascii="Arial" w:cs="Arial" w:eastAsia="Arial" w:hAnsi="Arial"/>
                <w:sz w:val="12"/>
                <w:szCs w:val="12"/>
                <w:color w:val="auto"/>
              </w:rPr>
              <w:t>below)</w:t>
            </w:r>
          </w:p>
        </w:tc>
        <w:tc>
          <w:tcPr>
            <w:tcW w:w="148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80" w:type="dxa"/>
            <w:vAlign w:val="bottom"/>
          </w:tcPr>
          <w:p>
            <w:pPr>
              <w:ind w:left="80"/>
              <w:spacing w:after="0" w:line="101" w:lineRule="exact"/>
              <w:rPr>
                <w:sz w:val="20"/>
                <w:szCs w:val="20"/>
                <w:color w:val="auto"/>
              </w:rPr>
            </w:pPr>
            <w:r>
              <w:rPr>
                <w:rFonts w:ascii="Arial" w:cs="Arial" w:eastAsia="Arial" w:hAnsi="Arial"/>
                <w:sz w:val="11"/>
                <w:szCs w:val="11"/>
                <w:color w:val="auto"/>
              </w:rPr>
              <w:t>Applicable Line)</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660" w:type="dxa"/>
        <w:tblCellMar>
          <w:top w:w="0" w:type="dxa"/>
          <w:left w:w="0" w:type="dxa"/>
          <w:bottom w:w="0" w:type="dxa"/>
          <w:right w:w="0" w:type="dxa"/>
        </w:tblCellMar>
      </w:tblPr>
      <w:tr>
        <w:trPr>
          <w:trHeight w:val="222"/>
        </w:trPr>
        <w:tc>
          <w:tcPr>
            <w:tcW w:w="2420" w:type="dxa"/>
            <w:vAlign w:val="bottom"/>
          </w:tcPr>
          <w:p>
            <w:pPr>
              <w:spacing w:after="0"/>
              <w:rPr>
                <w:sz w:val="20"/>
                <w:szCs w:val="20"/>
                <w:color w:val="auto"/>
              </w:rPr>
            </w:pPr>
            <w:r>
              <w:rPr>
                <w:rFonts w:ascii="Arial" w:cs="Arial" w:eastAsia="Arial" w:hAnsi="Arial"/>
                <w:sz w:val="18"/>
                <w:szCs w:val="18"/>
                <w:color w:val="0000FF"/>
              </w:rPr>
              <w:t>Exec. VP, Research &amp; Dev.</w:t>
            </w:r>
          </w:p>
        </w:tc>
        <w:tc>
          <w:tcPr>
            <w:tcW w:w="2960" w:type="dxa"/>
            <w:vAlign w:val="bottom"/>
            <w:vMerge w:val="restart"/>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960" w:type="dxa"/>
            <w:vAlign w:val="bottom"/>
          </w:tcPr>
          <w:p>
            <w:pPr>
              <w:ind w:left="8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960" w:type="dxa"/>
            <w:vAlign w:val="bottom"/>
          </w:tcPr>
          <w:p>
            <w:pPr>
              <w:ind w:left="8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328" w:lineRule="exact"/>
        <w:rPr>
          <w:sz w:val="24"/>
          <w:szCs w:val="24"/>
          <w:color w:val="auto"/>
        </w:rPr>
      </w:pPr>
    </w:p>
    <w:p>
      <w:pPr>
        <w:sectPr>
          <w:pgSz w:w="11900" w:h="16942" w:orient="portrait"/>
          <w:cols w:equalWidth="0" w:num="2">
            <w:col w:w="4720" w:space="480"/>
            <w:col w:w="6220"/>
          </w:cols>
          <w:pgMar w:left="240" w:top="226" w:right="239" w:bottom="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4.09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4"/>
              </w:rPr>
              <w:t>29,491</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4"/>
              </w:rPr>
              <w:t>36,569</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4"/>
              </w:rPr>
              <w:t>11,560</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1,068</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4"/>
              </w:rPr>
              <w:t>12,143</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5,176</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5"/>
              </w:rPr>
              <w:t>1,428</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100% of the shares subject to the Option will vest on December 31, 2012; provided that a percentage of the Option equal to the percentage of the reporting person's departmental goals that are achieved would become fully vested effective as of December 31, 2009. The compensation committee determined that the reporting person met 25% of the performance criteria for 2009, resulting in the vesting of the Option as to 1,445 shares. The Option shall expire on November 17, 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compensation committee determined that 70% of the Issuer's corporate goals for 2009 had been achieved. This resulted in 70% of the shares subject to the Option vesting on December 31, 2009, 25% of the remaining 40% of the shares subject to the Option vested on April 1, 2010 and 1/48th of the remaining unvested shares subject to the Option shall vest each month thereafter such that all shares subject to the Option shall be fully vested on April 1, 2013. The Option shall expire on November 17, 2019.</w:t>
      </w:r>
    </w:p>
    <w:p>
      <w:pPr>
        <w:spacing w:after="0" w:line="30" w:lineRule="exact"/>
        <w:rPr>
          <w:rFonts w:ascii="Arial" w:cs="Arial" w:eastAsia="Arial" w:hAnsi="Arial"/>
          <w:sz w:val="14"/>
          <w:szCs w:val="14"/>
          <w:color w:val="008000"/>
        </w:rPr>
      </w:pPr>
    </w:p>
    <w:p>
      <w:pPr>
        <w:ind w:left="40" w:right="8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shares subject to the Option shall vest on the one year anniversary of April 1, 2010 (the "Vesting Commencement Date"), and thereafter 1/48th of the shares subject to the Option shall vest on each monthly anniversary of the Vesting Commencement Date such that the Option will be fully vested on April 1, 2014; provided that vesting for a percentage of the Option equal to the Company's percentage achievement of its 2010 corporate goals shall be accelerated to December 31, 2010 . The compensation committee has not yet made a determination regarding the achievement of 2010 corporate goals. The percentage of the Option not accelerated shall vest over 4 years as described above. Vesting is subject to the reporting person continuing to be a service provider on such dates. The Option shall expire on January 4, 2021.</w:t>
      </w:r>
    </w:p>
    <w:p>
      <w:pPr>
        <w:spacing w:after="0" w:line="32"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100% of the shares subject to the Option shall vest on April 1, 2014; provided that vesting for a percentage of the shares subject to the Option equal to the reporting person's percentage achievement of his 2010 departmental goals shall be accelerated to December 31, 2010. The shares, if any, not subject to such accelerated vesting shall vest on April 1, 2014. Vesting is subject to the reporting person continuing to be a service provider on such dates. The Option shall expire on January 4, 2021.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fully vested on August 1, 2009 and shall expire on August 2,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fully vested on August 1, 2009 and shall expire on August 2, 2015.</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originally granted on April 23, 2008 and was re-granted on December 23, 2009 as part of the Issuer's option repricing. 10,838 shares subject to the Option will vest as of December 31, 2011 and 241 shares will vest monthly thereafter. The Option will fully vest on March 31, 2012 and shall expire on April 23, 2018.</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was originally granted on April 23, 2008 and was re-granted on December 23, 2009 as part of the Issuer's option repricing. 6,089 shares subject to the Option were vested as of the re-grant date, an additional 1,651 shares will vest on December 31, 2011 and 172 shares will vest monthly thereafter. The Option will fully vest on March 31, 2012 and shall expire on April 23, 2018.</w:t>
      </w:r>
    </w:p>
    <w:p>
      <w:pPr>
        <w:sectPr>
          <w:pgSz w:w="11900" w:h="16942" w:orient="portrait"/>
          <w:cols w:equalWidth="0" w:num="1">
            <w:col w:w="11420"/>
          </w:cols>
          <w:pgMar w:left="240" w:top="226" w:right="239" w:bottom="0" w:gutter="0" w:footer="0" w:header="0"/>
          <w:type w:val="continuous"/>
        </w:sectPr>
      </w:pPr>
    </w:p>
    <w:bookmarkStart w:id="1" w:name="page2"/>
    <w:bookmarkEnd w:id="1"/>
    <w:p>
      <w:pPr>
        <w:ind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was originally granted on April 23, 2008 and was re-granted on December 23, 2009 as part of the Issuer's option repricing. 5,215 shares subject to the Option were vested as of the re-grant date and thereafter 97 shares vested monthly until March 1, 2012 and thereafter 171 shares will vest monthly. The Option will fully vest on May 1, 2012 and shall expire on April 23, 2018.</w:t>
      </w: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fully vested on May 1, 2010 and shall expire on May 7, 2017.</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May 1, 2010 and shall expire on May 7, 2017.</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March 22, 2010 and shall expire on April 23, 2018.</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March 22, 2010 and shall expire on April 23, 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60"/>
          </w:cols>
          <w:pgMar w:left="280" w:top="156" w:right="359"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182" w:lineRule="exact"/>
        <w:rPr>
          <w:sz w:val="20"/>
          <w:szCs w:val="20"/>
          <w:color w:val="auto"/>
        </w:rPr>
      </w:pPr>
    </w:p>
    <w:p>
      <w:pPr>
        <w:ind w:left="1060" w:right="1999" w:hanging="525"/>
        <w:spacing w:after="0" w:line="271"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7th day of February, 2011.</w:t>
      </w:r>
    </w:p>
    <w:p>
      <w:pPr>
        <w:spacing w:after="0" w:line="200" w:lineRule="exact"/>
        <w:rPr>
          <w:sz w:val="20"/>
          <w:szCs w:val="20"/>
          <w:color w:val="auto"/>
        </w:rPr>
      </w:pPr>
    </w:p>
    <w:p>
      <w:pPr>
        <w:spacing w:after="0" w:line="205"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Robert Jones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Robert Jones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2642"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2019-12-17T14:38:31Z</dcterms:created>
  <dcterms:modified xsi:type="dcterms:W3CDTF">2019-12-17T14:38:31Z</dcterms:modified>
</cp:coreProperties>
</file>