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04/19/2018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620" w:type="dxa"/>
            <w:vAlign w:val="bottom"/>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3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3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3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22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40" w:type="dxa"/>
            <w:vAlign w:val="bottom"/>
            <w:vMerge w:val="restart"/>
          </w:tcPr>
          <w:p>
            <w:pPr>
              <w:jc w:val="right"/>
              <w:ind w:right="672"/>
              <w:spacing w:after="0"/>
              <w:rPr>
                <w:sz w:val="20"/>
                <w:szCs w:val="20"/>
                <w:color w:val="auto"/>
              </w:rPr>
            </w:pPr>
            <w:r>
              <w:rPr>
                <w:rFonts w:ascii="Arial" w:cs="Arial" w:eastAsia="Arial" w:hAnsi="Arial"/>
                <w:sz w:val="18"/>
                <w:szCs w:val="18"/>
                <w:color w:val="0000FF"/>
              </w:rPr>
              <w:t>04/19/2018</w:t>
            </w:r>
          </w:p>
        </w:tc>
        <w:tc>
          <w:tcPr>
            <w:tcW w:w="1160" w:type="dxa"/>
            <w:vAlign w:val="bottom"/>
            <w:vMerge w:val="restart"/>
          </w:tcPr>
          <w:p>
            <w:pPr>
              <w:ind w:left="740"/>
              <w:spacing w:after="0"/>
              <w:rPr>
                <w:sz w:val="20"/>
                <w:szCs w:val="20"/>
                <w:color w:val="auto"/>
              </w:rPr>
            </w:pPr>
            <w:r>
              <w:rPr>
                <w:rFonts w:ascii="Arial" w:cs="Arial" w:eastAsia="Arial" w:hAnsi="Arial"/>
                <w:sz w:val="14"/>
                <w:szCs w:val="14"/>
                <w:color w:val="0000FF"/>
              </w:rPr>
              <w:t>P</w:t>
            </w:r>
          </w:p>
        </w:tc>
        <w:tc>
          <w:tcPr>
            <w:tcW w:w="1020" w:type="dxa"/>
            <w:vAlign w:val="bottom"/>
            <w:vMerge w:val="restart"/>
          </w:tcPr>
          <w:p>
            <w:pPr>
              <w:jc w:val="right"/>
              <w:ind w:right="92"/>
              <w:spacing w:after="0"/>
              <w:rPr>
                <w:sz w:val="20"/>
                <w:szCs w:val="20"/>
                <w:color w:val="auto"/>
              </w:rPr>
            </w:pPr>
            <w:r>
              <w:rPr>
                <w:rFonts w:ascii="Arial" w:cs="Arial" w:eastAsia="Arial" w:hAnsi="Arial"/>
                <w:sz w:val="18"/>
                <w:szCs w:val="18"/>
                <w:color w:val="0000FF"/>
              </w:rPr>
              <w:t>10,013</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center"/>
              <w:ind w:right="12"/>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color w:val="0000FF"/>
                <w:w w:val="96"/>
              </w:rPr>
              <w:t>5.9248</w:t>
            </w:r>
            <w:r>
              <w:rPr>
                <w:rFonts w:ascii="Arial" w:cs="Arial" w:eastAsia="Arial" w:hAnsi="Arial"/>
                <w:sz w:val="22"/>
                <w:szCs w:val="22"/>
                <w:color w:val="008000"/>
                <w:w w:val="96"/>
                <w:vertAlign w:val="superscript"/>
              </w:rPr>
              <w:t>(10)</w:t>
            </w:r>
          </w:p>
        </w:tc>
        <w:tc>
          <w:tcPr>
            <w:tcW w:w="1220" w:type="dxa"/>
            <w:vAlign w:val="bottom"/>
            <w:vMerge w:val="restart"/>
          </w:tcPr>
          <w:p>
            <w:pPr>
              <w:jc w:val="right"/>
              <w:ind w:right="212"/>
              <w:spacing w:after="0"/>
              <w:rPr>
                <w:sz w:val="20"/>
                <w:szCs w:val="20"/>
                <w:color w:val="auto"/>
              </w:rPr>
            </w:pPr>
            <w:r>
              <w:rPr>
                <w:rFonts w:ascii="Arial" w:cs="Arial" w:eastAsia="Arial" w:hAnsi="Arial"/>
                <w:sz w:val="18"/>
                <w:szCs w:val="18"/>
                <w:color w:val="0000FF"/>
                <w:w w:val="99"/>
              </w:rPr>
              <w:t>11,058,569</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220" w:type="dxa"/>
            <w:vAlign w:val="bottom"/>
            <w:vMerge w:val="continue"/>
          </w:tcPr>
          <w:p>
            <w:pPr>
              <w:spacing w:after="0"/>
              <w:rPr>
                <w:sz w:val="18"/>
                <w:szCs w:val="18"/>
                <w:color w:val="auto"/>
              </w:rPr>
            </w:pPr>
          </w:p>
        </w:tc>
        <w:tc>
          <w:tcPr>
            <w:tcW w:w="23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83"/>
        </w:trPr>
        <w:tc>
          <w:tcPr>
            <w:tcW w:w="22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2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22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40" w:type="dxa"/>
            <w:vAlign w:val="bottom"/>
            <w:vMerge w:val="restart"/>
          </w:tcPr>
          <w:p>
            <w:pPr>
              <w:jc w:val="right"/>
              <w:ind w:right="672"/>
              <w:spacing w:after="0"/>
              <w:rPr>
                <w:sz w:val="20"/>
                <w:szCs w:val="20"/>
                <w:color w:val="auto"/>
              </w:rPr>
            </w:pPr>
            <w:r>
              <w:rPr>
                <w:rFonts w:ascii="Arial" w:cs="Arial" w:eastAsia="Arial" w:hAnsi="Arial"/>
                <w:sz w:val="18"/>
                <w:szCs w:val="18"/>
                <w:color w:val="0000FF"/>
              </w:rPr>
              <w:t>04/20/2018</w:t>
            </w:r>
          </w:p>
        </w:tc>
        <w:tc>
          <w:tcPr>
            <w:tcW w:w="1160" w:type="dxa"/>
            <w:vAlign w:val="bottom"/>
            <w:vMerge w:val="restart"/>
          </w:tcPr>
          <w:p>
            <w:pPr>
              <w:ind w:left="740"/>
              <w:spacing w:after="0"/>
              <w:rPr>
                <w:sz w:val="20"/>
                <w:szCs w:val="20"/>
                <w:color w:val="auto"/>
              </w:rPr>
            </w:pPr>
            <w:r>
              <w:rPr>
                <w:rFonts w:ascii="Arial" w:cs="Arial" w:eastAsia="Arial" w:hAnsi="Arial"/>
                <w:sz w:val="14"/>
                <w:szCs w:val="14"/>
                <w:color w:val="0000FF"/>
              </w:rPr>
              <w:t>P</w:t>
            </w:r>
          </w:p>
        </w:tc>
        <w:tc>
          <w:tcPr>
            <w:tcW w:w="1020" w:type="dxa"/>
            <w:vAlign w:val="bottom"/>
            <w:vMerge w:val="restart"/>
          </w:tcPr>
          <w:p>
            <w:pPr>
              <w:jc w:val="right"/>
              <w:ind w:right="192"/>
              <w:spacing w:after="0"/>
              <w:rPr>
                <w:sz w:val="20"/>
                <w:szCs w:val="20"/>
                <w:color w:val="auto"/>
              </w:rPr>
            </w:pPr>
            <w:r>
              <w:rPr>
                <w:rFonts w:ascii="Arial" w:cs="Arial" w:eastAsia="Arial" w:hAnsi="Arial"/>
                <w:sz w:val="18"/>
                <w:szCs w:val="18"/>
                <w:color w:val="0000FF"/>
              </w:rPr>
              <w:t>500</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center"/>
              <w:ind w:right="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5.893</w:t>
            </w:r>
            <w:r>
              <w:rPr>
                <w:rFonts w:ascii="Arial" w:cs="Arial" w:eastAsia="Arial" w:hAnsi="Arial"/>
                <w:sz w:val="22"/>
                <w:szCs w:val="22"/>
                <w:color w:val="008000"/>
                <w:vertAlign w:val="superscript"/>
              </w:rPr>
              <w:t>(11)</w:t>
            </w:r>
          </w:p>
        </w:tc>
        <w:tc>
          <w:tcPr>
            <w:tcW w:w="1220" w:type="dxa"/>
            <w:vAlign w:val="bottom"/>
            <w:vMerge w:val="restart"/>
          </w:tcPr>
          <w:p>
            <w:pPr>
              <w:jc w:val="right"/>
              <w:ind w:right="212"/>
              <w:spacing w:after="0"/>
              <w:rPr>
                <w:sz w:val="20"/>
                <w:szCs w:val="20"/>
                <w:color w:val="auto"/>
              </w:rPr>
            </w:pPr>
            <w:r>
              <w:rPr>
                <w:rFonts w:ascii="Arial" w:cs="Arial" w:eastAsia="Arial" w:hAnsi="Arial"/>
                <w:sz w:val="18"/>
                <w:szCs w:val="18"/>
                <w:color w:val="0000FF"/>
                <w:w w:val="99"/>
              </w:rPr>
              <w:t>11,059,069</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30"/>
        </w:trPr>
        <w:tc>
          <w:tcPr>
            <w:tcW w:w="2220" w:type="dxa"/>
            <w:vAlign w:val="bottom"/>
            <w:vMerge w:val="continue"/>
          </w:tcPr>
          <w:p>
            <w:pPr>
              <w:spacing w:after="0"/>
              <w:rPr>
                <w:sz w:val="20"/>
                <w:szCs w:val="20"/>
                <w:color w:val="auto"/>
              </w:rPr>
            </w:pPr>
          </w:p>
        </w:tc>
        <w:tc>
          <w:tcPr>
            <w:tcW w:w="23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bl>
    <w:p>
      <w:pPr>
        <w:ind w:left="10280"/>
        <w:spacing w:after="0"/>
        <w:rPr>
          <w:sz w:val="20"/>
          <w:szCs w:val="20"/>
          <w:color w:val="auto"/>
        </w:rPr>
      </w:pPr>
      <w:r>
        <w:rPr>
          <w:rFonts w:ascii="Arial" w:cs="Arial" w:eastAsia="Arial" w:hAnsi="Arial"/>
          <w:sz w:val="16"/>
          <w:szCs w:val="16"/>
          <w:color w:val="0000FF"/>
        </w:rPr>
        <w:t>Strategies, L.P.</w:t>
      </w:r>
    </w:p>
    <w:p>
      <w:pPr>
        <w:spacing w:after="0" w:line="21" w:lineRule="exact"/>
        <w:rPr>
          <w:sz w:val="20"/>
          <w:szCs w:val="20"/>
          <w:color w:val="auto"/>
        </w:rPr>
      </w:pPr>
    </w:p>
    <w:p>
      <w:pPr>
        <w:ind w:left="10280"/>
        <w:spacing w:after="0"/>
        <w:rPr>
          <w:sz w:val="20"/>
          <w:szCs w:val="20"/>
          <w:color w:val="auto"/>
        </w:rPr>
      </w:pPr>
      <w:r>
        <w:rPr>
          <w:rFonts w:ascii="Arial" w:cs="Arial" w:eastAsia="Arial" w:hAnsi="Arial"/>
          <w:sz w:val="11"/>
          <w:szCs w:val="11"/>
          <w:color w:val="008000"/>
        </w:rPr>
        <w:t>(3)(4)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224"/>
              <w:spacing w:after="0"/>
              <w:rPr>
                <w:sz w:val="20"/>
                <w:szCs w:val="20"/>
                <w:color w:val="auto"/>
              </w:rPr>
            </w:pPr>
            <w:r>
              <w:rPr>
                <w:rFonts w:ascii="Arial" w:cs="Arial" w:eastAsia="Arial" w:hAnsi="Arial"/>
                <w:sz w:val="18"/>
                <w:szCs w:val="18"/>
                <w:color w:val="0000FF"/>
                <w:w w:val="87"/>
              </w:rPr>
              <w:t>89,363</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9"/>
              </w:rPr>
              <w:t>Disequilibrium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Master Fund,</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w w:val="83"/>
              </w:rPr>
              <w:t>Ltd.</w:t>
            </w:r>
            <w:r>
              <w:rPr>
                <w:rFonts w:ascii="Arial" w:cs="Arial" w:eastAsia="Arial" w:hAnsi="Arial"/>
                <w:sz w:val="22"/>
                <w:szCs w:val="22"/>
                <w:color w:val="008000"/>
                <w:w w:val="83"/>
                <w:vertAlign w:val="superscript"/>
              </w:rPr>
              <w:t>(6)</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ind w:left="420"/>
              <w:spacing w:after="0"/>
              <w:rPr>
                <w:sz w:val="20"/>
                <w:szCs w:val="20"/>
                <w:color w:val="auto"/>
              </w:rPr>
            </w:pPr>
            <w:r>
              <w:rPr>
                <w:rFonts w:ascii="Arial" w:cs="Arial" w:eastAsia="Arial" w:hAnsi="Arial"/>
                <w:sz w:val="18"/>
                <w:szCs w:val="18"/>
                <w:color w:val="0000FF"/>
              </w:rPr>
              <w:t>By:</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gridSpan w:val="2"/>
            <w:vMerge w:val="restart"/>
          </w:tcPr>
          <w:p>
            <w:pPr>
              <w:jc w:val="center"/>
              <w:ind w:right="419"/>
              <w:spacing w:after="0"/>
              <w:rPr>
                <w:sz w:val="20"/>
                <w:szCs w:val="20"/>
                <w:color w:val="auto"/>
              </w:rPr>
            </w:pPr>
            <w:r>
              <w:rPr>
                <w:rFonts w:ascii="Arial" w:cs="Arial" w:eastAsia="Arial" w:hAnsi="Arial"/>
                <w:sz w:val="18"/>
                <w:szCs w:val="18"/>
                <w:color w:val="0000FF"/>
                <w:w w:val="87"/>
              </w:rPr>
              <w:t>1,275,129</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224"/>
              <w:spacing w:after="0"/>
              <w:rPr>
                <w:sz w:val="20"/>
                <w:szCs w:val="20"/>
                <w:color w:val="auto"/>
              </w:rPr>
            </w:pPr>
            <w:r>
              <w:rPr>
                <w:rFonts w:ascii="Arial" w:cs="Arial" w:eastAsia="Arial" w:hAnsi="Arial"/>
                <w:sz w:val="18"/>
                <w:szCs w:val="18"/>
                <w:color w:val="0000FF"/>
                <w:w w:val="87"/>
              </w:rPr>
              <w:t>56,820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vMerge w:val="restart"/>
          </w:tcPr>
          <w:p>
            <w:pPr>
              <w:jc w:val="center"/>
              <w:ind w:left="224"/>
              <w:spacing w:after="0"/>
              <w:rPr>
                <w:sz w:val="20"/>
                <w:szCs w:val="20"/>
                <w:color w:val="auto"/>
              </w:rPr>
            </w:pPr>
            <w:r>
              <w:rPr>
                <w:rFonts w:ascii="Arial" w:cs="Arial" w:eastAsia="Arial" w:hAnsi="Arial"/>
                <w:sz w:val="18"/>
                <w:szCs w:val="18"/>
                <w:color w:val="0000FF"/>
                <w:w w:val="87"/>
              </w:rPr>
              <w:t>19,818</w:t>
            </w:r>
          </w:p>
        </w:tc>
        <w:tc>
          <w:tcPr>
            <w:tcW w:w="760" w:type="dxa"/>
            <w:vAlign w:val="bottom"/>
          </w:tcPr>
          <w:p>
            <w:pPr>
              <w:spacing w:after="0"/>
              <w:rPr>
                <w:sz w:val="22"/>
                <w:szCs w:val="22"/>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Safinia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Partners,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420"/>
              <w:spacing w:after="0"/>
              <w:rPr>
                <w:sz w:val="20"/>
                <w:szCs w:val="20"/>
                <w:color w:val="auto"/>
              </w:rPr>
            </w:pPr>
            <w:r>
              <w:rPr>
                <w:rFonts w:ascii="Arial" w:cs="Arial" w:eastAsia="Arial" w:hAnsi="Arial"/>
                <w:sz w:val="11"/>
                <w:szCs w:val="11"/>
                <w:color w:val="008000"/>
              </w:rPr>
              <w:t>(8)</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9"/>
              </w:rPr>
              <w:t>By: Spouse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224"/>
              <w:spacing w:after="0"/>
              <w:rPr>
                <w:sz w:val="20"/>
                <w:szCs w:val="20"/>
                <w:color w:val="auto"/>
              </w:rPr>
            </w:pPr>
            <w:r>
              <w:rPr>
                <w:rFonts w:ascii="Arial" w:cs="Arial" w:eastAsia="Arial" w:hAnsi="Arial"/>
                <w:sz w:val="18"/>
                <w:szCs w:val="18"/>
                <w:color w:val="0000FF"/>
                <w:w w:val="88"/>
              </w:rPr>
              <w:t>5,000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John 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0"/>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160" w:type="dxa"/>
            <w:vAlign w:val="bottom"/>
          </w:tcPr>
          <w:p>
            <w:pPr>
              <w:spacing w:after="0"/>
              <w:rPr>
                <w:sz w:val="15"/>
                <w:szCs w:val="15"/>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LEVIN CAPITAL STRATEGIES, L.P.</w:t>
        </w:r>
      </w:hyperlink>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Bi-Directional Disequilibrium Master Fund, Ltd.</w:t>
        </w:r>
      </w:hyperlink>
    </w:p>
    <w:p>
      <w:pPr>
        <w:spacing w:after="0" w:line="329"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LCS, LLC</w:t>
              </w:r>
            </w:hyperlink>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w w:val="95"/>
              </w:rPr>
            </w:pPr>
            <w:hyperlink r:id="rId18">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199"/>
          </w:cols>
          <w:pgMar w:left="260" w:top="301" w:right="1440" w:bottom="0" w:gutter="0" w:footer="0" w:header="0"/>
        </w:sectPr>
      </w:pPr>
    </w:p>
    <w:p>
      <w:pPr>
        <w:spacing w:after="0" w:line="12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0199"/>
          </w:cols>
          <w:pgMar w:left="260" w:top="301"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407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2924175" cy="540702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Safinia Partners, L.P.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LCS L/S, LLC</w:t>
              </w:r>
            </w:hyperlink>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20" w:right="22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Master Fund, Ltd. ("BDD")(formerly known as Levin Capital Trilogy Master Fund, Ltd.), LCS, LLC ("LCSL"),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LCSL,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10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LCSL,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left="20" w:right="2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LCSL, as the general partner of the domestic feeder fund which owns a controlling interest in BDD, may be deemed to share voting and dispositive power over the 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pacing w:after="0" w:line="41" w:lineRule="exact"/>
        <w:rPr>
          <w:rFonts w:ascii="Arial" w:cs="Arial" w:eastAsia="Arial" w:hAnsi="Arial"/>
          <w:sz w:val="14"/>
          <w:szCs w:val="14"/>
          <w:color w:val="008000"/>
        </w:rPr>
      </w:pPr>
    </w:p>
    <w:p>
      <w:pPr>
        <w:ind w:left="20" w:right="4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$5.9050 to $5.93.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10.</w:t>
      </w:r>
    </w:p>
    <w:p>
      <w:pPr>
        <w:spacing w:after="0" w:line="2" w:lineRule="exact"/>
        <w:rPr>
          <w:rFonts w:ascii="Arial" w:cs="Arial" w:eastAsia="Arial" w:hAnsi="Arial"/>
          <w:sz w:val="12"/>
          <w:szCs w:val="12"/>
          <w:color w:val="008000"/>
        </w:rPr>
      </w:pPr>
    </w:p>
    <w:p>
      <w:pPr>
        <w:ind w:left="20" w:right="40" w:firstLine="9"/>
        <w:spacing w:after="0" w:line="288" w:lineRule="auto"/>
        <w:tabs>
          <w:tab w:leader="none" w:pos="21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$5.84 to $5.9150.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11.</w:t>
      </w:r>
    </w:p>
    <w:p>
      <w:pPr>
        <w:sectPr>
          <w:pgSz w:w="11900" w:h="16838" w:orient="portrait"/>
          <w:cols w:equalWidth="0" w:num="1">
            <w:col w:w="11340"/>
          </w:cols>
          <w:pgMar w:left="260" w:top="113" w:right="299" w:bottom="2" w:gutter="0" w:footer="0" w:header="0"/>
        </w:sectPr>
      </w:pPr>
    </w:p>
    <w:p>
      <w:pPr>
        <w:spacing w:after="0" w:line="3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Master Fund, Ltd.;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85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0000FF"/>
        </w:rPr>
        <w:t>04/24/2018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04/24/2018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04/24/2018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2">
            <w:col w:w="9060" w:space="80"/>
            <w:col w:w="2200"/>
          </w:cols>
          <w:pgMar w:left="260" w:top="113" w:right="299" w:bottom="2"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8"/>
          <w:szCs w:val="18"/>
          <w:color w:val="0000FF"/>
        </w:rPr>
        <w:t>LLC; 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54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988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4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16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848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16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74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04/24/2018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04/24/2018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04/24/2018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04/24/2018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04/24/2018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04/24/2018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20" w:space="10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0"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688304" TargetMode="External"/><Relationship Id="rId18" Type="http://schemas.openxmlformats.org/officeDocument/2006/relationships/hyperlink" Target="http://www.sec.gov/cgi-bin/browse-edgar?action=getcompany&amp;CIK=0001474048" TargetMode="External"/><Relationship Id="rId19" Type="http://schemas.openxmlformats.org/officeDocument/2006/relationships/hyperlink" Target="http://www.sec.gov/cgi-bin/browse-edgar?action=getcompany&amp;CIK=0001688302" TargetMode="External"/><Relationship Id="rId21" Type="http://schemas.openxmlformats.org/officeDocument/2006/relationships/hyperlink" Target="http://www.sec.gov/cgi-bin/browse-edgar?action=getcompany&amp;CIK=0001539456" TargetMode="External"/><Relationship Id="rId22" Type="http://schemas.openxmlformats.org/officeDocument/2006/relationships/hyperlink" Target="http://www.sec.gov/cgi-bin/browse-edgar?action=getcompany&amp;CIK=0001688301" TargetMode="External"/><Relationship Id="rId23"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2019-12-23T16:25:10Z</dcterms:created>
  <dcterms:modified xsi:type="dcterms:W3CDTF">2019-12-23T16:25:10Z</dcterms:modified>
</cp:coreProperties>
</file>