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60521.htm"/>
      <w:bookmarkStart w:id="1" w:name="kslab20260521"/>
      <w:bookmarkEnd w:id="0"/>
      <w:bookmarkEnd w:id="1"/>
      <w:r>
        <w:rPr/>
        <w:t> </w:t>
      </w:r>
    </w:p>
    <w:p>
      <w:pPr>
        <w:pStyle w:val="TextBody"/>
        <w:bidi w:val="0"/>
        <w:jc w:val="center"/>
        <w:rPr>
          <w:rFonts w:ascii="Times New Roman" w:hAnsi="Times New Roman"/>
          <w:b/>
          <w:color w:val="000000"/>
          <w:sz w:val="28"/>
        </w:rPr>
      </w:pPr>
      <w:bookmarkStart w:id="2" w:name="section1"/>
      <w:bookmarkEnd w:id="2"/>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May 21, 2026</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32"/>
        </w:rPr>
      </w:pPr>
      <w:r>
        <w:rPr>
          <w:rFonts w:ascii="Times New Roman" w:hAnsi="Times New Roman"/>
          <w:b/>
          <w:color w:val="000000"/>
          <w:sz w:val="32"/>
        </w:rPr>
        <w:t>Standard BioTools Inc.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2581"/>
        <w:gridCol w:w="2296"/>
        <w:gridCol w:w="3391"/>
      </w:tblGrid>
      <w:tr>
        <w:trPr/>
        <w:tc>
          <w:tcPr>
            <w:tcW w:w="258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color w:val="000000"/>
                <w:sz w:val="20"/>
              </w:rPr>
            </w:pPr>
            <w:r>
              <w:rPr>
                <w:rFonts w:ascii="Times New Roman" w:hAnsi="Times New Roman"/>
                <w:color w:val="000000"/>
                <w:sz w:val="20"/>
              </w:rPr>
              <w:t xml:space="preserve">(State or other jurisdiction of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22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001-34180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33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77-0513190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Number)</w:t>
            </w:r>
          </w:p>
        </w:tc>
      </w:tr>
      <w:tr>
        <w:trPr/>
        <w:tc>
          <w:tcPr>
            <w:tcW w:w="8268"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50 Milk Street, 10th Floor</w:t>
            </w:r>
          </w:p>
          <w:p>
            <w:pPr>
              <w:pStyle w:val="TableContents"/>
              <w:bidi w:val="0"/>
              <w:spacing w:before="0" w:after="283"/>
              <w:jc w:val="center"/>
              <w:rPr>
                <w:rFonts w:ascii="Times New Roman" w:hAnsi="Times New Roman"/>
                <w:sz w:val="20"/>
              </w:rPr>
            </w:pPr>
            <w:r>
              <w:rPr>
                <w:rFonts w:ascii="Times New Roman" w:hAnsi="Times New Roman"/>
                <w:b/>
                <w:color w:val="000000"/>
                <w:sz w:val="20"/>
              </w:rPr>
              <w:t>Boston, Massachusetts</w:t>
            </w:r>
            <w:r>
              <w:rPr>
                <w:rFonts w:ascii="Times New Roman" w:hAnsi="Times New Roman"/>
                <w:color w:val="000000"/>
                <w:sz w:val="20"/>
              </w:rPr>
              <w:t xml:space="preserve"> </w:t>
            </w:r>
            <w:r>
              <w:rPr>
                <w:rFonts w:ascii="Times New Roman" w:hAnsi="Times New Roman"/>
                <w:b/>
                <w:color w:val="000000"/>
                <w:sz w:val="20"/>
              </w:rPr>
              <w:t>02109</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 and zip code)</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266-6000</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(Registrant's telephone number, including area code)</w:t>
            </w:r>
          </w:p>
        </w:tc>
      </w:tr>
    </w:tbl>
    <w:p>
      <w:pPr>
        <w:pStyle w:val="TextBody"/>
        <w:pBdr>
          <w:bottom w:val="single" w:sz="6" w:space="1" w:color="000000"/>
        </w:pBdr>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30" w:type="dxa"/>
        <w:jc w:val="left"/>
        <w:tblInd w:w="0" w:type="dxa"/>
        <w:tblLayout w:type="fixed"/>
        <w:tblCellMar>
          <w:top w:w="28" w:type="dxa"/>
          <w:left w:w="28" w:type="dxa"/>
          <w:bottom w:w="28" w:type="dxa"/>
          <w:right w:w="28" w:type="dxa"/>
        </w:tblCellMar>
      </w:tblPr>
      <w:tblGrid>
        <w:gridCol w:w="349"/>
        <w:gridCol w:w="9181"/>
      </w:tblGrid>
      <w:tr>
        <w:trPr/>
        <w:tc>
          <w:tcPr>
            <w:tcW w:w="34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9" w:type="dxa"/>
            <w:tcBorders/>
            <w:tcMar>
              <w:top w:w="0" w:type="dxa"/>
              <w:left w:w="0" w:type="dxa"/>
              <w:bottom w:w="0" w:type="dxa"/>
              <w:right w:w="0" w:type="dxa"/>
            </w:tcMar>
            <w:vAlign w:val="center"/>
          </w:tcPr>
          <w:p>
            <w:pPr>
              <w:pStyle w:val="TableContents"/>
              <w:bidi w:val="0"/>
              <w:spacing w:before="0" w:after="283"/>
              <w:ind w:left="0" w:right="0" w:firstLine="18"/>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tbl>
      <w:tblPr>
        <w:tblW w:w="9190" w:type="dxa"/>
        <w:jc w:val="left"/>
        <w:tblInd w:w="0" w:type="dxa"/>
        <w:tblLayout w:type="fixed"/>
        <w:tblCellMar>
          <w:top w:w="28" w:type="dxa"/>
          <w:left w:w="28" w:type="dxa"/>
          <w:bottom w:w="28" w:type="dxa"/>
          <w:right w:w="28" w:type="dxa"/>
        </w:tblCellMar>
      </w:tblPr>
      <w:tblGrid>
        <w:gridCol w:w="3571"/>
        <w:gridCol w:w="146"/>
        <w:gridCol w:w="1501"/>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190"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12b-2 of the Exchange 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2026 Change of Control and Severance Plan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21, 2026, the Board of Directors (the “Board”) of Standard BioTools Inc. (the “Company”) approved the Company’s 2026 Change of Control and Severance Plan and Participation Agreement thereunder (the “2026 Severance Plan”). The 2026 Severance Plan has a term until August 4, 2028. The 2026 Severance Plan is intended to provide certain payments of cash severance and other benefits to the Company’s executive leadership team in the event of a qualifying termination of employment with the Company, other than for the Company’s Chief Executive Officer who is party to a Participation Agreement under the Company’s 2023 Change of Control and Severance Plan (as amended and restated, the “2023 Severance Plan”) as further described below.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Certain members of the Company’s executive leadership team, and certain other designated employees are eligible to participate in the 2026 Severance Plan and to receive benefits thereunder. On May 27, 2026, each of Alex Kim (the Company’s Chief Financial Officer) and Sean Mackay (the Company’s Chief Business Officer) entered into Participation Agreements under the 2026 Severance Plan (together, the “Non-CEO Participation Agreements”), copies of which are filed herewith as Exhibits 10.2 and 10.3, respectively. For such individuals, the 2026 Severance Plan supersedes the severance and/or change in control related benefits previously provided to such individuals under t</w:t>
      </w:r>
      <w:r>
        <w:rPr>
          <w:rFonts w:ascii="Times New Roman" w:hAnsi="Times New Roman"/>
          <w:color w:val="231F20"/>
          <w:sz w:val="20"/>
        </w:rPr>
        <w:t xml:space="preserve">he Company’s 2024 Change of Control and </w:t>
      </w:r>
      <w:r>
        <w:rPr>
          <w:rFonts w:ascii="Times New Roman" w:hAnsi="Times New Roman"/>
          <w:color w:val="000000"/>
          <w:sz w:val="20"/>
        </w:rPr>
        <w:t xml:space="preserve">Severance Plan and any prior </w:t>
      </w:r>
      <w:r>
        <w:rPr>
          <w:rFonts w:ascii="Times New Roman" w:hAnsi="Times New Roman"/>
          <w:color w:val="231F20"/>
          <w:sz w:val="20"/>
        </w:rPr>
        <w:t>employment and severance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2026 Severance Plan, if the executive’s employment is terminated outside of the period beginning three months before a Change of Control (as defined in the 2026 Severance Plan) and ending 12 months after a Change of Control (such period, the “Change of Control Period”) for a reason other than Cause (as defined in the 2026 Severance Plan) or the executive’s death or Disability (as defined in the 2026 Severance Plan), then, subject to the severance conditions provided in the 2026 Severance Plan, the executive will be entitled to receive the following severance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Continued payments (less applicable withholdings) totaling 100% of the executive’s annual base salary in effect as of the date of termination in equal installments over a period of 12 months.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A pro-rated lump-sum payment of the executive’s annual target bonus in effect immediately prior to the termination.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Reimbursement of costs of continued health coverage for the executive, his or her spouse, and/or his or her dependents, as applicable, for a period of up to 12 months.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If the termination occurs on or prior to August 27, 2026, 100% vesting acceleration of the executive’s then-outstanding and unvested equity awards, provided that, if an equity award is to vest and/or the amount of the award to vest is to be determined based on the achievement of performance criteria, then, unless expressly otherwise provided in the applicable equity award agreement, 100% of such equity award will vest assuming the applicable performance criteria had been achieved at target levels for the relevant performance period(s).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Reasonable outplacement services in accordance with any applicable policy of the Company that is in effect as of the executive’s termination (or if no such policy is in effect, as determined by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2026 Severance Plan, if an executive’s employment is terminated within the Change of Control Period either (i) by the Company for a reason other than Cause or the executive’s death or Disability or (ii) by the executive for Good Reason (as defined in the executive’s Participation Agreement under the 2026 Severance Plan), then, subject to the severance conditions provided in the 2026 Severance Plan, the executive will be entitled to receive the following severance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A lump-sum payment (less applicable withholdings) totaling 150% of the sum of (x) his or her annual base salary (as in effect immediately before termination or immediately before the Change of Control, whichever is higher) plus (y) the greater of (A) his or her annual target bonus (as in effect immediately before termination or immediately before the Change of Control, whichever is higher) or (B) the average of the annual cash incentives actually paid to him or her for the three fiscal years preceding the year in which his or her termination occurs; provided, however, that if the annual bonus with respect to the most recently preceding fiscal year has not yet been paid, his or her annual target bonus will be used as the bonus for that year in calculating the average.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A pro-rated lump-sum payment of the executive’s annual target bonus in effect immediately prior to the Change of Control or the termination, whichever is greater.</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Reimbursement of costs for continued health coverage for the executive, his or her spouse, and/or his or her dependents, as applicable, for a period of up to 18 months.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100% vesting acceleration of his or her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descriptions of the 2026 Severance Plan and the form of Participation Agreement thereunder and the Non-CEO Participation Agreements do not purport to be complete and are qualified in their entirety by reference to the full text of the 2026 Severance Plan, including the form of Participation Agreement thereunder, and the Non-CEO Participation Agreements, copies of which are filed as Exhibits 10.1, 10.2 and 10.3, respectively, to this Current Report on Form 8-K and are incorporated herein by reference.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0"/>
        </w:rPr>
        <w:t>2023 Change of Control and Severance Plan, As Amended and Restated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Additionally, on May 21, 2026, the Board approved the 2023 Severance Plan. The 2023 Severance Plan has an initial term until August 4, 2028, subject to automatic one-year renewals thereunder unless non-renewed by the Company upon twelve months’ prior notice. The 2023 Severance Plan is intended to provide certain payments of cash severance and other benefits to certain members of the Company’s executive leadership team in the event of a qualifying termination of employment with the Company. On May 22, 2026, the Company’s Chief Executive Officer, Michael Egholm, Ph.D., entered into a participation agreement under the 2023 Severance Plan (the “Egholm Participation Agreement”), a copy of which is filed herewith as Exhibit 10.5. Dr. Egholm is the only participant under the 2023 Severance Plan.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2023 Severance Plan, if an executive’s employment is terminated outside of the Change of Control Period for a reason other than Cause (as defined in the 2023 Severance Plan) or the executive’s death or Disability (as defined in the 2023 Severance Plan), the executive will be entitled to receive the following severance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Continued payments (less applicable withholdings) totaling 200% of the executive’s annual base salary in effect as of the date of termination in equal installments over a period of 24 months.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Reimbursement of costs of continued health coverage for the executive, his or her spouse, and/or his or her dependents, as applicable, for a period of up to 12 months.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Reasonable outplacement services in accordance with any applicable policy of the Company that is in effect as of the executive’s termination (or if no such policy is in effect, as determined by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2023 Severance Plan, if an executive’s employment is terminated within the Change of Control Period either (i) by the Company for a reason other than Cause or the executive’s death or Disability or (ii) by the executive for Good Reason (as defined in the executive’s Participation Agreement under the 2023 Severance Plan), the executive will be entitled to receive the following severance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A lump-sum payment (less applicable withholdings) totaling 250% of the sum of (x) his or her annual base salary (as in effect immediately before termination or immediately before the Change of Control, whichever is higher) plus (y) the greater of (A) his or her annual target bonus (as in effect immediately before termination or immediately before the Change of Control, whichever is higher) or (B) the average of the annual bonuses actually paid to him or her for the three fiscal years preceding the year in which termination occurs; provided, however, that if the annual bonus with respect to the most recently preceding fiscal year has not yet been paid, his or her annual target bonus will be used as the bonus for that year in calculating the average.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A pro-rated lump-sum payment of the executive’s annual target bonus in effect immediately prior to the Change of Control or the termination, whichever is greater.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Reimbursement of costs for continued health coverage for the executive, his or her spouse, and/or his or her dependents, as applicable, for a period of up to 30 months.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100% vesting acceleration of his or her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descriptions of the 2023 Severance Plan and the form of Participation Agreement thereunder and the Egholm Participation Agreement do not purport to be complete and are qualified in their entirety by reference to the full text of the 2023 Severance Plan, including the form of Participation Agreement thereunder, and the Egholm Participation Agreement, copies of which are filed as Exhibits 10.4 and 10.5, respectively to this Current Report on Form 8-K and are incorporated herein by reference.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1"/>
        <w:gridCol w:w="164"/>
        <w:gridCol w:w="9100"/>
      </w:tblGrid>
      <w:tr>
        <w:trPr/>
        <w:tc>
          <w:tcPr>
            <w:tcW w:w="9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100" w:type="dxa"/>
            <w:tcBorders/>
            <w:vAlign w:val="center"/>
          </w:tcPr>
          <w:p>
            <w:pPr>
              <w:pStyle w:val="TableContents"/>
              <w:bidi w:val="0"/>
              <w:spacing w:before="0" w:after="283"/>
              <w:jc w:val="left"/>
              <w:rPr>
                <w:sz w:val="4"/>
                <w:szCs w:val="4"/>
              </w:rPr>
            </w:pPr>
            <w:r>
              <w:rPr>
                <w:sz w:val="4"/>
                <w:szCs w:val="4"/>
              </w:rPr>
            </w:r>
          </w:p>
        </w:tc>
      </w:tr>
      <w:tr>
        <w:trPr/>
        <w:tc>
          <w:tcPr>
            <w:tcW w:w="9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00"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Description</w:t>
            </w:r>
          </w:p>
        </w:tc>
      </w:tr>
      <w:tr>
        <w:trPr/>
        <w:tc>
          <w:tcPr>
            <w:tcW w:w="9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10.1+</w:t>
            </w:r>
          </w:p>
        </w:tc>
        <w:tc>
          <w:tcPr>
            <w:tcW w:w="164" w:type="dxa"/>
            <w:tcBorders/>
            <w:tcMar>
              <w:top w:w="0" w:type="dxa"/>
              <w:left w:w="0" w:type="dxa"/>
              <w:bottom w:w="0" w:type="dxa"/>
              <w:right w:w="0" w:type="dxa"/>
            </w:tcMar>
            <w:vAlign w:val="center"/>
          </w:tcPr>
          <w:p>
            <w:pPr>
              <w:pStyle w:val="TableContents"/>
              <w:bidi w:val="0"/>
              <w:spacing w:before="0" w:after="283"/>
              <w:jc w:val="left"/>
              <w:rPr/>
            </w:pPr>
            <w:r>
              <w:rPr/>
              <w:t> </w:t>
            </w:r>
          </w:p>
        </w:tc>
        <w:tc>
          <w:tcPr>
            <w:tcW w:w="9100" w:type="dxa"/>
            <w:tcBorders/>
            <w:tcMar>
              <w:top w:w="0" w:type="dxa"/>
              <w:left w:w="0" w:type="dxa"/>
              <w:bottom w:w="0" w:type="dxa"/>
              <w:right w:w="0" w:type="dxa"/>
            </w:tcMar>
            <w:vAlign w:val="center"/>
          </w:tcPr>
          <w:p>
            <w:pPr>
              <w:pStyle w:val="TableContents"/>
              <w:bidi w:val="0"/>
              <w:spacing w:before="0" w:after="283"/>
              <w:ind w:left="0" w:right="0" w:firstLine="18"/>
              <w:jc w:val="left"/>
              <w:rPr/>
            </w:pPr>
            <w:hyperlink w:anchor="lab-ex10_1.htm">
              <w:r>
                <w:rPr>
                  <w:rStyle w:val="InternetLink"/>
                  <w:rFonts w:ascii="Times New Roman" w:hAnsi="Times New Roman"/>
                  <w:color w:val="0000FF"/>
                  <w:sz w:val="20"/>
                  <w:u w:val="single"/>
                </w:rPr>
                <w:t>2026 Change of Control and Severance Plan and Participation Agreement</w:t>
              </w:r>
            </w:hyperlink>
          </w:p>
        </w:tc>
      </w:tr>
      <w:tr>
        <w:trPr/>
        <w:tc>
          <w:tcPr>
            <w:tcW w:w="94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10.2+</w:t>
            </w:r>
          </w:p>
        </w:tc>
        <w:tc>
          <w:tcPr>
            <w:tcW w:w="164"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9100" w:type="dxa"/>
            <w:tcBorders/>
            <w:tcMar>
              <w:top w:w="0" w:type="dxa"/>
              <w:left w:w="0" w:type="dxa"/>
              <w:bottom w:w="0" w:type="dxa"/>
              <w:right w:w="0" w:type="dxa"/>
            </w:tcMar>
            <w:vAlign w:val="center"/>
          </w:tcPr>
          <w:p>
            <w:pPr>
              <w:pStyle w:val="TableContents"/>
              <w:bidi w:val="0"/>
              <w:spacing w:before="0" w:after="283"/>
              <w:ind w:left="0" w:right="0" w:firstLine="18"/>
              <w:jc w:val="left"/>
              <w:rPr/>
            </w:pPr>
            <w:hyperlink w:anchor="lab-ex10_2.htm">
              <w:r>
                <w:rPr>
                  <w:rStyle w:val="InternetLink"/>
                  <w:rFonts w:ascii="Times New Roman" w:hAnsi="Times New Roman"/>
                  <w:color w:val="0000FF"/>
                  <w:sz w:val="20"/>
                  <w:u w:val="single"/>
                </w:rPr>
                <w:t>2026 Change of Control and Severance Plan Participation Agreement, dated as of May 27, 2026, by and between Standard BioTools Inc. and Alex Kim.</w:t>
              </w:r>
            </w:hyperlink>
          </w:p>
        </w:tc>
      </w:tr>
      <w:tr>
        <w:trPr/>
        <w:tc>
          <w:tcPr>
            <w:tcW w:w="94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10.3+</w:t>
            </w:r>
          </w:p>
        </w:tc>
        <w:tc>
          <w:tcPr>
            <w:tcW w:w="164"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9100" w:type="dxa"/>
            <w:tcBorders/>
            <w:tcMar>
              <w:top w:w="0" w:type="dxa"/>
              <w:left w:w="0" w:type="dxa"/>
              <w:bottom w:w="0" w:type="dxa"/>
              <w:right w:w="0" w:type="dxa"/>
            </w:tcMar>
            <w:vAlign w:val="center"/>
          </w:tcPr>
          <w:p>
            <w:pPr>
              <w:pStyle w:val="TableContents"/>
              <w:bidi w:val="0"/>
              <w:ind w:left="0" w:right="0" w:firstLine="18"/>
              <w:jc w:val="left"/>
              <w:rPr/>
            </w:pPr>
            <w:hyperlink w:anchor="lab-ex10_3.htm">
              <w:r>
                <w:rPr>
                  <w:rStyle w:val="InternetLink"/>
                  <w:rFonts w:ascii="Times New Roman" w:hAnsi="Times New Roman"/>
                  <w:color w:val="0000FF"/>
                  <w:sz w:val="20"/>
                  <w:u w:val="single"/>
                </w:rPr>
                <w:t>2026 Change of Control and Severance Plan Participation Agreement, dated as of May 27, 2026, by and between Standard BioTools Inc. and Sean MacKay.</w:t>
              </w:r>
            </w:hyperlink>
          </w:p>
          <w:p>
            <w:pPr>
              <w:pStyle w:val="TableContents"/>
              <w:bidi w:val="0"/>
              <w:spacing w:before="0" w:after="283"/>
              <w:ind w:left="0" w:right="0" w:firstLine="18"/>
              <w:jc w:val="left"/>
              <w:rPr/>
            </w:pPr>
            <w:r>
              <w:rPr/>
              <w:t> </w:t>
            </w:r>
          </w:p>
        </w:tc>
      </w:tr>
      <w:tr>
        <w:trPr/>
        <w:tc>
          <w:tcPr>
            <w:tcW w:w="94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10.4+</w:t>
            </w:r>
          </w:p>
        </w:tc>
        <w:tc>
          <w:tcPr>
            <w:tcW w:w="164"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9100" w:type="dxa"/>
            <w:tcBorders/>
            <w:tcMar>
              <w:top w:w="0" w:type="dxa"/>
              <w:left w:w="0" w:type="dxa"/>
              <w:bottom w:w="0" w:type="dxa"/>
              <w:right w:w="0" w:type="dxa"/>
            </w:tcMar>
            <w:vAlign w:val="center"/>
          </w:tcPr>
          <w:p>
            <w:pPr>
              <w:pStyle w:val="TableContents"/>
              <w:bidi w:val="0"/>
              <w:spacing w:before="0" w:after="283"/>
              <w:ind w:left="0" w:right="0" w:firstLine="18"/>
              <w:jc w:val="left"/>
              <w:rPr/>
            </w:pPr>
            <w:hyperlink w:anchor="lab-ex10_4.htm">
              <w:r>
                <w:rPr>
                  <w:rStyle w:val="InternetLink"/>
                  <w:rFonts w:ascii="Times New Roman" w:hAnsi="Times New Roman"/>
                  <w:color w:val="0000FF"/>
                  <w:sz w:val="20"/>
                  <w:u w:val="single"/>
                </w:rPr>
                <w:t>2023 Change of Control and Severance Plan Participation Agreement, as amended and restated.</w:t>
              </w:r>
            </w:hyperlink>
          </w:p>
        </w:tc>
      </w:tr>
      <w:tr>
        <w:trPr/>
        <w:tc>
          <w:tcPr>
            <w:tcW w:w="94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10.5+</w:t>
            </w:r>
          </w:p>
        </w:tc>
        <w:tc>
          <w:tcPr>
            <w:tcW w:w="164"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9100" w:type="dxa"/>
            <w:tcBorders/>
            <w:tcMar>
              <w:top w:w="0" w:type="dxa"/>
              <w:left w:w="0" w:type="dxa"/>
              <w:bottom w:w="0" w:type="dxa"/>
              <w:right w:w="0" w:type="dxa"/>
            </w:tcMar>
            <w:vAlign w:val="center"/>
          </w:tcPr>
          <w:p>
            <w:pPr>
              <w:pStyle w:val="TableContents"/>
              <w:bidi w:val="0"/>
              <w:spacing w:before="0" w:after="283"/>
              <w:ind w:left="0" w:right="0" w:firstLine="18"/>
              <w:jc w:val="left"/>
              <w:rPr/>
            </w:pPr>
            <w:hyperlink w:anchor="lab-ex10_5.htm">
              <w:r>
                <w:rPr>
                  <w:rStyle w:val="InternetLink"/>
                  <w:rFonts w:ascii="Times New Roman" w:hAnsi="Times New Roman"/>
                  <w:color w:val="0000FF"/>
                  <w:sz w:val="20"/>
                  <w:u w:val="single"/>
                </w:rPr>
                <w:t>2023 Change of Control and Severance Plan and Participation Agreement, dated as of May 22, 2026, by and between Standard BioTools Inc. and Michael Egholm, Ph.D.</w:t>
              </w:r>
            </w:hyperlink>
          </w:p>
        </w:tc>
      </w:tr>
      <w:tr>
        <w:trPr/>
        <w:tc>
          <w:tcPr>
            <w:tcW w:w="94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104</w:t>
            </w:r>
          </w:p>
        </w:tc>
        <w:tc>
          <w:tcPr>
            <w:tcW w:w="164"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9100"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Management compensation plan or arrangement.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3029" w:type="dxa"/>
        <w:jc w:val="left"/>
        <w:tblInd w:w="0" w:type="dxa"/>
        <w:tblLayout w:type="fixed"/>
        <w:tblCellMar>
          <w:top w:w="28" w:type="dxa"/>
          <w:left w:w="28" w:type="dxa"/>
          <w:bottom w:w="28" w:type="dxa"/>
          <w:right w:w="28" w:type="dxa"/>
        </w:tblCellMar>
      </w:tblPr>
      <w:tblGrid>
        <w:gridCol w:w="181"/>
        <w:gridCol w:w="651"/>
        <w:gridCol w:w="166"/>
        <w:gridCol w:w="2031"/>
      </w:tblGrid>
      <w:tr>
        <w:trPr/>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May 28, 2026</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84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20"/>
              </w:rPr>
            </w:pPr>
            <w:r>
              <w:rPr>
                <w:rFonts w:ascii="Times New Roman" w:hAnsi="Times New Roman"/>
                <w:b/>
                <w:color w:val="000000"/>
                <w:sz w:val="20"/>
              </w:rPr>
              <w:t>STANDARD BIOTOOLS INC.</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/s/ Alex Kim</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Alex Kim</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Chief Financial Officer</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7" w:after="283"/>
        <w:jc w:val="right"/>
        <w:rPr>
          <w:rFonts w:ascii="Times New Roman" w:hAnsi="Times New Roman"/>
          <w:b/>
          <w:color w:val="000000"/>
          <w:sz w:val="19"/>
        </w:rPr>
      </w:pPr>
      <w:bookmarkStart w:id="3" w:name="lab-ex10_1.htm"/>
      <w:bookmarkStart w:id="4" w:name="kslabex10_1"/>
      <w:bookmarkEnd w:id="3"/>
      <w:bookmarkEnd w:id="4"/>
      <w:r>
        <w:rPr>
          <w:rFonts w:ascii="Times New Roman" w:hAnsi="Times New Roman"/>
          <w:b/>
          <w:color w:val="000000"/>
          <w:sz w:val="19"/>
        </w:rPr>
        <w:t>Exhibit 10.1</w:t>
      </w:r>
      <w:r>
        <w:br w:type="page"/>
      </w:r>
    </w:p>
    <w:p>
      <w:pPr>
        <w:pStyle w:val="TextBody"/>
        <w:bidi w:val="0"/>
        <w:spacing w:before="7" w:after="283"/>
        <w:jc w:val="center"/>
        <w:rPr>
          <w:rFonts w:ascii="Times New Roman" w:hAnsi="Times New Roman"/>
          <w:b/>
          <w:color w:val="000000"/>
          <w:sz w:val="19"/>
        </w:rPr>
      </w:pPr>
      <w:r>
        <w:rPr>
          <w:rFonts w:ascii="Times New Roman" w:hAnsi="Times New Roman"/>
          <w:b/>
          <w:color w:val="000000"/>
          <w:sz w:val="19"/>
        </w:rPr>
        <w:t>STANDARD BIOTOOLS INC.</w:t>
      </w:r>
    </w:p>
    <w:p>
      <w:pPr>
        <w:pStyle w:val="TextBody"/>
        <w:bidi w:val="0"/>
        <w:spacing w:before="276" w:after="283"/>
        <w:jc w:val="center"/>
        <w:rPr>
          <w:rFonts w:ascii="Times New Roman" w:hAnsi="Times New Roman"/>
          <w:b/>
          <w:color w:val="000000"/>
          <w:sz w:val="19"/>
        </w:rPr>
      </w:pPr>
      <w:r>
        <w:rPr>
          <w:rFonts w:ascii="Times New Roman" w:hAnsi="Times New Roman"/>
          <w:b/>
          <w:color w:val="000000"/>
          <w:sz w:val="19"/>
        </w:rPr>
        <w:t>2026 CHANGE OF CONTROL AND SEVERANCE PLAN AND SUMMARY PLAN DESCRIPTION</w:t>
      </w:r>
    </w:p>
    <w:p>
      <w:pPr>
        <w:pStyle w:val="TextBody"/>
        <w:bidi w:val="0"/>
        <w:spacing w:before="275" w:after="283"/>
        <w:jc w:val="center"/>
        <w:rPr>
          <w:rFonts w:ascii="Times New Roman" w:hAnsi="Times New Roman"/>
          <w:i/>
          <w:color w:val="000000"/>
          <w:sz w:val="19"/>
        </w:rPr>
      </w:pPr>
      <w:r>
        <w:rPr>
          <w:rFonts w:ascii="Times New Roman" w:hAnsi="Times New Roman"/>
          <w:i/>
          <w:color w:val="000000"/>
          <w:sz w:val="19"/>
        </w:rPr>
        <w:t>Adopted May 21, 2026</w:t>
      </w:r>
    </w:p>
    <w:p>
      <w:pPr>
        <w:pStyle w:val="TextBody"/>
        <w:bidi w:val="0"/>
        <w:spacing w:before="222" w:after="283"/>
        <w:jc w:val="both"/>
        <w:rPr>
          <w:rFonts w:ascii="Tahoma;sans-serif" w:hAnsi="Tahoma;sans-serif"/>
          <w:b/>
          <w:color w:val="000000"/>
          <w:sz w:val="19"/>
        </w:rPr>
      </w:pPr>
      <w:r>
        <w:rPr>
          <w:rFonts w:ascii="Tahoma;sans-serif" w:hAnsi="Tahoma;sans-serif"/>
          <w:b/>
          <w:color w:val="000000"/>
          <w:sz w:val="19"/>
        </w:rPr>
        <w:t>1.</w:t>
      </w:r>
    </w:p>
    <w:p>
      <w:pPr>
        <w:pStyle w:val="TextBody"/>
        <w:bidi w:val="0"/>
        <w:spacing w:before="222" w:after="283"/>
        <w:jc w:val="both"/>
        <w:rPr/>
      </w:pPr>
      <w:r>
        <w:rPr>
          <w:rFonts w:ascii="Times New Roman" w:hAnsi="Times New Roman"/>
          <w:b/>
          <w:color w:val="000000"/>
          <w:sz w:val="19"/>
        </w:rPr>
        <w:t>Introduction</w:t>
      </w:r>
      <w:r>
        <w:rPr>
          <w:rFonts w:ascii="Times New Roman" w:hAnsi="Times New Roman"/>
          <w:color w:val="000000"/>
          <w:sz w:val="19"/>
        </w:rPr>
        <w:t>. The purpose of this Standard BioTools Inc. 2026 Change of Control and Severance Plan, or Plan (as defined in Section 2 below), is to provide assurances of specified benefits to certain employees of the Company whose employment is subject to being involuntarily terminated other than for death, Disability, or Cause or voluntarily terminated for Good Reason under the circumstances described herein. This Plan is an “employee welfare benefit plan,” as defined in Section 3(1) of the U.S. Employee Retirement Income Security Act of 1974, as amended (“</w:t>
      </w:r>
      <w:r>
        <w:rPr>
          <w:rFonts w:ascii="Times New Roman" w:hAnsi="Times New Roman"/>
          <w:b/>
          <w:color w:val="000000"/>
          <w:sz w:val="19"/>
        </w:rPr>
        <w:t>ERISA</w:t>
      </w:r>
      <w:r>
        <w:rPr>
          <w:color w:val="000000"/>
        </w:rPr>
        <w:t>”</w:t>
      </w:r>
      <w:r>
        <w:rPr>
          <w:rFonts w:ascii="Times New Roman" w:hAnsi="Times New Roman"/>
          <w:color w:val="000000"/>
          <w:sz w:val="19"/>
        </w:rPr>
        <w:t>). This document constitutes both the written instrument under which the Plan is maintained and the required summary plan description for the Plan. This Plan is a replacement for that certain Standard BioTools Inc. Change of Control and Severance Plan and Summary Plan Description adopted by the Compensation Committee of Standard BioTools Inc. on August 27, 2024 (the “</w:t>
      </w:r>
      <w:r>
        <w:rPr>
          <w:rFonts w:ascii="Times New Roman" w:hAnsi="Times New Roman"/>
          <w:b/>
          <w:color w:val="000000"/>
          <w:sz w:val="19"/>
        </w:rPr>
        <w:t>Prior Plan</w:t>
      </w:r>
      <w:r>
        <w:rPr>
          <w:color w:val="000000"/>
        </w:rPr>
        <w:t>”</w:t>
      </w:r>
      <w:r>
        <w:rPr>
          <w:rFonts w:ascii="Times New Roman" w:hAnsi="Times New Roman"/>
          <w:color w:val="000000"/>
          <w:sz w:val="19"/>
        </w:rPr>
        <w:t>). The Prior Plan expires according to its terms and will not be renewed. By becoming a Participant under this Plan (and immediately upon execution of the Participation Agreement), the Participant expressly acknowledges that Participant will cease being a participant under or entitled to any benefits under the Prior Plan</w:t>
      </w:r>
    </w:p>
    <w:p>
      <w:pPr>
        <w:pStyle w:val="TextBody"/>
        <w:bidi w:val="0"/>
        <w:spacing w:before="225" w:after="283"/>
        <w:jc w:val="both"/>
        <w:rPr>
          <w:rFonts w:ascii="Tahoma;sans-serif" w:hAnsi="Tahoma;sans-serif"/>
          <w:b/>
          <w:color w:val="000000"/>
          <w:sz w:val="19"/>
        </w:rPr>
      </w:pPr>
      <w:r>
        <w:rPr>
          <w:rFonts w:ascii="Tahoma;sans-serif" w:hAnsi="Tahoma;sans-serif"/>
          <w:b/>
          <w:color w:val="000000"/>
          <w:sz w:val="19"/>
        </w:rPr>
        <w:t>2.</w:t>
      </w:r>
    </w:p>
    <w:p>
      <w:pPr>
        <w:pStyle w:val="TextBody"/>
        <w:bidi w:val="0"/>
        <w:spacing w:before="225" w:after="283"/>
        <w:jc w:val="both"/>
        <w:rPr/>
      </w:pPr>
      <w:r>
        <w:rPr>
          <w:rFonts w:ascii="Times New Roman" w:hAnsi="Times New Roman"/>
          <w:b/>
          <w:color w:val="000000"/>
          <w:sz w:val="19"/>
        </w:rPr>
        <w:t>Important Terms</w:t>
      </w:r>
      <w:r>
        <w:rPr>
          <w:rFonts w:ascii="Times New Roman" w:hAnsi="Times New Roman"/>
          <w:color w:val="000000"/>
          <w:sz w:val="19"/>
        </w:rPr>
        <w:t>. The following words and phrases, when the initial letter of the term is capitalized, will have the meanings set forth in this Section 2, unless a different meaning is plainly required by the context:</w:t>
      </w:r>
    </w:p>
    <w:p>
      <w:pPr>
        <w:pStyle w:val="TextBody"/>
        <w:bidi w:val="0"/>
        <w:spacing w:before="225" w:after="283"/>
        <w:jc w:val="left"/>
        <w:rPr>
          <w:rFonts w:ascii="Times New Roman" w:hAnsi="Times New Roman"/>
          <w:sz w:val="20"/>
        </w:rPr>
      </w:pPr>
      <w:r>
        <w:rPr>
          <w:rFonts w:ascii="Times New Roman" w:hAnsi="Times New Roman"/>
          <w:color w:val="000000"/>
          <w:sz w:val="19"/>
        </w:rPr>
        <w:t>2.1.</w:t>
      </w:r>
      <w:r>
        <w:rPr>
          <w:rFonts w:ascii="Times New Roman" w:hAnsi="Times New Roman"/>
          <w:color w:val="000000"/>
          <w:sz w:val="20"/>
        </w:rPr>
        <w:t xml:space="preserve"> “</w:t>
      </w:r>
      <w:r>
        <w:rPr>
          <w:rFonts w:ascii="Times New Roman" w:hAnsi="Times New Roman"/>
          <w:b/>
          <w:color w:val="000000"/>
          <w:sz w:val="19"/>
        </w:rPr>
        <w:t>Administrator</w:t>
      </w:r>
      <w:r>
        <w:rPr>
          <w:rFonts w:ascii="Times New Roman" w:hAnsi="Times New Roman"/>
          <w:color w:val="000000"/>
          <w:sz w:val="20"/>
        </w:rPr>
        <w:t xml:space="preserve">” </w:t>
      </w:r>
      <w:r>
        <w:rPr>
          <w:rFonts w:ascii="Times New Roman" w:hAnsi="Times New Roman"/>
          <w:color w:val="000000"/>
          <w:sz w:val="19"/>
        </w:rPr>
        <w:t>means the Human Capital Committee whose members have been delegated duty by the Board to act as the Administrator of the Plan within the meaning of Section 3(16)(A) of ERISA, or another duly constituted committee that has been delegated such duty by the Board, or any person to whom the Board has delegated any authority or responsibility with respect to the Plan pursuant to Section 12, but only to the extent of such delegation.</w:t>
      </w:r>
    </w:p>
    <w:p>
      <w:pPr>
        <w:pStyle w:val="TextBody"/>
        <w:bidi w:val="0"/>
        <w:spacing w:before="139" w:after="283"/>
        <w:jc w:val="left"/>
        <w:rPr>
          <w:rFonts w:ascii="Times New Roman" w:hAnsi="Times New Roman"/>
          <w:sz w:val="20"/>
        </w:rPr>
      </w:pPr>
      <w:r>
        <w:rPr>
          <w:rFonts w:ascii="Times New Roman" w:hAnsi="Times New Roman"/>
          <w:color w:val="000000"/>
          <w:sz w:val="19"/>
        </w:rPr>
        <w:t>2.2.</w:t>
      </w:r>
      <w:r>
        <w:rPr>
          <w:rFonts w:ascii="Times New Roman" w:hAnsi="Times New Roman"/>
          <w:color w:val="000000"/>
          <w:sz w:val="20"/>
        </w:rPr>
        <w:t xml:space="preserve"> “</w:t>
      </w:r>
      <w:r>
        <w:rPr>
          <w:rFonts w:ascii="Times New Roman" w:hAnsi="Times New Roman"/>
          <w:b/>
          <w:color w:val="000000"/>
          <w:sz w:val="19"/>
        </w:rPr>
        <w:t>Board</w:t>
      </w:r>
      <w:r>
        <w:rPr>
          <w:rFonts w:ascii="Times New Roman" w:hAnsi="Times New Roman"/>
          <w:color w:val="000000"/>
          <w:sz w:val="20"/>
        </w:rPr>
        <w:t xml:space="preserve">” </w:t>
      </w:r>
      <w:r>
        <w:rPr>
          <w:rFonts w:ascii="Times New Roman" w:hAnsi="Times New Roman"/>
          <w:color w:val="000000"/>
          <w:sz w:val="19"/>
        </w:rPr>
        <w:t>means the Board of Directors of the Company.</w:t>
      </w:r>
    </w:p>
    <w:p>
      <w:pPr>
        <w:pStyle w:val="TextBody"/>
        <w:bidi w:val="0"/>
        <w:spacing w:before="83" w:after="523"/>
        <w:jc w:val="both"/>
        <w:rPr>
          <w:rFonts w:ascii="Times New Roman" w:hAnsi="Times New Roman"/>
          <w:sz w:val="20"/>
        </w:rPr>
      </w:pPr>
      <w:r>
        <w:rPr>
          <w:rFonts w:ascii="Times New Roman" w:hAnsi="Times New Roman"/>
          <w:color w:val="000000"/>
          <w:sz w:val="19"/>
        </w:rPr>
        <w:t>2.3.</w:t>
      </w:r>
      <w:r>
        <w:rPr>
          <w:rFonts w:ascii="Times New Roman" w:hAnsi="Times New Roman"/>
          <w:color w:val="000000"/>
          <w:sz w:val="20"/>
        </w:rPr>
        <w:t xml:space="preserve"> “</w:t>
      </w:r>
      <w:r>
        <w:rPr>
          <w:rFonts w:ascii="Times New Roman" w:hAnsi="Times New Roman"/>
          <w:b/>
          <w:color w:val="000000"/>
          <w:sz w:val="19"/>
        </w:rPr>
        <w:t>Cause</w:t>
      </w:r>
      <w:r>
        <w:rPr>
          <w:rFonts w:ascii="Times New Roman" w:hAnsi="Times New Roman"/>
          <w:color w:val="000000"/>
          <w:sz w:val="20"/>
        </w:rPr>
        <w:t xml:space="preserve">” </w:t>
      </w:r>
      <w:r>
        <w:rPr>
          <w:rFonts w:ascii="Times New Roman" w:hAnsi="Times New Roman"/>
          <w:color w:val="000000"/>
          <w:sz w:val="19"/>
        </w:rPr>
        <w:t>exists upon (i) a Participant’s conviction of, or plea of guilty or nolo contendere to, any crime involving dishonesty or moral turpitude or any felony; or (ii) a Participant’s (a) engagement in material dishonesty, willful misconduct, or gross negligence—in each case in connection with the Participant’s position at the Company; (b) breach of any confidentiality, invention assignment, non-disclosure, or non-solicitation agreement entered into between the Company and the Participant; (c) material violation of a written Company policy or procedure that has been provided to the Participant, which violation causes substantial injury to the Company; or (d) willful refusal to perform the Participant’s assigned duties to the Company, following written notice of such refusal by the Company and a period of fifteen (15) days to cure the same and the Participant’s failure to cure during such time period. No act or omission shall be considered “willful” if such act or omission was done, or not done, in the reasonable, good-faith belief that such act or omission was in the best interests of the Company or upon the advice of counsel to the Company.</w:t>
      </w:r>
    </w:p>
    <w:p>
      <w:pPr>
        <w:pStyle w:val="TextBody"/>
        <w:bidi w:val="0"/>
        <w:spacing w:before="0" w:after="523"/>
        <w:jc w:val="both"/>
        <w:rPr>
          <w:rFonts w:ascii="Times New Roman" w:hAnsi="Times New Roman"/>
          <w:sz w:val="20"/>
        </w:rPr>
      </w:pPr>
      <w:r>
        <w:rPr>
          <w:rFonts w:ascii="Times New Roman" w:hAnsi="Times New Roman"/>
          <w:color w:val="000000"/>
          <w:sz w:val="19"/>
        </w:rPr>
        <w:t>2.4.</w:t>
      </w:r>
      <w:r>
        <w:rPr>
          <w:rFonts w:ascii="Times New Roman" w:hAnsi="Times New Roman"/>
          <w:color w:val="000000"/>
          <w:sz w:val="20"/>
        </w:rPr>
        <w:t xml:space="preserve"> “</w:t>
      </w:r>
      <w:r>
        <w:rPr>
          <w:rFonts w:ascii="Times New Roman" w:hAnsi="Times New Roman"/>
          <w:color w:val="000000"/>
          <w:sz w:val="19"/>
        </w:rPr>
        <w:t>Change of Control” means the occurrence of any of the following events:</w:t>
      </w:r>
    </w:p>
    <w:p>
      <w:pPr>
        <w:pStyle w:val="TextBody"/>
        <w:bidi w:val="0"/>
        <w:jc w:val="both"/>
        <w:rPr>
          <w:rFonts w:ascii="Times New Roman" w:hAnsi="Times New Roman"/>
          <w:color w:val="000000"/>
          <w:sz w:val="19"/>
        </w:rPr>
      </w:pPr>
      <w:r>
        <w:rPr>
          <w:rFonts w:ascii="Times New Roman" w:hAnsi="Times New Roman"/>
          <w:color w:val="000000"/>
          <w:sz w:val="19"/>
        </w:rPr>
        <w:t>2.4.1. Change in Ownership of the Company. A change in the ownership of the Company which occurs on the date that any “Person” (as such term is used in Sections 13(d) and 14(d) of the Exchange Act), acquires ownership of the stock of the Company that, together with the stock held by such Person, constitutes more than 50% of the total voting power of the stock of the Company pursuant to a transaction or a series of related transactions; provided, however, that for purposes of this subsection 2.4.1, the acquisition of additional stock by any one Person, who is considered to own more than 50% of the total voting power of the stock of the Company will not be considered a Change of Control; or</w:t>
      </w:r>
    </w:p>
    <w:p>
      <w:pPr>
        <w:pStyle w:val="TextBody"/>
        <w:bidi w:val="0"/>
        <w:spacing w:before="231" w:after="283"/>
        <w:jc w:val="both"/>
        <w:rPr>
          <w:rFonts w:ascii="Times New Roman" w:hAnsi="Times New Roman"/>
          <w:sz w:val="20"/>
        </w:rPr>
      </w:pPr>
      <w:r>
        <w:rPr>
          <w:rFonts w:ascii="Times New Roman" w:hAnsi="Times New Roman"/>
          <w:color w:val="000000"/>
          <w:sz w:val="19"/>
        </w:rPr>
        <w:t>2.4.2. Change in Effective Control of the Company.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A - 1</w:t>
      </w:r>
    </w:p>
    <w:p>
      <w:pPr>
        <w:pStyle w:val="HorizontalLine"/>
        <w:pBdr>
          <w:bottom w:val="double" w:sz="2" w:space="0" w:color="808080"/>
        </w:pBdr>
        <w:bidi w:val="0"/>
        <w:spacing w:before="0" w:after="283"/>
        <w:jc w:val="left"/>
        <w:rPr/>
      </w:pPr>
      <w:r>
        <w:rPr/>
      </w:r>
    </w:p>
    <w:p>
      <w:pPr>
        <w:pStyle w:val="TextBody"/>
        <w:bidi w:val="0"/>
        <w:spacing w:before="231" w:after="283"/>
        <w:jc w:val="both"/>
        <w:rPr>
          <w:rFonts w:ascii="Times New Roman" w:hAnsi="Times New Roman"/>
          <w:color w:val="000000"/>
          <w:sz w:val="19"/>
        </w:rPr>
      </w:pPr>
      <w:r>
        <w:rPr>
          <w:rFonts w:ascii="Times New Roman" w:hAnsi="Times New Roman"/>
          <w:color w:val="000000"/>
          <w:sz w:val="19"/>
        </w:rPr>
        <w:t>subsection 2.4.2, if any Person is considered to be in effective control of the Company, the acquisition of additional control of the Company by the same Person will not be considered a Change of Control; or</w:t>
      </w:r>
    </w:p>
    <w:p>
      <w:pPr>
        <w:pStyle w:val="TextBody"/>
        <w:bidi w:val="0"/>
        <w:spacing w:before="214" w:after="283"/>
        <w:jc w:val="both"/>
        <w:rPr>
          <w:rFonts w:ascii="Times New Roman" w:hAnsi="Times New Roman"/>
          <w:color w:val="000000"/>
          <w:sz w:val="19"/>
        </w:rPr>
      </w:pPr>
      <w:r>
        <w:rPr>
          <w:rFonts w:ascii="Times New Roman" w:hAnsi="Times New Roman"/>
          <w:color w:val="000000"/>
          <w:sz w:val="19"/>
        </w:rPr>
        <w:t>2.4.3. Merger or Sale of the Company’s Assets. A merger or consolidation of the Company or any of its subsidiaries whether or not approved by the Board of Directors, or the sale or disposition by the Company of all or substantially all of the Company’s assets in a transaction requiring shareholder approval; provided, however, that for purposes of this subsection 2.4.3, the following will not constitute a Change of Control: (A) a merger or consolidation which would result in the voting securities of the Company outstanding immediately prior thereto continuing to represent (either by remaining outstanding or by being converted into voting securities of the surviving entity or the parent of such entity) more than 50% of the total voting power represented by the voting securities of the Company or such surviving entity or parent of such corporation, as the case may be, outstanding immediately after such merger or consolidation; or (B) a transfer of assets by the Company to: (1) an entity that is controlled by the Company’s stockholders immediately after the transfer, (2) a stockholder of the Company (immediately before the asset transfer) in exchange for or with respect to the Company’s stock, (3) an entity, 50% or more of the total value or voting power of which is owned, directly or indirectly, by the Company, (4) a Person, that owns, directly or indirectly, 50% or more of the total value or voting power of all the outstanding stock of the Company, or (5) an entity, at least 50% of the total value or voting power of which is owned, directly or indirectly, by a Person described in subsection 2.4.3(B)(4).</w:t>
      </w:r>
    </w:p>
    <w:p>
      <w:pPr>
        <w:pStyle w:val="TextBody"/>
        <w:bidi w:val="0"/>
        <w:spacing w:before="287" w:after="283"/>
        <w:jc w:val="both"/>
        <w:rPr>
          <w:rFonts w:ascii="Times New Roman" w:hAnsi="Times New Roman"/>
          <w:color w:val="000000"/>
          <w:sz w:val="19"/>
        </w:rPr>
      </w:pPr>
      <w:r>
        <w:rPr>
          <w:rFonts w:ascii="Times New Roman" w:hAnsi="Times New Roman"/>
          <w:color w:val="000000"/>
          <w:sz w:val="19"/>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pStyle w:val="TextBody"/>
        <w:bidi w:val="0"/>
        <w:spacing w:before="228" w:after="283"/>
        <w:jc w:val="both"/>
        <w:rPr>
          <w:rFonts w:ascii="Times New Roman" w:hAnsi="Times New Roman"/>
          <w:color w:val="000000"/>
          <w:sz w:val="19"/>
        </w:rPr>
      </w:pPr>
      <w:r>
        <w:rPr>
          <w:rFonts w:ascii="Times New Roman" w:hAnsi="Times New Roman"/>
          <w:color w:val="000000"/>
          <w:sz w:val="19"/>
        </w:rPr>
        <w:t>For the avoidance of doubt, a transaction will not constitute a Change of Control if: (i) its sole purpose is to change the state of the Company’s incorporation, (ii) its sole purpose is to create a holding company that will be owned in substantially the same proportions by the persons who held the Company’s securities immediately before such transaction or (iii) its sole purpose is to obtain funding for the Company in a financing that is approved by the Board.</w:t>
      </w:r>
    </w:p>
    <w:p>
      <w:pPr>
        <w:pStyle w:val="TextBody"/>
        <w:bidi w:val="0"/>
        <w:spacing w:before="223" w:after="283"/>
        <w:jc w:val="both"/>
        <w:rPr>
          <w:rFonts w:ascii="Times New Roman" w:hAnsi="Times New Roman"/>
          <w:sz w:val="20"/>
        </w:rPr>
      </w:pPr>
      <w:r>
        <w:rPr>
          <w:rFonts w:ascii="Times New Roman" w:hAnsi="Times New Roman"/>
          <w:i/>
          <w:color w:val="000000"/>
          <w:sz w:val="19"/>
        </w:rPr>
        <w:t>Notwithstanding any of the foregoing, however</w:t>
      </w:r>
      <w:r>
        <w:rPr>
          <w:rFonts w:ascii="Times New Roman" w:hAnsi="Times New Roman"/>
          <w:color w:val="000000"/>
          <w:sz w:val="19"/>
        </w:rPr>
        <w:t>, in any circumstance or transaction in which compensation or benefits paid under this Plan would result in imposition of an additional tax under Section 409A of the Code if the foregoing definition of “Change of Control” were to apply, but would not result in the imposition of any additional tax if the term “Change of Control” were defined herein to mean a “change in control event” within the meaning of Treasury Regulation Section 1.409A-3(i)(5), then “Change of Control” shall mean a “change in control event” within the meaning of Treasury Regulation Section 1.409A-3(i)(5), but only to the extent necessary to prevent such compensation from becoming subject to an additional tax under Section 409A.</w:t>
      </w:r>
    </w:p>
    <w:p>
      <w:pPr>
        <w:pStyle w:val="TextBody"/>
        <w:bidi w:val="0"/>
        <w:spacing w:before="226" w:after="283"/>
        <w:jc w:val="left"/>
        <w:rPr>
          <w:rFonts w:ascii="Times New Roman" w:hAnsi="Times New Roman"/>
          <w:sz w:val="20"/>
        </w:rPr>
      </w:pPr>
      <w:r>
        <w:rPr>
          <w:rFonts w:ascii="Times New Roman" w:hAnsi="Times New Roman"/>
          <w:color w:val="000000"/>
          <w:sz w:val="19"/>
        </w:rPr>
        <w:t>2.5.</w:t>
      </w:r>
      <w:r>
        <w:rPr>
          <w:rFonts w:ascii="Times New Roman" w:hAnsi="Times New Roman"/>
          <w:color w:val="000000"/>
          <w:sz w:val="20"/>
        </w:rPr>
        <w:t xml:space="preserve"> “</w:t>
      </w:r>
      <w:r>
        <w:rPr>
          <w:rFonts w:ascii="Times New Roman" w:hAnsi="Times New Roman"/>
          <w:color w:val="000000"/>
          <w:sz w:val="19"/>
        </w:rPr>
        <w:t>Change of Control Period” means the time period beginning three (3) months prior to a Change of Control and ending on the date that is twelve (12) months following the Change of Control.</w:t>
      </w:r>
    </w:p>
    <w:p>
      <w:pPr>
        <w:pStyle w:val="TextBody"/>
        <w:bidi w:val="0"/>
        <w:spacing w:before="226" w:after="283"/>
        <w:jc w:val="both"/>
        <w:rPr>
          <w:rFonts w:ascii="Times New Roman" w:hAnsi="Times New Roman"/>
          <w:sz w:val="20"/>
        </w:rPr>
      </w:pPr>
      <w:r>
        <w:rPr>
          <w:rFonts w:ascii="Times New Roman" w:hAnsi="Times New Roman"/>
          <w:color w:val="000000"/>
          <w:sz w:val="19"/>
        </w:rPr>
        <w:t>2.6.</w:t>
      </w:r>
      <w:r>
        <w:rPr>
          <w:rFonts w:ascii="Times New Roman" w:hAnsi="Times New Roman"/>
          <w:color w:val="000000"/>
          <w:sz w:val="20"/>
        </w:rPr>
        <w:t xml:space="preserve"> “</w:t>
      </w:r>
      <w:r>
        <w:rPr>
          <w:rFonts w:ascii="Times New Roman" w:hAnsi="Times New Roman"/>
          <w:color w:val="000000"/>
          <w:sz w:val="19"/>
        </w:rPr>
        <w:t>Code”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224" w:after="283"/>
        <w:jc w:val="both"/>
        <w:rPr>
          <w:rFonts w:ascii="Times New Roman" w:hAnsi="Times New Roman"/>
          <w:sz w:val="20"/>
        </w:rPr>
      </w:pPr>
      <w:r>
        <w:rPr>
          <w:rFonts w:ascii="Times New Roman" w:hAnsi="Times New Roman"/>
          <w:color w:val="000000"/>
          <w:sz w:val="19"/>
        </w:rPr>
        <w:t>2.7.</w:t>
      </w:r>
      <w:r>
        <w:rPr>
          <w:rFonts w:ascii="Times New Roman" w:hAnsi="Times New Roman"/>
          <w:color w:val="000000"/>
          <w:sz w:val="20"/>
        </w:rPr>
        <w:t xml:space="preserve"> “</w:t>
      </w:r>
      <w:r>
        <w:rPr>
          <w:rFonts w:ascii="Times New Roman" w:hAnsi="Times New Roman"/>
          <w:color w:val="000000"/>
          <w:sz w:val="19"/>
        </w:rPr>
        <w:t>Company” means Standard BioTools Inc. and any successor that assumes the obligations of the Company under the Plan by way of merger, acquisition, consolidation or other transaction.</w:t>
      </w:r>
    </w:p>
    <w:p>
      <w:pPr>
        <w:pStyle w:val="TextBody"/>
        <w:bidi w:val="0"/>
        <w:spacing w:before="227" w:after="283"/>
        <w:jc w:val="left"/>
        <w:rPr>
          <w:rFonts w:ascii="Times New Roman" w:hAnsi="Times New Roman"/>
          <w:sz w:val="20"/>
        </w:rPr>
      </w:pPr>
      <w:r>
        <w:rPr>
          <w:rFonts w:ascii="Times New Roman" w:hAnsi="Times New Roman"/>
          <w:color w:val="000000"/>
          <w:sz w:val="19"/>
        </w:rPr>
        <w:t>2.8.</w:t>
      </w:r>
      <w:r>
        <w:rPr>
          <w:rFonts w:ascii="Times New Roman" w:hAnsi="Times New Roman"/>
          <w:color w:val="000000"/>
          <w:sz w:val="20"/>
        </w:rPr>
        <w:t xml:space="preserve"> “</w:t>
      </w:r>
      <w:r>
        <w:rPr>
          <w:rFonts w:ascii="Times New Roman" w:hAnsi="Times New Roman"/>
          <w:color w:val="000000"/>
          <w:sz w:val="19"/>
        </w:rPr>
        <w:t>Disability” means that Participant has been unable to perform his or her Company duties as the result of Participant’s incapacity due to physical or mental illness, and such inability, at least twenty-six (26) weeks after its commencement, is determined to be total and permanent by a physician selected by the Company or its insurers and acceptable to Participant or Participant’s legal representative (such agreement as to acceptability not to be unreasonably withheld). Termination resulting from Disability may only be effected after at least 30 days’ written notice by the Company of its intention to terminate Participant’s employment. In the event that Participant resumes the performance of substantially all of his or her duties hereunder before the termination of employment becomes effective, the notice of intent to terminate will automatically be deemed to have been revoked.</w:t>
      </w:r>
    </w:p>
    <w:p>
      <w:pPr>
        <w:pStyle w:val="TextBody"/>
        <w:bidi w:val="0"/>
        <w:spacing w:before="291" w:after="283"/>
        <w:jc w:val="both"/>
        <w:rPr>
          <w:rFonts w:ascii="Times New Roman" w:hAnsi="Times New Roman"/>
          <w:sz w:val="20"/>
        </w:rPr>
      </w:pPr>
      <w:r>
        <w:rPr>
          <w:rFonts w:ascii="Times New Roman" w:hAnsi="Times New Roman"/>
          <w:color w:val="000000"/>
          <w:sz w:val="19"/>
        </w:rPr>
        <w:t>2.9.</w:t>
      </w:r>
      <w:r>
        <w:rPr>
          <w:rFonts w:ascii="Times New Roman" w:hAnsi="Times New Roman"/>
          <w:color w:val="000000"/>
          <w:sz w:val="20"/>
        </w:rPr>
        <w:t xml:space="preserve"> “</w:t>
      </w:r>
      <w:r>
        <w:rPr>
          <w:rFonts w:ascii="Times New Roman" w:hAnsi="Times New Roman"/>
          <w:color w:val="000000"/>
          <w:sz w:val="19"/>
        </w:rPr>
        <w:t>Effective Date” means May 21, 2026, which is the date the Plan was deemed effective by the Human Capital Committee of the Board.</w:t>
      </w:r>
    </w:p>
    <w:p>
      <w:pPr>
        <w:pStyle w:val="TextBody"/>
        <w:bidi w:val="0"/>
        <w:jc w:val="center"/>
        <w:rPr>
          <w:rFonts w:ascii="Times New Roman" w:hAnsi="Times New Roman"/>
          <w:color w:val="000000"/>
          <w:sz w:val="20"/>
        </w:rPr>
      </w:pPr>
      <w:r>
        <w:rPr>
          <w:rFonts w:ascii="Times New Roman" w:hAnsi="Times New Roman"/>
          <w:color w:val="000000"/>
          <w:sz w:val="20"/>
        </w:rPr>
        <w:t>A - 2</w:t>
      </w:r>
    </w:p>
    <w:p>
      <w:pPr>
        <w:pStyle w:val="HorizontalLine"/>
        <w:pBdr>
          <w:bottom w:val="double" w:sz="2" w:space="0" w:color="808080"/>
        </w:pBdr>
        <w:bidi w:val="0"/>
        <w:spacing w:before="0" w:after="283"/>
        <w:jc w:val="left"/>
        <w:rPr/>
      </w:pPr>
      <w:r>
        <w:rPr/>
      </w:r>
    </w:p>
    <w:p>
      <w:pPr>
        <w:pStyle w:val="TextBody"/>
        <w:bidi w:val="0"/>
        <w:spacing w:before="222" w:after="283"/>
        <w:jc w:val="both"/>
        <w:rPr>
          <w:rFonts w:ascii="Times New Roman" w:hAnsi="Times New Roman"/>
          <w:sz w:val="20"/>
        </w:rPr>
      </w:pPr>
      <w:r>
        <w:rPr>
          <w:rFonts w:ascii="Times New Roman" w:hAnsi="Times New Roman"/>
          <w:color w:val="000000"/>
          <w:sz w:val="19"/>
        </w:rPr>
        <w:t>2.10.</w:t>
      </w:r>
      <w:r>
        <w:rPr>
          <w:rFonts w:ascii="Times New Roman" w:hAnsi="Times New Roman"/>
          <w:color w:val="000000"/>
          <w:sz w:val="20"/>
        </w:rPr>
        <w:t xml:space="preserve"> “</w:t>
      </w:r>
      <w:r>
        <w:rPr>
          <w:rFonts w:ascii="Times New Roman" w:hAnsi="Times New Roman"/>
          <w:color w:val="000000"/>
          <w:sz w:val="19"/>
        </w:rPr>
        <w:t>Exchange Act” means the U.S. Securities Exchange Act of 1934, as amended.</w:t>
      </w:r>
    </w:p>
    <w:p>
      <w:pPr>
        <w:pStyle w:val="TextBody"/>
        <w:bidi w:val="0"/>
        <w:spacing w:before="229" w:after="283"/>
        <w:jc w:val="both"/>
        <w:rPr>
          <w:rFonts w:ascii="Times New Roman" w:hAnsi="Times New Roman"/>
          <w:sz w:val="20"/>
        </w:rPr>
      </w:pPr>
      <w:r>
        <w:rPr>
          <w:rFonts w:ascii="Times New Roman" w:hAnsi="Times New Roman"/>
          <w:color w:val="000000"/>
          <w:sz w:val="19"/>
        </w:rPr>
        <w:t>2.11.</w:t>
      </w:r>
      <w:r>
        <w:rPr>
          <w:rFonts w:ascii="Times New Roman" w:hAnsi="Times New Roman"/>
          <w:color w:val="000000"/>
          <w:sz w:val="20"/>
        </w:rPr>
        <w:t xml:space="preserve"> “</w:t>
      </w:r>
      <w:r>
        <w:rPr>
          <w:rFonts w:ascii="Times New Roman" w:hAnsi="Times New Roman"/>
          <w:color w:val="000000"/>
          <w:sz w:val="19"/>
        </w:rPr>
        <w:t>Equity Awards” means a Participant’s outstanding stock options, stock appreciation rights, restricted stock, restricted stock units, performance shares, performance stock units, and any other Company equity compensation awards.</w:t>
      </w:r>
    </w:p>
    <w:p>
      <w:pPr>
        <w:pStyle w:val="TextBody"/>
        <w:bidi w:val="0"/>
        <w:spacing w:before="230" w:after="283"/>
        <w:jc w:val="both"/>
        <w:rPr>
          <w:rFonts w:ascii="Times New Roman" w:hAnsi="Times New Roman"/>
          <w:sz w:val="20"/>
        </w:rPr>
      </w:pPr>
      <w:r>
        <w:rPr>
          <w:rFonts w:ascii="Times New Roman" w:hAnsi="Times New Roman"/>
          <w:color w:val="000000"/>
          <w:sz w:val="19"/>
        </w:rPr>
        <w:t>2.12.</w:t>
      </w:r>
      <w:r>
        <w:rPr>
          <w:rFonts w:ascii="Times New Roman" w:hAnsi="Times New Roman"/>
          <w:color w:val="000000"/>
          <w:sz w:val="20"/>
        </w:rPr>
        <w:t xml:space="preserve"> “</w:t>
      </w:r>
      <w:r>
        <w:rPr>
          <w:rFonts w:ascii="Times New Roman" w:hAnsi="Times New Roman"/>
          <w:color w:val="000000"/>
          <w:sz w:val="19"/>
        </w:rPr>
        <w:t>Good Reason” has the meaning set forth in the Participant’s Participation Agreement.</w:t>
      </w:r>
    </w:p>
    <w:p>
      <w:pPr>
        <w:pStyle w:val="TextBody"/>
        <w:bidi w:val="0"/>
        <w:spacing w:before="230" w:after="283"/>
        <w:jc w:val="both"/>
        <w:rPr>
          <w:rFonts w:ascii="Times New Roman" w:hAnsi="Times New Roman"/>
          <w:sz w:val="20"/>
        </w:rPr>
      </w:pPr>
      <w:r>
        <w:rPr>
          <w:rFonts w:ascii="Times New Roman" w:hAnsi="Times New Roman"/>
          <w:color w:val="000000"/>
          <w:sz w:val="19"/>
        </w:rPr>
        <w:t>2.13.</w:t>
      </w:r>
      <w:r>
        <w:rPr>
          <w:rFonts w:ascii="Times New Roman" w:hAnsi="Times New Roman"/>
          <w:color w:val="000000"/>
          <w:sz w:val="20"/>
        </w:rPr>
        <w:t xml:space="preserve"> “</w:t>
      </w:r>
      <w:r>
        <w:rPr>
          <w:rFonts w:ascii="Times New Roman" w:hAnsi="Times New Roman"/>
          <w:color w:val="000000"/>
          <w:sz w:val="19"/>
        </w:rPr>
        <w:t>Involuntary Termination” means a Non-COC Involuntary Termination or a COC Involuntary Termination, in each case, under the circumstances described in Section 4 or Section 5, as applicable.</w:t>
      </w:r>
    </w:p>
    <w:p>
      <w:pPr>
        <w:pStyle w:val="TextBody"/>
        <w:bidi w:val="0"/>
        <w:spacing w:before="222" w:after="283"/>
        <w:jc w:val="both"/>
        <w:rPr>
          <w:rFonts w:ascii="Times New Roman" w:hAnsi="Times New Roman"/>
          <w:sz w:val="20"/>
        </w:rPr>
      </w:pPr>
      <w:r>
        <w:rPr>
          <w:rFonts w:ascii="Times New Roman" w:hAnsi="Times New Roman"/>
          <w:color w:val="000000"/>
          <w:sz w:val="19"/>
        </w:rPr>
        <w:t>2.14.</w:t>
      </w:r>
      <w:r>
        <w:rPr>
          <w:rFonts w:ascii="Times New Roman" w:hAnsi="Times New Roman"/>
          <w:color w:val="000000"/>
          <w:sz w:val="20"/>
        </w:rPr>
        <w:t xml:space="preserve"> “</w:t>
      </w:r>
      <w:r>
        <w:rPr>
          <w:rFonts w:ascii="Times New Roman" w:hAnsi="Times New Roman"/>
          <w:color w:val="000000"/>
          <w:sz w:val="19"/>
        </w:rPr>
        <w:t>Participant” means an employee of the Company or of any parent or subsidiary of the Company who (a) has been designated by the Administrator to participate in the Plan and (b) has timely and properly executed and delivered a Participation Agreement to the Company.</w:t>
      </w:r>
    </w:p>
    <w:p>
      <w:pPr>
        <w:pStyle w:val="TextBody"/>
        <w:bidi w:val="0"/>
        <w:spacing w:before="228" w:after="283"/>
        <w:jc w:val="both"/>
        <w:rPr>
          <w:rFonts w:ascii="Times New Roman" w:hAnsi="Times New Roman"/>
          <w:sz w:val="20"/>
        </w:rPr>
      </w:pPr>
      <w:r>
        <w:rPr>
          <w:rFonts w:ascii="Times New Roman" w:hAnsi="Times New Roman"/>
          <w:color w:val="000000"/>
          <w:sz w:val="19"/>
        </w:rPr>
        <w:t>2.15.</w:t>
      </w:r>
      <w:r>
        <w:rPr>
          <w:rFonts w:ascii="Times New Roman" w:hAnsi="Times New Roman"/>
          <w:color w:val="000000"/>
          <w:sz w:val="20"/>
        </w:rPr>
        <w:t xml:space="preserve"> “</w:t>
      </w:r>
      <w:r>
        <w:rPr>
          <w:rFonts w:ascii="Times New Roman" w:hAnsi="Times New Roman"/>
          <w:color w:val="000000"/>
          <w:sz w:val="19"/>
        </w:rPr>
        <w:t xml:space="preserve">Participation Agreement” means the individual agreement (as will be provided in separate cover as </w:t>
      </w:r>
      <w:r>
        <w:rPr>
          <w:rFonts w:ascii="Times New Roman" w:hAnsi="Times New Roman"/>
          <w:color w:val="000000"/>
          <w:sz w:val="19"/>
          <w:u w:val="single"/>
        </w:rPr>
        <w:t>Appendix A</w:t>
      </w:r>
      <w:r>
        <w:rPr>
          <w:rFonts w:ascii="Times New Roman" w:hAnsi="Times New Roman"/>
          <w:color w:val="000000"/>
          <w:sz w:val="19"/>
        </w:rPr>
        <w:t>) provided by the Administrator to a Participant under the Plan, which has been signed and accepted by the Participant.</w:t>
      </w:r>
    </w:p>
    <w:p>
      <w:pPr>
        <w:pStyle w:val="TextBody"/>
        <w:bidi w:val="0"/>
        <w:spacing w:before="222" w:after="283"/>
        <w:jc w:val="both"/>
        <w:rPr>
          <w:rFonts w:ascii="Times New Roman" w:hAnsi="Times New Roman"/>
          <w:sz w:val="20"/>
        </w:rPr>
      </w:pPr>
      <w:r>
        <w:rPr>
          <w:rFonts w:ascii="Times New Roman" w:hAnsi="Times New Roman"/>
          <w:color w:val="000000"/>
          <w:sz w:val="19"/>
        </w:rPr>
        <w:t>2.16.</w:t>
      </w:r>
      <w:r>
        <w:rPr>
          <w:rFonts w:ascii="Times New Roman" w:hAnsi="Times New Roman"/>
          <w:color w:val="000000"/>
          <w:sz w:val="20"/>
        </w:rPr>
        <w:t xml:space="preserve"> “</w:t>
      </w:r>
      <w:r>
        <w:rPr>
          <w:rFonts w:ascii="Times New Roman" w:hAnsi="Times New Roman"/>
          <w:color w:val="000000"/>
          <w:sz w:val="19"/>
        </w:rPr>
        <w:t>Plan” means the Standard BioTools Inc. 2026 Change of Control and Severance Plan as set forth in this document and as hereafter amended from time to time.</w:t>
      </w:r>
    </w:p>
    <w:p>
      <w:pPr>
        <w:pStyle w:val="TextBody"/>
        <w:bidi w:val="0"/>
        <w:spacing w:before="231" w:after="283"/>
        <w:jc w:val="both"/>
        <w:rPr>
          <w:rFonts w:ascii="Times New Roman" w:hAnsi="Times New Roman"/>
          <w:sz w:val="20"/>
        </w:rPr>
      </w:pPr>
      <w:r>
        <w:rPr>
          <w:rFonts w:ascii="Times New Roman" w:hAnsi="Times New Roman"/>
          <w:color w:val="000000"/>
          <w:sz w:val="19"/>
        </w:rPr>
        <w:t>2.17.</w:t>
      </w:r>
      <w:r>
        <w:rPr>
          <w:rFonts w:ascii="Times New Roman" w:hAnsi="Times New Roman"/>
          <w:color w:val="000000"/>
          <w:sz w:val="20"/>
        </w:rPr>
        <w:t xml:space="preserve"> “</w:t>
      </w:r>
      <w:r>
        <w:rPr>
          <w:rFonts w:ascii="Times New Roman" w:hAnsi="Times New Roman"/>
          <w:b/>
          <w:color w:val="000000"/>
          <w:sz w:val="19"/>
        </w:rPr>
        <w:t>Section 409A</w:t>
      </w:r>
      <w:r>
        <w:rPr>
          <w:rFonts w:ascii="Times New Roman" w:hAnsi="Times New Roman"/>
          <w:color w:val="000000"/>
          <w:sz w:val="20"/>
        </w:rPr>
        <w:t xml:space="preserve">” </w:t>
      </w:r>
      <w:r>
        <w:rPr>
          <w:rFonts w:ascii="Times New Roman" w:hAnsi="Times New Roman"/>
          <w:color w:val="000000"/>
          <w:sz w:val="19"/>
        </w:rPr>
        <w:t>means Section 409A of the Code and the final regulations and any guidance promulgated thereunder.</w:t>
      </w:r>
    </w:p>
    <w:p>
      <w:pPr>
        <w:pStyle w:val="TextBody"/>
        <w:bidi w:val="0"/>
        <w:spacing w:before="231" w:after="283"/>
        <w:jc w:val="both"/>
        <w:rPr>
          <w:rFonts w:ascii="Times New Roman" w:hAnsi="Times New Roman"/>
          <w:sz w:val="20"/>
        </w:rPr>
      </w:pPr>
      <w:r>
        <w:rPr>
          <w:rFonts w:ascii="Times New Roman" w:hAnsi="Times New Roman"/>
          <w:color w:val="000000"/>
          <w:sz w:val="19"/>
        </w:rPr>
        <w:t>2.18.</w:t>
      </w:r>
      <w:r>
        <w:rPr>
          <w:rFonts w:ascii="Times New Roman" w:hAnsi="Times New Roman"/>
          <w:color w:val="000000"/>
          <w:sz w:val="20"/>
        </w:rPr>
        <w:t xml:space="preserve"> “</w:t>
      </w:r>
      <w:r>
        <w:rPr>
          <w:rFonts w:ascii="Times New Roman" w:hAnsi="Times New Roman"/>
          <w:color w:val="000000"/>
          <w:sz w:val="19"/>
        </w:rPr>
        <w:t>Section 409A Limit” means two (2) times the lesser of: (i) the Participant’s annualized compensation based upon the annual rate of pay paid to the Participant during the taxable year preceding the taxable year of the Participant’s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the Participant’s employment is terminated.</w:t>
      </w:r>
    </w:p>
    <w:p>
      <w:pPr>
        <w:pStyle w:val="TextBody"/>
        <w:bidi w:val="0"/>
        <w:spacing w:before="223" w:after="283"/>
        <w:jc w:val="both"/>
        <w:rPr>
          <w:rFonts w:ascii="Times New Roman" w:hAnsi="Times New Roman"/>
          <w:sz w:val="20"/>
        </w:rPr>
      </w:pPr>
      <w:r>
        <w:rPr>
          <w:rFonts w:ascii="Times New Roman" w:hAnsi="Times New Roman"/>
          <w:color w:val="000000"/>
          <w:sz w:val="19"/>
        </w:rPr>
        <w:t>2.19.</w:t>
      </w:r>
      <w:r>
        <w:rPr>
          <w:rFonts w:ascii="Times New Roman" w:hAnsi="Times New Roman"/>
          <w:color w:val="000000"/>
          <w:sz w:val="20"/>
        </w:rPr>
        <w:t xml:space="preserve"> “</w:t>
      </w:r>
      <w:r>
        <w:rPr>
          <w:rFonts w:ascii="Times New Roman" w:hAnsi="Times New Roman"/>
          <w:color w:val="000000"/>
          <w:sz w:val="19"/>
        </w:rPr>
        <w:t>Severance Benefits” means the compensation and other benefits that the Participant will be provided in the circumstances described in Section 4 or Section 5 of the Plan, as applicable.</w:t>
      </w:r>
    </w:p>
    <w:p>
      <w:pPr>
        <w:pStyle w:val="TextBody"/>
        <w:bidi w:val="0"/>
        <w:spacing w:before="292" w:after="283"/>
        <w:jc w:val="both"/>
        <w:rPr>
          <w:rFonts w:ascii="Tahoma;sans-serif" w:hAnsi="Tahoma;sans-serif"/>
          <w:color w:val="000000"/>
          <w:sz w:val="19"/>
        </w:rPr>
      </w:pPr>
      <w:r>
        <w:rPr>
          <w:rFonts w:ascii="Tahoma;sans-serif" w:hAnsi="Tahoma;sans-serif"/>
          <w:color w:val="000000"/>
          <w:sz w:val="19"/>
        </w:rPr>
        <w:t>3.</w:t>
      </w:r>
    </w:p>
    <w:p>
      <w:pPr>
        <w:pStyle w:val="TextBody"/>
        <w:bidi w:val="0"/>
        <w:spacing w:before="292" w:after="283"/>
        <w:jc w:val="both"/>
        <w:rPr>
          <w:rFonts w:ascii="Times New Roman" w:hAnsi="Times New Roman"/>
          <w:color w:val="000000"/>
          <w:sz w:val="19"/>
        </w:rPr>
      </w:pPr>
      <w:r>
        <w:rPr>
          <w:rFonts w:ascii="Times New Roman" w:hAnsi="Times New Roman"/>
          <w:color w:val="000000"/>
          <w:sz w:val="19"/>
        </w:rPr>
        <w:t>Eligibility for Severance Benefits. An individual is eligible for Severance Benefits under the Plan, as described in Section 4 or Section 5, as applicable, only if he or she experiences an Involuntary Termination.</w:t>
      </w:r>
    </w:p>
    <w:p>
      <w:pPr>
        <w:pStyle w:val="TextBody"/>
        <w:bidi w:val="0"/>
        <w:spacing w:before="228" w:after="283"/>
        <w:jc w:val="both"/>
        <w:rPr>
          <w:rFonts w:ascii="Tahoma;sans-serif" w:hAnsi="Tahoma;sans-serif"/>
          <w:color w:val="000000"/>
          <w:sz w:val="19"/>
        </w:rPr>
      </w:pPr>
      <w:r>
        <w:rPr>
          <w:rFonts w:ascii="Tahoma;sans-serif" w:hAnsi="Tahoma;sans-serif"/>
          <w:color w:val="000000"/>
          <w:sz w:val="19"/>
        </w:rPr>
        <w:t>4.</w:t>
      </w:r>
    </w:p>
    <w:p>
      <w:pPr>
        <w:pStyle w:val="TextBody"/>
        <w:bidi w:val="0"/>
        <w:spacing w:before="228" w:after="283"/>
        <w:jc w:val="both"/>
        <w:rPr/>
      </w:pPr>
      <w:r>
        <w:rPr>
          <w:rFonts w:ascii="Times New Roman" w:hAnsi="Times New Roman"/>
          <w:color w:val="000000"/>
          <w:sz w:val="19"/>
        </w:rPr>
        <w:t>Involuntary Termination Outside the Change of Control Period. If, outside of the Change of Control Period, the Company (or any parent or subsidiary of the Company) terminates the Participant’s employment for a reason other than for Cause, the Participant’s death or Disability (a “</w:t>
      </w:r>
      <w:r>
        <w:rPr>
          <w:rFonts w:ascii="Times New Roman" w:hAnsi="Times New Roman"/>
          <w:b/>
          <w:color w:val="000000"/>
          <w:sz w:val="19"/>
        </w:rPr>
        <w:t>Non-COC Involuntary Termination</w:t>
      </w:r>
      <w:r>
        <w:rPr>
          <w:color w:val="000000"/>
        </w:rPr>
        <w:t>”</w:t>
      </w:r>
      <w:r>
        <w:rPr>
          <w:rFonts w:ascii="Times New Roman" w:hAnsi="Times New Roman"/>
          <w:color w:val="000000"/>
          <w:sz w:val="19"/>
        </w:rPr>
        <w:t>), subject to the Participant’s compliance with Section 7, the Participant will receive the following Severance Benefits:</w:t>
      </w:r>
    </w:p>
    <w:p>
      <w:pPr>
        <w:pStyle w:val="TextBody"/>
        <w:bidi w:val="0"/>
        <w:spacing w:before="224" w:after="283"/>
        <w:jc w:val="both"/>
        <w:rPr>
          <w:rFonts w:ascii="Times New Roman" w:hAnsi="Times New Roman"/>
          <w:sz w:val="20"/>
        </w:rPr>
      </w:pPr>
      <w:r>
        <w:rPr>
          <w:rFonts w:ascii="Times New Roman" w:hAnsi="Times New Roman"/>
          <w:color w:val="000000"/>
          <w:sz w:val="19"/>
        </w:rPr>
        <w:t>4.1.</w:t>
      </w:r>
      <w:r>
        <w:rPr>
          <w:rFonts w:ascii="Times New Roman" w:hAnsi="Times New Roman"/>
          <w:color w:val="000000"/>
          <w:sz w:val="20"/>
        </w:rPr>
        <w:t xml:space="preserve"> </w:t>
      </w:r>
      <w:r>
        <w:rPr>
          <w:rFonts w:ascii="Times New Roman" w:hAnsi="Times New Roman"/>
          <w:color w:val="000000"/>
          <w:sz w:val="19"/>
        </w:rPr>
        <w:t>Cash Severance Benefits. Continued payments of cash severance and/or a bonus payment for the periods set forth in the Participant’s Participation Agreement;</w:t>
      </w:r>
    </w:p>
    <w:p>
      <w:pPr>
        <w:pStyle w:val="TextBody"/>
        <w:bidi w:val="0"/>
        <w:spacing w:before="233" w:after="283"/>
        <w:jc w:val="both"/>
        <w:rPr>
          <w:rFonts w:ascii="Times New Roman" w:hAnsi="Times New Roman"/>
          <w:sz w:val="20"/>
        </w:rPr>
      </w:pPr>
      <w:r>
        <w:rPr>
          <w:rFonts w:ascii="Times New Roman" w:hAnsi="Times New Roman"/>
          <w:color w:val="000000"/>
          <w:sz w:val="19"/>
        </w:rPr>
        <w:t>4.2.</w:t>
      </w:r>
      <w:r>
        <w:rPr>
          <w:rFonts w:ascii="Times New Roman" w:hAnsi="Times New Roman"/>
          <w:color w:val="000000"/>
          <w:sz w:val="20"/>
        </w:rPr>
        <w:t xml:space="preserve"> </w:t>
      </w:r>
      <w:r>
        <w:rPr>
          <w:rFonts w:ascii="Times New Roman" w:hAnsi="Times New Roman"/>
          <w:color w:val="000000"/>
          <w:sz w:val="19"/>
        </w:rPr>
        <w:t>Continued Medical Benefits. If the Participant and any spouse and/or other dependents of the Participant (“</w:t>
      </w:r>
      <w:r>
        <w:rPr>
          <w:rFonts w:ascii="Times New Roman" w:hAnsi="Times New Roman"/>
          <w:b/>
          <w:color w:val="000000"/>
          <w:sz w:val="19"/>
        </w:rPr>
        <w:t>Family Members</w:t>
      </w:r>
      <w:r>
        <w:rPr>
          <w:rFonts w:ascii="Times New Roman" w:hAnsi="Times New Roman"/>
          <w:color w:val="000000"/>
          <w:sz w:val="20"/>
        </w:rPr>
        <w:t>”</w:t>
      </w:r>
      <w:r>
        <w:rPr>
          <w:rFonts w:ascii="Times New Roman" w:hAnsi="Times New Roman"/>
          <w:color w:val="000000"/>
          <w:sz w:val="19"/>
        </w:rPr>
        <w:t>) have coverage on the date of the Participant’s Involuntary Termination under a group health plan sponsored by the Company, the Company will pay on behalf of Participant the total applicable premium cost for continued group health plan coverage under the Consolidated Omnibus Budget Reconciliation Act of 1985, as amended (“</w:t>
      </w:r>
      <w:r>
        <w:rPr>
          <w:rFonts w:ascii="Times New Roman" w:hAnsi="Times New Roman"/>
          <w:b/>
          <w:color w:val="000000"/>
          <w:sz w:val="19"/>
        </w:rPr>
        <w:t>COBRA</w:t>
      </w:r>
      <w:r>
        <w:rPr>
          <w:rFonts w:ascii="Times New Roman" w:hAnsi="Times New Roman"/>
          <w:color w:val="000000"/>
          <w:sz w:val="20"/>
        </w:rPr>
        <w:t>”</w:t>
      </w:r>
      <w:r>
        <w:rPr>
          <w:rFonts w:ascii="Times New Roman" w:hAnsi="Times New Roman"/>
          <w:color w:val="000000"/>
          <w:sz w:val="19"/>
        </w:rPr>
        <w:t>) during the period of time following the Participant’s employment termination, as set forth in the Participant’s Participation Agreement, provided that the Participant validly elects and is eligible to continue coverage under COBRA for the Participant and any such Family Members; and</w:t>
      </w:r>
    </w:p>
    <w:p>
      <w:pPr>
        <w:pStyle w:val="TextBody"/>
        <w:bidi w:val="0"/>
        <w:spacing w:before="228" w:after="283"/>
        <w:jc w:val="both"/>
        <w:rPr>
          <w:rFonts w:ascii="Times New Roman" w:hAnsi="Times New Roman"/>
          <w:sz w:val="20"/>
        </w:rPr>
      </w:pPr>
      <w:r>
        <w:rPr>
          <w:rFonts w:ascii="Times New Roman" w:hAnsi="Times New Roman"/>
          <w:color w:val="000000"/>
          <w:sz w:val="19"/>
        </w:rPr>
        <w:t>4.3.</w:t>
      </w:r>
      <w:r>
        <w:rPr>
          <w:rFonts w:ascii="Times New Roman" w:hAnsi="Times New Roman"/>
          <w:color w:val="000000"/>
          <w:sz w:val="20"/>
        </w:rPr>
        <w:t xml:space="preserve"> </w:t>
      </w:r>
      <w:r>
        <w:rPr>
          <w:rFonts w:ascii="Times New Roman" w:hAnsi="Times New Roman"/>
          <w:color w:val="000000"/>
          <w:sz w:val="19"/>
        </w:rPr>
        <w:t>Outplacement Services. Reasonable outplacement services in accordance with any applicable Company policy in effect as of the Participant’s Non-COC Involuntary Termination (or if no such policy is in effect, as determined by the Company, in its sole discretion).</w:t>
      </w:r>
    </w:p>
    <w:p>
      <w:pPr>
        <w:pStyle w:val="TextBody"/>
        <w:bidi w:val="0"/>
        <w:jc w:val="center"/>
        <w:rPr>
          <w:rFonts w:ascii="Times New Roman" w:hAnsi="Times New Roman"/>
          <w:color w:val="000000"/>
          <w:sz w:val="20"/>
        </w:rPr>
      </w:pPr>
      <w:r>
        <w:rPr>
          <w:rFonts w:ascii="Times New Roman" w:hAnsi="Times New Roman"/>
          <w:color w:val="000000"/>
          <w:sz w:val="20"/>
        </w:rPr>
        <w:t>A - 3</w:t>
      </w:r>
    </w:p>
    <w:p>
      <w:pPr>
        <w:pStyle w:val="HorizontalLine"/>
        <w:pBdr>
          <w:bottom w:val="double" w:sz="2" w:space="0" w:color="808080"/>
        </w:pBdr>
        <w:bidi w:val="0"/>
        <w:spacing w:before="0" w:after="283"/>
        <w:jc w:val="left"/>
        <w:rPr/>
      </w:pPr>
      <w:r>
        <w:rPr/>
      </w:r>
    </w:p>
    <w:p>
      <w:pPr>
        <w:pStyle w:val="TextBody"/>
        <w:bidi w:val="0"/>
        <w:spacing w:before="232" w:after="283"/>
        <w:jc w:val="both"/>
        <w:rPr>
          <w:rFonts w:ascii="Tahoma;sans-serif" w:hAnsi="Tahoma;sans-serif"/>
          <w:color w:val="000000"/>
          <w:sz w:val="19"/>
        </w:rPr>
      </w:pPr>
      <w:r>
        <w:rPr>
          <w:rFonts w:ascii="Tahoma;sans-serif" w:hAnsi="Tahoma;sans-serif"/>
          <w:color w:val="000000"/>
          <w:sz w:val="19"/>
        </w:rPr>
        <w:t>5.</w:t>
      </w:r>
    </w:p>
    <w:p>
      <w:pPr>
        <w:pStyle w:val="TextBody"/>
        <w:bidi w:val="0"/>
        <w:spacing w:before="232" w:after="283"/>
        <w:jc w:val="both"/>
        <w:rPr/>
      </w:pPr>
      <w:r>
        <w:rPr>
          <w:rFonts w:ascii="Times New Roman" w:hAnsi="Times New Roman"/>
          <w:color w:val="000000"/>
          <w:sz w:val="19"/>
        </w:rPr>
        <w:t>Involuntary Termination During the Change of Control Period. If, during the Change of Control Period, (i) a Participant terminates his or her employment with the Company (or any parent or subsidiary of the Company) for Good Reason, or (ii) the Company (or any parent or subsidiary of the Company) terminates the Participant’s employment for a reason other than Cause or the Participant’s death or Disability (a “</w:t>
      </w:r>
      <w:r>
        <w:rPr>
          <w:rFonts w:ascii="Times New Roman" w:hAnsi="Times New Roman"/>
          <w:b/>
          <w:color w:val="000000"/>
          <w:sz w:val="19"/>
        </w:rPr>
        <w:t>COC Involuntary Termination</w:t>
      </w:r>
      <w:r>
        <w:rPr>
          <w:color w:val="000000"/>
        </w:rPr>
        <w:t>”</w:t>
      </w:r>
      <w:r>
        <w:rPr>
          <w:rFonts w:ascii="Times New Roman" w:hAnsi="Times New Roman"/>
          <w:color w:val="000000"/>
          <w:sz w:val="19"/>
        </w:rPr>
        <w:t>), then, in each case, subject to the Participant’s compliance with Section 7, the Participant will receive the following Severance Benefits:</w:t>
      </w:r>
    </w:p>
    <w:p>
      <w:pPr>
        <w:pStyle w:val="TextBody"/>
        <w:bidi w:val="0"/>
        <w:spacing w:before="230" w:after="283"/>
        <w:jc w:val="both"/>
        <w:rPr>
          <w:rFonts w:ascii="Times New Roman" w:hAnsi="Times New Roman"/>
          <w:sz w:val="20"/>
        </w:rPr>
      </w:pPr>
      <w:r>
        <w:rPr>
          <w:rFonts w:ascii="Times New Roman" w:hAnsi="Times New Roman"/>
          <w:color w:val="000000"/>
          <w:sz w:val="19"/>
        </w:rPr>
        <w:t>5.1.</w:t>
      </w:r>
      <w:r>
        <w:rPr>
          <w:rFonts w:ascii="Times New Roman" w:hAnsi="Times New Roman"/>
          <w:color w:val="000000"/>
          <w:sz w:val="20"/>
        </w:rPr>
        <w:t xml:space="preserve"> </w:t>
      </w:r>
      <w:r>
        <w:rPr>
          <w:rFonts w:ascii="Times New Roman" w:hAnsi="Times New Roman"/>
          <w:color w:val="000000"/>
          <w:sz w:val="19"/>
        </w:rPr>
        <w:t>Cash Severance Benefits. A lump-sum payment of cash severance and/or bonus equal to the amount set forth in the Participant’s Participation Agreement;</w:t>
      </w:r>
    </w:p>
    <w:p>
      <w:pPr>
        <w:pStyle w:val="TextBody"/>
        <w:bidi w:val="0"/>
        <w:spacing w:before="228" w:after="283"/>
        <w:jc w:val="both"/>
        <w:rPr>
          <w:rFonts w:ascii="Times New Roman" w:hAnsi="Times New Roman"/>
          <w:sz w:val="20"/>
        </w:rPr>
      </w:pPr>
      <w:r>
        <w:rPr>
          <w:rFonts w:ascii="Times New Roman" w:hAnsi="Times New Roman"/>
          <w:color w:val="000000"/>
          <w:sz w:val="19"/>
        </w:rPr>
        <w:t>5.2.</w:t>
      </w:r>
      <w:r>
        <w:rPr>
          <w:rFonts w:ascii="Times New Roman" w:hAnsi="Times New Roman"/>
          <w:color w:val="000000"/>
          <w:sz w:val="20"/>
        </w:rPr>
        <w:t xml:space="preserve"> </w:t>
      </w:r>
      <w:r>
        <w:rPr>
          <w:rFonts w:ascii="Times New Roman" w:hAnsi="Times New Roman"/>
          <w:color w:val="000000"/>
          <w:sz w:val="19"/>
        </w:rPr>
        <w:t>Equity Award Vesting Acceleration Benefit. The Participant’s Equity Awards will accelerate and vest to the amount set forth in the Participant’s Participation Agreement, as applicable;</w:t>
      </w:r>
    </w:p>
    <w:p>
      <w:pPr>
        <w:pStyle w:val="TextBody"/>
        <w:bidi w:val="0"/>
        <w:spacing w:before="290" w:after="283"/>
        <w:jc w:val="both"/>
        <w:rPr>
          <w:rFonts w:ascii="Times New Roman" w:hAnsi="Times New Roman"/>
          <w:sz w:val="20"/>
        </w:rPr>
      </w:pPr>
      <w:r>
        <w:rPr>
          <w:rFonts w:ascii="Times New Roman" w:hAnsi="Times New Roman"/>
          <w:color w:val="000000"/>
          <w:sz w:val="19"/>
        </w:rPr>
        <w:t>5.3.</w:t>
      </w:r>
      <w:r>
        <w:rPr>
          <w:rFonts w:ascii="Times New Roman" w:hAnsi="Times New Roman"/>
          <w:color w:val="000000"/>
          <w:sz w:val="20"/>
        </w:rPr>
        <w:t xml:space="preserve"> </w:t>
      </w:r>
      <w:r>
        <w:rPr>
          <w:rFonts w:ascii="Times New Roman" w:hAnsi="Times New Roman"/>
          <w:color w:val="000000"/>
          <w:sz w:val="19"/>
        </w:rPr>
        <w:t>Continued Medical Benefits. If the Participant, and any Family Member(s) has/have coverage on the date of the Participant’s Involuntary Termination under a group health plan sponsored by the Company, the Company will pay on behalf of Participant the total applicable premium cost for continued group health plan coverage under the COBRA during the period of time following the Participant’s employment termination, as set forth in the Participant’s Participation Agreement, provided that the Participant validly elects and is eligible to continue coverage under COBRA for the Participant and his or her Family Members; and</w:t>
      </w:r>
    </w:p>
    <w:p>
      <w:pPr>
        <w:pStyle w:val="TextBody"/>
        <w:bidi w:val="0"/>
        <w:spacing w:before="225" w:after="283"/>
        <w:jc w:val="both"/>
        <w:rPr>
          <w:rFonts w:ascii="Times New Roman" w:hAnsi="Times New Roman"/>
          <w:sz w:val="20"/>
        </w:rPr>
      </w:pPr>
      <w:r>
        <w:rPr>
          <w:rFonts w:ascii="Times New Roman" w:hAnsi="Times New Roman"/>
          <w:color w:val="000000"/>
          <w:sz w:val="19"/>
        </w:rPr>
        <w:t>5.4.</w:t>
      </w:r>
      <w:r>
        <w:rPr>
          <w:rFonts w:ascii="Times New Roman" w:hAnsi="Times New Roman"/>
          <w:color w:val="000000"/>
          <w:sz w:val="20"/>
        </w:rPr>
        <w:t xml:space="preserve"> </w:t>
      </w:r>
      <w:r>
        <w:rPr>
          <w:rFonts w:ascii="Times New Roman" w:hAnsi="Times New Roman"/>
          <w:color w:val="000000"/>
          <w:sz w:val="19"/>
        </w:rPr>
        <w:t>Outplacement Services. Reasonable outplacement services in accordance with any applicable Company policy in effect as of the Participant’s COC Involuntary Termination (or if no such policy is in effect, as determined by the Company, in its sole discretion); provided, however, that such outplacement services shall be in no case less than the outplacement services provided under any applicable Company policy in effect immediately prior to the applicable Change of Control.</w:t>
      </w:r>
    </w:p>
    <w:p>
      <w:pPr>
        <w:pStyle w:val="TextBody"/>
        <w:bidi w:val="0"/>
        <w:spacing w:before="223" w:after="283"/>
        <w:jc w:val="both"/>
        <w:rPr>
          <w:rFonts w:ascii="Times New Roman" w:hAnsi="Times New Roman"/>
          <w:sz w:val="20"/>
        </w:rPr>
      </w:pPr>
      <w:r>
        <w:rPr>
          <w:rFonts w:ascii="Times New Roman" w:hAnsi="Times New Roman"/>
          <w:color w:val="000000"/>
          <w:sz w:val="19"/>
        </w:rPr>
        <w:t>6.</w:t>
      </w:r>
      <w:r>
        <w:rPr>
          <w:rFonts w:ascii="Times New Roman" w:hAnsi="Times New Roman"/>
          <w:color w:val="000000"/>
          <w:sz w:val="20"/>
        </w:rPr>
        <w:t xml:space="preserve"> </w:t>
      </w:r>
      <w:r>
        <w:rPr>
          <w:rFonts w:ascii="Times New Roman" w:hAnsi="Times New Roman"/>
          <w:color w:val="000000"/>
          <w:sz w:val="19"/>
        </w:rPr>
        <w:t>Limitation on Payments. In the event that the severance and other benefits provided for in this Plan or otherwise (“</w:t>
      </w:r>
      <w:r>
        <w:rPr>
          <w:rFonts w:ascii="Times New Roman" w:hAnsi="Times New Roman"/>
          <w:b/>
          <w:color w:val="000000"/>
          <w:sz w:val="19"/>
        </w:rPr>
        <w:t>280G Payments</w:t>
      </w:r>
      <w:r>
        <w:rPr>
          <w:rFonts w:ascii="Times New Roman" w:hAnsi="Times New Roman"/>
          <w:color w:val="000000"/>
          <w:sz w:val="20"/>
        </w:rPr>
        <w:t>”</w:t>
      </w:r>
      <w:r>
        <w:rPr>
          <w:rFonts w:ascii="Times New Roman" w:hAnsi="Times New Roman"/>
          <w:color w:val="000000"/>
          <w:sz w:val="19"/>
        </w:rPr>
        <w:t>) payable to a Participant (i) constitute “parachute payments” within the meaning of Section 280G of the Code, and (ii) but for this Section 6, would be subject to the excise tax imposed by Section 4999 of the Code, then the 280G Payments will be either:</w:t>
      </w:r>
    </w:p>
    <w:p>
      <w:pPr>
        <w:pStyle w:val="TextBody"/>
        <w:bidi w:val="0"/>
        <w:spacing w:before="138" w:after="283"/>
        <w:jc w:val="both"/>
        <w:rPr>
          <w:rFonts w:ascii="Times New Roman" w:hAnsi="Times New Roman"/>
          <w:sz w:val="20"/>
        </w:rPr>
      </w:pPr>
      <w:r>
        <w:rPr>
          <w:rFonts w:ascii="Times New Roman" w:hAnsi="Times New Roman"/>
          <w:color w:val="000000"/>
          <w:sz w:val="19"/>
        </w:rPr>
        <w:t>6.1.</w:t>
      </w:r>
      <w:r>
        <w:rPr>
          <w:rFonts w:ascii="Times New Roman" w:hAnsi="Times New Roman"/>
          <w:color w:val="000000"/>
          <w:sz w:val="20"/>
        </w:rPr>
        <w:t xml:space="preserve"> </w:t>
      </w:r>
      <w:r>
        <w:rPr>
          <w:rFonts w:ascii="Times New Roman" w:hAnsi="Times New Roman"/>
          <w:color w:val="000000"/>
          <w:sz w:val="19"/>
        </w:rPr>
        <w:t>delivered in full, or</w:t>
      </w:r>
    </w:p>
    <w:p>
      <w:pPr>
        <w:pStyle w:val="TextBody"/>
        <w:bidi w:val="0"/>
        <w:spacing w:before="80" w:after="283"/>
        <w:jc w:val="both"/>
        <w:rPr>
          <w:rFonts w:ascii="Times New Roman" w:hAnsi="Times New Roman"/>
          <w:sz w:val="20"/>
        </w:rPr>
      </w:pPr>
      <w:r>
        <w:rPr>
          <w:rFonts w:ascii="Times New Roman" w:hAnsi="Times New Roman"/>
          <w:color w:val="000000"/>
          <w:sz w:val="19"/>
        </w:rPr>
        <w:t>6.2.</w:t>
      </w:r>
      <w:r>
        <w:rPr>
          <w:rFonts w:ascii="Times New Roman" w:hAnsi="Times New Roman"/>
          <w:color w:val="000000"/>
          <w:sz w:val="20"/>
        </w:rPr>
        <w:t xml:space="preserve"> </w:t>
      </w:r>
      <w:r>
        <w:rPr>
          <w:rFonts w:ascii="Times New Roman" w:hAnsi="Times New Roman"/>
          <w:color w:val="000000"/>
          <w:sz w:val="19"/>
        </w:rPr>
        <w:t>delivered as to such lesser extent as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the Participant on an after-tax basis, of the greatest amount of benefits, notwithstanding that all or some portion of such benefits may be taxable under Section 4999. If a reduction in severance and other benefits constituting “parachute payments” is necessary so that benefits are delivered to a lesser extent, reduction will occur in the following order: (a) cancellation of awards granted “contingent on a change in ownership or control” (within the meaning of Code Section 280G); (b) a pro rata reduction of (i) cash payments that are subject to Section 409A as deferred compensation and (ii) cash payments not subject to Section 409A; (c) a pro rata reduction of (i) employee benefits that are subject to Section 409A as deferred compensation and (ii) employee benefits not subject to Section 409A; and (d) a pro rata cancellation of (i) accelerated vesting equity awards that are subject to Section 409A as deferred compensation and (ii) equity awards not subject to Section 409A. In the event that acceleration of vesting of equity awards is to be cancelled, such acceleration of vesting will be cancelled in the reverse order of the date of grant of the Participant’s equity awards. Notwithstanding the foregoing, to the extent the Company submits any payment or benefit payable to the Participant under this Plan or otherwise to the Company’s stockholders for approval in accordance with Treasury Regulation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the Participant and in the order prescribed by this Section 6.</w:t>
      </w:r>
    </w:p>
    <w:p>
      <w:pPr>
        <w:pStyle w:val="TextBody"/>
        <w:bidi w:val="0"/>
        <w:spacing w:before="222" w:after="283"/>
        <w:jc w:val="both"/>
        <w:rPr>
          <w:rFonts w:ascii="Times New Roman" w:hAnsi="Times New Roman"/>
          <w:sz w:val="20"/>
        </w:rPr>
      </w:pPr>
      <w:r>
        <w:rPr>
          <w:rFonts w:ascii="Times New Roman" w:hAnsi="Times New Roman"/>
          <w:color w:val="000000"/>
          <w:sz w:val="19"/>
        </w:rPr>
        <w:t>Unless the Participant and the Company otherwise agree in writing, any determination required under this Section 6 will be made in writing by the Company’s independent public accountants immediately prior to the Change of Control or such other person or entity to which the parties mutually agree (the “</w:t>
      </w:r>
      <w:r>
        <w:rPr>
          <w:rFonts w:ascii="Times New Roman" w:hAnsi="Times New Roman"/>
          <w:b/>
          <w:i/>
          <w:color w:val="000000"/>
          <w:sz w:val="20"/>
        </w:rPr>
        <w:t>Firm</w:t>
      </w:r>
      <w:r>
        <w:rPr>
          <w:rFonts w:ascii="Times New Roman" w:hAnsi="Times New Roman"/>
          <w:color w:val="000000"/>
          <w:sz w:val="20"/>
        </w:rPr>
        <w:t>”</w:t>
      </w:r>
      <w:r>
        <w:rPr>
          <w:rFonts w:ascii="Times New Roman" w:hAnsi="Times New Roman"/>
          <w:color w:val="000000"/>
          <w:sz w:val="19"/>
        </w:rPr>
        <w:t>), whose determination will be conclusive and binding upon the Participant and the Company. For purposes of making the calculations required by this Section 6 the Firm may make reasonable assumptions and approximations concerning applicable taxes and may rely on reasonable, good faith interpretations concerning the application of Sections 280G and 4999 of the Code. The Participant and the Company will furnish to the Firm such information and documents as the Firm may reasonably request in order to make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A - 4</w:t>
      </w:r>
    </w:p>
    <w:p>
      <w:pPr>
        <w:pStyle w:val="HorizontalLine"/>
        <w:pBdr>
          <w:bottom w:val="double" w:sz="2" w:space="0" w:color="808080"/>
        </w:pBdr>
        <w:bidi w:val="0"/>
        <w:spacing w:before="0" w:after="283"/>
        <w:jc w:val="left"/>
        <w:rPr/>
      </w:pPr>
      <w:r>
        <w:rPr/>
      </w:r>
    </w:p>
    <w:p>
      <w:pPr>
        <w:pStyle w:val="TextBody"/>
        <w:bidi w:val="0"/>
        <w:spacing w:before="222" w:after="283"/>
        <w:jc w:val="both"/>
        <w:rPr>
          <w:rFonts w:ascii="Times New Roman" w:hAnsi="Times New Roman"/>
          <w:color w:val="000000"/>
          <w:sz w:val="19"/>
        </w:rPr>
      </w:pPr>
      <w:r>
        <w:rPr>
          <w:rFonts w:ascii="Times New Roman" w:hAnsi="Times New Roman"/>
          <w:color w:val="000000"/>
          <w:sz w:val="19"/>
        </w:rPr>
        <w:t>a determination under this Section 6. The Company will bear all costs the Firm may incur in connection with any calculations contemplated by this Section 6.</w:t>
      </w:r>
    </w:p>
    <w:p>
      <w:pPr>
        <w:pStyle w:val="TextBody"/>
        <w:bidi w:val="0"/>
        <w:spacing w:before="133" w:after="283"/>
        <w:jc w:val="left"/>
        <w:rPr>
          <w:rFonts w:ascii="Tahoma;sans-serif" w:hAnsi="Tahoma;sans-serif"/>
          <w:color w:val="000000"/>
          <w:sz w:val="19"/>
        </w:rPr>
      </w:pPr>
      <w:r>
        <w:rPr>
          <w:rFonts w:ascii="Tahoma;sans-serif" w:hAnsi="Tahoma;sans-serif"/>
          <w:color w:val="000000"/>
          <w:sz w:val="19"/>
        </w:rPr>
        <w:t>7.</w:t>
      </w:r>
    </w:p>
    <w:p>
      <w:pPr>
        <w:pStyle w:val="TextBody"/>
        <w:bidi w:val="0"/>
        <w:spacing w:before="133" w:after="283"/>
        <w:jc w:val="left"/>
        <w:rPr>
          <w:rFonts w:ascii="Times New Roman" w:hAnsi="Times New Roman"/>
          <w:color w:val="000000"/>
          <w:sz w:val="19"/>
        </w:rPr>
      </w:pPr>
      <w:r>
        <w:rPr>
          <w:rFonts w:ascii="Times New Roman" w:hAnsi="Times New Roman"/>
          <w:color w:val="000000"/>
          <w:sz w:val="19"/>
        </w:rPr>
        <w:t>Conditions to Receipt of Severance.</w:t>
      </w:r>
    </w:p>
    <w:p>
      <w:pPr>
        <w:pStyle w:val="TextBody"/>
        <w:bidi w:val="0"/>
        <w:spacing w:before="89" w:after="283"/>
        <w:jc w:val="both"/>
        <w:rPr>
          <w:rFonts w:ascii="Times New Roman" w:hAnsi="Times New Roman"/>
          <w:sz w:val="20"/>
        </w:rPr>
      </w:pPr>
      <w:r>
        <w:rPr>
          <w:rFonts w:ascii="Times New Roman" w:hAnsi="Times New Roman"/>
          <w:color w:val="000000"/>
          <w:sz w:val="19"/>
        </w:rPr>
        <w:t>7.1.</w:t>
      </w:r>
      <w:r>
        <w:rPr>
          <w:rFonts w:ascii="Times New Roman" w:hAnsi="Times New Roman"/>
          <w:color w:val="000000"/>
          <w:sz w:val="20"/>
        </w:rPr>
        <w:t xml:space="preserve"> </w:t>
      </w:r>
      <w:r>
        <w:rPr>
          <w:rFonts w:ascii="Times New Roman" w:hAnsi="Times New Roman"/>
          <w:color w:val="000000"/>
          <w:sz w:val="19"/>
        </w:rPr>
        <w:t xml:space="preserve">Release Agreement. As a condition to receiving the Severance Benefits under this Plan, each Participant will be required to sign and not revoke a separation and release of claims agreement in substantially the form attached this Plan as </w:t>
      </w:r>
      <w:r>
        <w:rPr>
          <w:rFonts w:ascii="Times New Roman" w:hAnsi="Times New Roman"/>
          <w:color w:val="000000"/>
          <w:sz w:val="19"/>
          <w:u w:val="single"/>
        </w:rPr>
        <w:t>Appendix B</w:t>
      </w:r>
      <w:r>
        <w:rPr>
          <w:rFonts w:ascii="Times New Roman" w:hAnsi="Times New Roman"/>
          <w:color w:val="000000"/>
          <w:sz w:val="20"/>
        </w:rPr>
        <w:t xml:space="preserve"> </w:t>
      </w:r>
      <w:r>
        <w:rPr>
          <w:rFonts w:ascii="Times New Roman" w:hAnsi="Times New Roman"/>
          <w:color w:val="000000"/>
          <w:sz w:val="19"/>
        </w:rPr>
        <w:t>(the “</w:t>
      </w:r>
      <w:r>
        <w:rPr>
          <w:rFonts w:ascii="Times New Roman" w:hAnsi="Times New Roman"/>
          <w:b/>
          <w:i/>
          <w:color w:val="000000"/>
          <w:sz w:val="20"/>
        </w:rPr>
        <w:t>Release</w:t>
      </w:r>
      <w:r>
        <w:rPr>
          <w:rFonts w:ascii="Times New Roman" w:hAnsi="Times New Roman"/>
          <w:color w:val="000000"/>
          <w:sz w:val="20"/>
        </w:rPr>
        <w:t>”</w:t>
      </w:r>
      <w:r>
        <w:rPr>
          <w:rFonts w:ascii="Times New Roman" w:hAnsi="Times New Roman"/>
          <w:color w:val="000000"/>
          <w:sz w:val="19"/>
        </w:rPr>
        <w:t>). In all cases, the Release must become effective and irrevocable no later than the 60th day following the Participant’s Involuntary Termination (the “</w:t>
      </w:r>
      <w:r>
        <w:rPr>
          <w:rFonts w:ascii="Times New Roman" w:hAnsi="Times New Roman"/>
          <w:b/>
          <w:i/>
          <w:color w:val="000000"/>
          <w:sz w:val="20"/>
        </w:rPr>
        <w:t>Release Deadline Date</w:t>
      </w:r>
      <w:r>
        <w:rPr>
          <w:rFonts w:ascii="Times New Roman" w:hAnsi="Times New Roman"/>
          <w:color w:val="000000"/>
          <w:sz w:val="20"/>
        </w:rPr>
        <w:t>”</w:t>
      </w:r>
      <w:r>
        <w:rPr>
          <w:rFonts w:ascii="Times New Roman" w:hAnsi="Times New Roman"/>
          <w:color w:val="000000"/>
          <w:sz w:val="19"/>
        </w:rPr>
        <w:t>). If the Release does not become effective and irrevocable by the Release Deadline Date, the Participant will forfeit any right to the Severance Benefits. In no event will the Severance Benefits be paid or provided until the Release becomes effective and irrevocable.</w:t>
      </w:r>
    </w:p>
    <w:p>
      <w:pPr>
        <w:pStyle w:val="TextBody"/>
        <w:bidi w:val="0"/>
        <w:spacing w:before="224" w:after="283"/>
        <w:jc w:val="both"/>
        <w:rPr>
          <w:rFonts w:ascii="Times New Roman" w:hAnsi="Times New Roman"/>
          <w:sz w:val="20"/>
        </w:rPr>
      </w:pPr>
      <w:r>
        <w:rPr>
          <w:rFonts w:ascii="Times New Roman" w:hAnsi="Times New Roman"/>
          <w:color w:val="000000"/>
          <w:sz w:val="19"/>
        </w:rPr>
        <w:t>7.2.</w:t>
      </w:r>
      <w:r>
        <w:rPr>
          <w:rFonts w:ascii="Times New Roman" w:hAnsi="Times New Roman"/>
          <w:color w:val="000000"/>
          <w:sz w:val="20"/>
        </w:rPr>
        <w:t xml:space="preserve"> </w:t>
      </w:r>
      <w:r>
        <w:rPr>
          <w:rFonts w:ascii="Times New Roman" w:hAnsi="Times New Roman"/>
          <w:color w:val="000000"/>
          <w:sz w:val="19"/>
        </w:rPr>
        <w:t>Other Requirements. A Participant’s receipt of Severance Benefits will be subject to the Participant continuing to comply with the provisions of this Section 7 and the terms of any confidentiality, proprietary information and inventions agreement and such other appropriate agreement between the Participant and the Company. Severance Benefits under this Plan will terminate immediately for a Participant if the Participant, at any time, violates any such agreement and/or the provisions of this Section 7.</w:t>
      </w:r>
    </w:p>
    <w:p>
      <w:pPr>
        <w:pStyle w:val="TextBody"/>
        <w:bidi w:val="0"/>
        <w:spacing w:before="228" w:after="283"/>
        <w:jc w:val="both"/>
        <w:rPr>
          <w:rFonts w:ascii="Tahoma;sans-serif" w:hAnsi="Tahoma;sans-serif"/>
          <w:color w:val="000000"/>
          <w:sz w:val="19"/>
        </w:rPr>
      </w:pPr>
      <w:r>
        <w:rPr>
          <w:rFonts w:ascii="Tahoma;sans-serif" w:hAnsi="Tahoma;sans-serif"/>
          <w:color w:val="000000"/>
          <w:sz w:val="19"/>
        </w:rPr>
        <w:t>8.</w:t>
      </w:r>
    </w:p>
    <w:p>
      <w:pPr>
        <w:pStyle w:val="TextBody"/>
        <w:bidi w:val="0"/>
        <w:spacing w:before="228" w:after="283"/>
        <w:jc w:val="both"/>
        <w:rPr/>
      </w:pPr>
      <w:r>
        <w:rPr>
          <w:rFonts w:ascii="Times New Roman" w:hAnsi="Times New Roman"/>
          <w:color w:val="000000"/>
          <w:sz w:val="19"/>
        </w:rPr>
        <w:t>Timing of Severance Benefits. Provided that the Release becomes effective and irrevocable by the Release Deadline Date and subject to Section 10, the Severance Benefits will be paid (or in the case of Severance Benefits scheduled to be paid installments, will commence) on the first Company payroll date following the Release Deadline Date (such payment date, the “</w:t>
      </w:r>
      <w:r>
        <w:rPr>
          <w:rFonts w:ascii="Times New Roman" w:hAnsi="Times New Roman"/>
          <w:b/>
          <w:i/>
          <w:color w:val="000000"/>
          <w:sz w:val="20"/>
        </w:rPr>
        <w:t>Severance Start Date</w:t>
      </w:r>
      <w:r>
        <w:rPr>
          <w:color w:val="000000"/>
        </w:rPr>
        <w:t>”</w:t>
      </w:r>
      <w:r>
        <w:rPr>
          <w:rFonts w:ascii="Times New Roman" w:hAnsi="Times New Roman"/>
          <w:color w:val="000000"/>
          <w:sz w:val="19"/>
        </w:rPr>
        <w:t>), and any severance payments or benefits otherwise payable to the Participant during the period immediately following the Participant’s termination of employment with the Company through the Severance Start Date will be paid in a lump sum to the Participant on the Severance Start Date, with any remaining payments to be made as provided in this Plan.</w:t>
      </w:r>
    </w:p>
    <w:p>
      <w:pPr>
        <w:pStyle w:val="TextBody"/>
        <w:bidi w:val="0"/>
        <w:spacing w:before="290" w:after="283"/>
        <w:jc w:val="both"/>
        <w:rPr>
          <w:rFonts w:ascii="Tahoma;sans-serif" w:hAnsi="Tahoma;sans-serif"/>
          <w:color w:val="000000"/>
          <w:sz w:val="19"/>
        </w:rPr>
      </w:pPr>
      <w:r>
        <w:rPr>
          <w:rFonts w:ascii="Tahoma;sans-serif" w:hAnsi="Tahoma;sans-serif"/>
          <w:color w:val="000000"/>
          <w:sz w:val="19"/>
        </w:rPr>
        <w:t>9.</w:t>
      </w:r>
    </w:p>
    <w:p>
      <w:pPr>
        <w:pStyle w:val="TextBody"/>
        <w:bidi w:val="0"/>
        <w:spacing w:before="290" w:after="283"/>
        <w:jc w:val="both"/>
        <w:rPr>
          <w:rFonts w:ascii="Times New Roman" w:hAnsi="Times New Roman"/>
          <w:color w:val="000000"/>
          <w:sz w:val="19"/>
        </w:rPr>
      </w:pPr>
      <w:r>
        <w:rPr>
          <w:rFonts w:ascii="Times New Roman" w:hAnsi="Times New Roman"/>
          <w:color w:val="000000"/>
          <w:sz w:val="19"/>
        </w:rPr>
        <w:t>Exclusive Benefit. The benefits provided under this Plan shall be the exclusive benefit for a Participant related to termination of employment and/or change in control and shall supersede and replace any severance and/or change in control benefits set forth in any offer letter, employment agreement and/or severance agreement, including without limitation the Prior Plan. For the avoidance of doubt, if a Participant was otherwise eligible to participate in any other Company severance plan (whether or not subject to ERISA), then participation in this Plan will supersede and replace eligibility in such other plan.</w:t>
      </w:r>
    </w:p>
    <w:p>
      <w:pPr>
        <w:pStyle w:val="TextBody"/>
        <w:bidi w:val="0"/>
        <w:spacing w:before="139" w:after="283"/>
        <w:jc w:val="both"/>
        <w:rPr>
          <w:rFonts w:ascii="Tahoma;sans-serif" w:hAnsi="Tahoma;sans-serif"/>
          <w:color w:val="000000"/>
          <w:sz w:val="19"/>
        </w:rPr>
      </w:pPr>
      <w:r>
        <w:rPr>
          <w:rFonts w:ascii="Tahoma;sans-serif" w:hAnsi="Tahoma;sans-serif"/>
          <w:color w:val="000000"/>
          <w:sz w:val="19"/>
        </w:rPr>
        <w:t>10.</w:t>
      </w:r>
    </w:p>
    <w:p>
      <w:pPr>
        <w:pStyle w:val="TextBody"/>
        <w:bidi w:val="0"/>
        <w:spacing w:before="139" w:after="283"/>
        <w:jc w:val="both"/>
        <w:rPr>
          <w:rFonts w:ascii="Times New Roman" w:hAnsi="Times New Roman"/>
          <w:color w:val="000000"/>
          <w:sz w:val="19"/>
        </w:rPr>
      </w:pPr>
      <w:r>
        <w:rPr>
          <w:rFonts w:ascii="Times New Roman" w:hAnsi="Times New Roman"/>
          <w:color w:val="000000"/>
          <w:sz w:val="19"/>
        </w:rPr>
        <w:t>Section 409A.</w:t>
      </w:r>
    </w:p>
    <w:p>
      <w:pPr>
        <w:pStyle w:val="TextBody"/>
        <w:bidi w:val="0"/>
        <w:spacing w:before="86" w:after="283"/>
        <w:jc w:val="both"/>
        <w:rPr>
          <w:rFonts w:ascii="Times New Roman" w:hAnsi="Times New Roman"/>
          <w:sz w:val="20"/>
        </w:rPr>
      </w:pPr>
      <w:r>
        <w:rPr>
          <w:rFonts w:ascii="Times New Roman" w:hAnsi="Times New Roman"/>
          <w:color w:val="000000"/>
          <w:sz w:val="19"/>
        </w:rPr>
        <w:t>10.1. Notwithstanding anything to the contrary in this Plan, no severance payments or benefits to be paid or provided to a Participant, if any, under this Plan that, when considered together with any other severance payments or separation benefits, are considered deferred compensation under Section 409A (together, the “</w:t>
      </w:r>
      <w:r>
        <w:rPr>
          <w:rFonts w:ascii="Times New Roman" w:hAnsi="Times New Roman"/>
          <w:b/>
          <w:i/>
          <w:color w:val="000000"/>
          <w:sz w:val="20"/>
        </w:rPr>
        <w:t>Deferred Payments</w:t>
      </w:r>
      <w:r>
        <w:rPr>
          <w:rFonts w:ascii="Times New Roman" w:hAnsi="Times New Roman"/>
          <w:color w:val="000000"/>
          <w:sz w:val="20"/>
        </w:rPr>
        <w:t>”</w:t>
      </w:r>
      <w:r>
        <w:rPr>
          <w:rFonts w:ascii="Times New Roman" w:hAnsi="Times New Roman"/>
          <w:color w:val="000000"/>
          <w:sz w:val="19"/>
        </w:rPr>
        <w:t>) will be paid or provided until the Participant has a “separation from service” within the meaning of Section 409A. Similarly, no severance payable to a Participant, if any, under this Plan that otherwise would be exempt from Section 409A pursuant to Treasury Regulation Section 1.409A 1(b)(9) will be payable until the Participant has a “separation from service” within the meaning of Section 409A.</w:t>
      </w:r>
    </w:p>
    <w:p>
      <w:pPr>
        <w:pStyle w:val="TextBody"/>
        <w:bidi w:val="0"/>
        <w:spacing w:before="221" w:after="283"/>
        <w:jc w:val="both"/>
        <w:rPr>
          <w:rFonts w:ascii="Times New Roman" w:hAnsi="Times New Roman"/>
          <w:sz w:val="20"/>
        </w:rPr>
      </w:pPr>
      <w:r>
        <w:rPr>
          <w:rFonts w:ascii="Times New Roman" w:hAnsi="Times New Roman"/>
          <w:color w:val="000000"/>
          <w:sz w:val="19"/>
        </w:rPr>
        <w:t>10.2.</w:t>
      </w:r>
      <w:r>
        <w:rPr>
          <w:rFonts w:ascii="Times New Roman" w:hAnsi="Times New Roman"/>
          <w:color w:val="000000"/>
          <w:sz w:val="20"/>
        </w:rPr>
        <w:t xml:space="preserve"> </w:t>
      </w:r>
      <w:r>
        <w:rPr>
          <w:rFonts w:ascii="Times New Roman" w:hAnsi="Times New Roman"/>
          <w:color w:val="000000"/>
          <w:sz w:val="19"/>
        </w:rPr>
        <w:t>It is intended that none of the severance payments or benefits under this Plan will constitute Deferred Payments but rather will be exempt from Section 409A as a payment that would fall within the “short-term deferral period” as described in Section 10.3 below or resulting from an involuntary separation from service as described in Section 10.4 below. In no event will a Participant have discretion to determine the taxable year of payment of any Deferred Payment.</w:t>
      </w:r>
    </w:p>
    <w:p>
      <w:pPr>
        <w:pStyle w:val="TextBody"/>
        <w:bidi w:val="0"/>
        <w:spacing w:before="227" w:after="283"/>
        <w:jc w:val="both"/>
        <w:rPr>
          <w:rFonts w:ascii="Times New Roman" w:hAnsi="Times New Roman"/>
          <w:sz w:val="20"/>
        </w:rPr>
      </w:pPr>
      <w:r>
        <w:rPr>
          <w:rFonts w:ascii="Times New Roman" w:hAnsi="Times New Roman"/>
          <w:color w:val="000000"/>
          <w:sz w:val="19"/>
        </w:rPr>
        <w:t>10.3. Notwithstanding anything to the contrary in this Plan or in any Participation Agreement, if a Participant is a “specified employee” within the meaning of Section 409A at the time of the Participant’s separation from service (other than due to death), then the Deferred Payments, if any, that are payable within the first six (6) months following the Participant’s separation from service, will become payable on the date six (6) months and one (1) day following the date of the Participant’s separation from service. All subsequent Deferred Payments, if any, will be payable in accordance with the payment schedule applicable to each payment or benefit. Notwithstanding anything herein to the contrary, in the event of the Participant’s death following the Participant’s separation from service, but before the six- month anniversary of the separation from service, then any payments delayed in accordance with this paragraph will be payable in a lump sum as soon as administratively practicable after the date of the Participant’s death and all other Deferred Payments will be payable in accordance with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A - 5</w:t>
      </w:r>
    </w:p>
    <w:p>
      <w:pPr>
        <w:pStyle w:val="HorizontalLine"/>
        <w:pBdr>
          <w:bottom w:val="double" w:sz="2" w:space="0" w:color="808080"/>
        </w:pBdr>
        <w:bidi w:val="0"/>
        <w:spacing w:before="0" w:after="283"/>
        <w:jc w:val="left"/>
        <w:rPr/>
      </w:pPr>
      <w:r>
        <w:rPr/>
      </w:r>
    </w:p>
    <w:p>
      <w:pPr>
        <w:pStyle w:val="TextBody"/>
        <w:bidi w:val="0"/>
        <w:spacing w:before="227" w:after="283"/>
        <w:jc w:val="both"/>
        <w:rPr>
          <w:rFonts w:ascii="Times New Roman" w:hAnsi="Times New Roman"/>
          <w:color w:val="000000"/>
          <w:sz w:val="19"/>
        </w:rPr>
      </w:pPr>
      <w:r>
        <w:rPr>
          <w:rFonts w:ascii="Times New Roman" w:hAnsi="Times New Roman"/>
          <w:color w:val="000000"/>
          <w:sz w:val="19"/>
        </w:rPr>
        <w:t>payment schedule applicable to each payment or benefit. Each payment and benefit payable under this Plan is intended to constitute a separate payment under Section 1.409A-2(b)(2) of the Treasury Regulations.</w:t>
      </w:r>
    </w:p>
    <w:p>
      <w:pPr>
        <w:pStyle w:val="TextBody"/>
        <w:bidi w:val="0"/>
        <w:spacing w:before="289" w:after="283"/>
        <w:jc w:val="both"/>
        <w:rPr>
          <w:rFonts w:ascii="Times New Roman" w:hAnsi="Times New Roman"/>
          <w:sz w:val="20"/>
        </w:rPr>
      </w:pPr>
      <w:r>
        <w:rPr>
          <w:rFonts w:ascii="Times New Roman" w:hAnsi="Times New Roman"/>
          <w:color w:val="000000"/>
          <w:sz w:val="19"/>
        </w:rPr>
        <w:t>10.4.</w:t>
      </w:r>
      <w:r>
        <w:rPr>
          <w:rFonts w:ascii="Times New Roman" w:hAnsi="Times New Roman"/>
          <w:color w:val="000000"/>
          <w:sz w:val="20"/>
        </w:rPr>
        <w:t xml:space="preserve"> </w:t>
      </w:r>
      <w:r>
        <w:rPr>
          <w:rFonts w:ascii="Times New Roman" w:hAnsi="Times New Roman"/>
          <w:color w:val="000000"/>
          <w:sz w:val="19"/>
        </w:rPr>
        <w:t>Any amount paid under this Plan that satisfies the requirements of the “short-term deferral” rule set forth in Section 1.409A-1(b)(4) of the Treasury Regulations will not constitute Deferred Payments for purposes of Section 10 above.</w:t>
      </w:r>
    </w:p>
    <w:p>
      <w:pPr>
        <w:pStyle w:val="TextBody"/>
        <w:bidi w:val="0"/>
        <w:spacing w:before="227" w:after="283"/>
        <w:jc w:val="both"/>
        <w:rPr>
          <w:rFonts w:ascii="Times New Roman" w:hAnsi="Times New Roman"/>
          <w:sz w:val="20"/>
        </w:rPr>
      </w:pPr>
      <w:r>
        <w:rPr>
          <w:rFonts w:ascii="Times New Roman" w:hAnsi="Times New Roman"/>
          <w:color w:val="000000"/>
          <w:sz w:val="19"/>
        </w:rPr>
        <w:t>10.5.</w:t>
      </w:r>
      <w:r>
        <w:rPr>
          <w:rFonts w:ascii="Times New Roman" w:hAnsi="Times New Roman"/>
          <w:color w:val="000000"/>
          <w:sz w:val="20"/>
        </w:rPr>
        <w:t xml:space="preserve"> </w:t>
      </w:r>
      <w:r>
        <w:rPr>
          <w:rFonts w:ascii="Times New Roman" w:hAnsi="Times New Roman"/>
          <w:color w:val="000000"/>
          <w:sz w:val="19"/>
        </w:rPr>
        <w:t>Any amount paid under this Plan that qualifies as a payment made as a result of an involuntary separation from service pursuant to Section 1.409A-1(b)(9)(iii) of the Treasury Regulations that does not exceed the Section 409A Limit will not constitute Deferred Payments for purposes of Section 10 above.</w:t>
      </w:r>
    </w:p>
    <w:p>
      <w:pPr>
        <w:pStyle w:val="TextBody"/>
        <w:bidi w:val="0"/>
        <w:spacing w:before="225" w:after="283"/>
        <w:jc w:val="both"/>
        <w:rPr>
          <w:rFonts w:ascii="Times New Roman" w:hAnsi="Times New Roman"/>
          <w:color w:val="000000"/>
          <w:sz w:val="19"/>
        </w:rPr>
      </w:pPr>
      <w:r>
        <w:rPr>
          <w:rFonts w:ascii="Times New Roman" w:hAnsi="Times New Roman"/>
          <w:color w:val="000000"/>
          <w:sz w:val="19"/>
        </w:rPr>
        <w:t>10.6. The foregoing provisions are intended to comply with or be exempt from the requirements of Section 409A so that none of the payments and benefits to be provided under the Plan will be subject to the additional tax imposed under Section 409A, and any ambiguities herein will be interpreted to so comply or be exempt. Notwithstanding anything to the contrary in the Plan, including but not limited to Sections 12 and 15, the Company reserves the right to amend the Plan as it deems necessary or advisable, in its sole discretion and without the consent of the Participants, to comply with Section 409A or to avoid income recognition under Section 409A prior to the actual payment of benefits under the Plan or imposition of any additional tax. In no event will the Company reimburse a Participant for any taxes that may be imposed on the Participant as result of Section 409A.</w:t>
      </w:r>
    </w:p>
    <w:p>
      <w:pPr>
        <w:pStyle w:val="TextBody"/>
        <w:bidi w:val="0"/>
        <w:spacing w:before="220" w:after="283"/>
        <w:jc w:val="both"/>
        <w:rPr>
          <w:rFonts w:ascii="Tahoma;sans-serif" w:hAnsi="Tahoma;sans-serif"/>
          <w:b/>
          <w:color w:val="000000"/>
          <w:sz w:val="19"/>
        </w:rPr>
      </w:pPr>
      <w:r>
        <w:rPr>
          <w:rFonts w:ascii="Tahoma;sans-serif" w:hAnsi="Tahoma;sans-serif"/>
          <w:b/>
          <w:color w:val="000000"/>
          <w:sz w:val="19"/>
        </w:rPr>
        <w:t>11.</w:t>
      </w:r>
    </w:p>
    <w:p>
      <w:pPr>
        <w:pStyle w:val="TextBody"/>
        <w:bidi w:val="0"/>
        <w:spacing w:before="220" w:after="283"/>
        <w:jc w:val="both"/>
        <w:rPr/>
      </w:pPr>
      <w:r>
        <w:rPr>
          <w:rFonts w:ascii="Times New Roman" w:hAnsi="Times New Roman"/>
          <w:b/>
          <w:color w:val="000000"/>
          <w:sz w:val="19"/>
        </w:rPr>
        <w:t>Withholdings</w:t>
      </w:r>
      <w:r>
        <w:rPr>
          <w:rFonts w:ascii="Times New Roman" w:hAnsi="Times New Roman"/>
          <w:color w:val="000000"/>
          <w:sz w:val="19"/>
        </w:rPr>
        <w:t>. The Company will withhold from any payments or benefits under the Plan all applicable U.S. federal, state, local and non-U.S. taxes required to be withheld and any other required payroll deductions.</w:t>
      </w:r>
    </w:p>
    <w:p>
      <w:pPr>
        <w:pStyle w:val="TextBody"/>
        <w:bidi w:val="0"/>
        <w:spacing w:before="225" w:after="283"/>
        <w:jc w:val="both"/>
        <w:rPr>
          <w:rFonts w:ascii="Tahoma;sans-serif" w:hAnsi="Tahoma;sans-serif"/>
          <w:b/>
          <w:color w:val="000000"/>
          <w:sz w:val="19"/>
        </w:rPr>
      </w:pPr>
      <w:r>
        <w:rPr>
          <w:rFonts w:ascii="Tahoma;sans-serif" w:hAnsi="Tahoma;sans-serif"/>
          <w:b/>
          <w:color w:val="000000"/>
          <w:sz w:val="19"/>
        </w:rPr>
        <w:t>12.</w:t>
      </w:r>
    </w:p>
    <w:p>
      <w:pPr>
        <w:pStyle w:val="TextBody"/>
        <w:bidi w:val="0"/>
        <w:spacing w:before="225" w:after="283"/>
        <w:jc w:val="both"/>
        <w:rPr/>
      </w:pPr>
      <w:r>
        <w:rPr>
          <w:rFonts w:ascii="Times New Roman" w:hAnsi="Times New Roman"/>
          <w:b/>
          <w:color w:val="000000"/>
          <w:sz w:val="19"/>
        </w:rPr>
        <w:t>Administration</w:t>
      </w:r>
      <w:r>
        <w:rPr>
          <w:rFonts w:ascii="Times New Roman" w:hAnsi="Times New Roman"/>
          <w:color w:val="000000"/>
          <w:sz w:val="19"/>
        </w:rPr>
        <w:t xml:space="preserve">. The Plan will be administered and interpreted by the Administrator (in its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In accordance with Section 2.1, the Administrator (a) may, in its sole discretion and on such terms and conditions as it may provide, further delegate in writing to one or more officers of the Company all or any portion of its authority or responsibility with respect to the Plan, and (b) has the authority to act for the Company (in a non-fiduciary capacity) as to any matter pertaining to the Plan; </w:t>
      </w:r>
      <w:r>
        <w:rPr>
          <w:rFonts w:ascii="Times New Roman" w:hAnsi="Times New Roman"/>
          <w:i/>
          <w:color w:val="000000"/>
          <w:sz w:val="20"/>
        </w:rPr>
        <w:t>provided, however</w:t>
      </w:r>
      <w:r>
        <w:rPr>
          <w:rFonts w:ascii="Times New Roman" w:hAnsi="Times New Roman"/>
          <w:color w:val="000000"/>
          <w:sz w:val="19"/>
        </w:rPr>
        <w:t>, that any Plan amendment or termination or any other action that reasonably could be expected to increase materially the cost of the Plan must be approved by the Board.</w:t>
      </w:r>
    </w:p>
    <w:p>
      <w:pPr>
        <w:pStyle w:val="TextBody"/>
        <w:bidi w:val="0"/>
        <w:spacing w:before="221" w:after="283"/>
        <w:jc w:val="both"/>
        <w:rPr>
          <w:rFonts w:ascii="Tahoma;sans-serif" w:hAnsi="Tahoma;sans-serif"/>
          <w:b/>
          <w:color w:val="000000"/>
          <w:sz w:val="19"/>
        </w:rPr>
      </w:pPr>
      <w:r>
        <w:rPr>
          <w:rFonts w:ascii="Tahoma;sans-serif" w:hAnsi="Tahoma;sans-serif"/>
          <w:b/>
          <w:color w:val="000000"/>
          <w:sz w:val="19"/>
        </w:rPr>
        <w:t>13.</w:t>
      </w:r>
    </w:p>
    <w:p>
      <w:pPr>
        <w:pStyle w:val="TextBody"/>
        <w:bidi w:val="0"/>
        <w:spacing w:before="221" w:after="283"/>
        <w:jc w:val="both"/>
        <w:rPr/>
      </w:pPr>
      <w:r>
        <w:rPr>
          <w:rFonts w:ascii="Times New Roman" w:hAnsi="Times New Roman"/>
          <w:b/>
          <w:color w:val="000000"/>
          <w:sz w:val="19"/>
        </w:rPr>
        <w:t>Eligibility to Participate</w:t>
      </w:r>
      <w:r>
        <w:rPr>
          <w:rFonts w:ascii="Times New Roman" w:hAnsi="Times New Roman"/>
          <w:color w:val="000000"/>
          <w:sz w:val="19"/>
        </w:rPr>
        <w:t>. To the extent that the Administrator has delegated administrative authority or responsibility to one or more officers of the Company in accordance with Sections 2.1 and 12, each such officer will not be excluded from participating in the Plan if otherwise eligible, but he or she is not entitled to act upon or make determinations regarding any matters pertaining specifically to his or her own benefit or eligibility under the Plan. The Administrator will act upon and make determinations regarding any matters pertaining specifically to the benefit or eligibility of each such officer under the Plan.</w:t>
      </w:r>
    </w:p>
    <w:p>
      <w:pPr>
        <w:pStyle w:val="TextBody"/>
        <w:bidi w:val="0"/>
        <w:spacing w:before="293" w:after="283"/>
        <w:jc w:val="both"/>
        <w:rPr>
          <w:rFonts w:ascii="Tahoma;sans-serif" w:hAnsi="Tahoma;sans-serif"/>
          <w:color w:val="000000"/>
          <w:sz w:val="19"/>
        </w:rPr>
      </w:pPr>
      <w:r>
        <w:rPr>
          <w:rFonts w:ascii="Tahoma;sans-serif" w:hAnsi="Tahoma;sans-serif"/>
          <w:color w:val="000000"/>
          <w:sz w:val="19"/>
        </w:rPr>
        <w:t>14.</w:t>
      </w:r>
    </w:p>
    <w:p>
      <w:pPr>
        <w:pStyle w:val="TextBody"/>
        <w:bidi w:val="0"/>
        <w:spacing w:before="293" w:after="283"/>
        <w:jc w:val="both"/>
        <w:rPr/>
      </w:pPr>
      <w:r>
        <w:rPr>
          <w:rFonts w:ascii="Times New Roman" w:hAnsi="Times New Roman"/>
          <w:color w:val="000000"/>
          <w:sz w:val="19"/>
        </w:rPr>
        <w:t>Term. This Plan will have a term until August 4, 2028 (the “</w:t>
      </w:r>
      <w:r>
        <w:rPr>
          <w:rFonts w:ascii="Times New Roman" w:hAnsi="Times New Roman"/>
          <w:b/>
          <w:color w:val="000000"/>
          <w:sz w:val="19"/>
        </w:rPr>
        <w:t>Term</w:t>
      </w:r>
      <w:r>
        <w:rPr>
          <w:color w:val="000000"/>
        </w:rPr>
        <w:t>”</w:t>
      </w:r>
      <w:r>
        <w:rPr>
          <w:rFonts w:ascii="Times New Roman" w:hAnsi="Times New Roman"/>
          <w:color w:val="000000"/>
          <w:sz w:val="19"/>
        </w:rPr>
        <w:t>). If a Participant becomes entitled to benefits during the Term, the Plan will not terminate with respect to such Participant until all of the obligations of the Company and such Participant with respect to this Plan have been satisfied.</w:t>
      </w:r>
    </w:p>
    <w:p>
      <w:pPr>
        <w:pStyle w:val="TextBody"/>
        <w:bidi w:val="0"/>
        <w:spacing w:before="237" w:after="283"/>
        <w:jc w:val="both"/>
        <w:rPr>
          <w:rFonts w:ascii="Tahoma;sans-serif" w:hAnsi="Tahoma;sans-serif"/>
          <w:color w:val="000000"/>
          <w:sz w:val="19"/>
        </w:rPr>
      </w:pPr>
      <w:r>
        <w:rPr>
          <w:rFonts w:ascii="Tahoma;sans-serif" w:hAnsi="Tahoma;sans-serif"/>
          <w:color w:val="000000"/>
          <w:sz w:val="19"/>
        </w:rPr>
        <w:t>15.</w:t>
      </w:r>
    </w:p>
    <w:p>
      <w:pPr>
        <w:pStyle w:val="TextBody"/>
        <w:bidi w:val="0"/>
        <w:spacing w:before="237" w:after="283"/>
        <w:jc w:val="both"/>
        <w:rPr>
          <w:rFonts w:ascii="Times New Roman" w:hAnsi="Times New Roman"/>
          <w:color w:val="000000"/>
          <w:sz w:val="19"/>
        </w:rPr>
      </w:pPr>
      <w:r>
        <w:rPr>
          <w:rFonts w:ascii="Times New Roman" w:hAnsi="Times New Roman"/>
          <w:color w:val="000000"/>
          <w:sz w:val="19"/>
        </w:rPr>
        <w:t>Amendment or Termination. The Company, by action of the Administrator, reserves the right to amend or terminate the Plan at any time, without advance notice to any Participant and without regard to the effect of the amendment or termination on any individual; provided, however, that during the Term, the Company may not, without a Participant’s written consent, amend or terminate the Plan in any way, nor take any other action, that (i) prevents that Participant from becoming eligible for the Severance Benefits under the Plan, or (ii) reduces or alters to the detriment of the Participant the Severance Benefits payable, or potentially payable, to a Participant under the Plan (including, without limitation, imposing additional conditions). Any amendment or termination of the Plan will be in writing. Any action of the Company in amending or terminating the Plan will be taken in a non-fiduciary capacity.</w:t>
      </w:r>
    </w:p>
    <w:p>
      <w:pPr>
        <w:pStyle w:val="TextBody"/>
        <w:bidi w:val="0"/>
        <w:spacing w:before="139" w:after="283"/>
        <w:jc w:val="both"/>
        <w:rPr>
          <w:rFonts w:ascii="Tahoma;sans-serif" w:hAnsi="Tahoma;sans-serif"/>
          <w:color w:val="000000"/>
          <w:sz w:val="19"/>
        </w:rPr>
      </w:pPr>
      <w:r>
        <w:rPr>
          <w:rFonts w:ascii="Tahoma;sans-serif" w:hAnsi="Tahoma;sans-serif"/>
          <w:color w:val="000000"/>
          <w:sz w:val="19"/>
        </w:rPr>
        <w:t>16.</w:t>
      </w:r>
    </w:p>
    <w:p>
      <w:pPr>
        <w:pStyle w:val="TextBody"/>
        <w:bidi w:val="0"/>
        <w:spacing w:before="139" w:after="283"/>
        <w:jc w:val="both"/>
        <w:rPr>
          <w:rFonts w:ascii="Times New Roman" w:hAnsi="Times New Roman"/>
          <w:color w:val="000000"/>
          <w:sz w:val="19"/>
        </w:rPr>
      </w:pPr>
      <w:r>
        <w:rPr>
          <w:rFonts w:ascii="Times New Roman" w:hAnsi="Times New Roman"/>
          <w:color w:val="000000"/>
          <w:sz w:val="19"/>
        </w:rPr>
        <w:t>Claims and Appeals.</w:t>
      </w:r>
    </w:p>
    <w:p>
      <w:pPr>
        <w:pStyle w:val="TextBody"/>
        <w:bidi w:val="0"/>
        <w:jc w:val="center"/>
        <w:rPr>
          <w:rFonts w:ascii="Times New Roman" w:hAnsi="Times New Roman"/>
          <w:color w:val="000000"/>
          <w:sz w:val="20"/>
        </w:rPr>
      </w:pPr>
      <w:r>
        <w:rPr>
          <w:rFonts w:ascii="Times New Roman" w:hAnsi="Times New Roman"/>
          <w:color w:val="000000"/>
          <w:sz w:val="20"/>
        </w:rPr>
        <w:t>A - 6</w:t>
      </w:r>
    </w:p>
    <w:p>
      <w:pPr>
        <w:pStyle w:val="HorizontalLine"/>
        <w:pBdr>
          <w:bottom w:val="double" w:sz="2" w:space="0" w:color="808080"/>
        </w:pBdr>
        <w:bidi w:val="0"/>
        <w:spacing w:before="0" w:after="283"/>
        <w:jc w:val="left"/>
        <w:rPr/>
      </w:pPr>
      <w:r>
        <w:rPr/>
      </w:r>
    </w:p>
    <w:p>
      <w:pPr>
        <w:pStyle w:val="TextBody"/>
        <w:bidi w:val="0"/>
        <w:spacing w:before="96" w:after="283"/>
        <w:jc w:val="both"/>
        <w:rPr>
          <w:rFonts w:ascii="Times New Roman" w:hAnsi="Times New Roman"/>
          <w:sz w:val="20"/>
        </w:rPr>
      </w:pPr>
      <w:r>
        <w:rPr>
          <w:rFonts w:ascii="Times New Roman" w:hAnsi="Times New Roman"/>
          <w:color w:val="000000"/>
          <w:sz w:val="19"/>
        </w:rPr>
        <w:t>16.1.</w:t>
      </w:r>
      <w:r>
        <w:rPr>
          <w:rFonts w:ascii="Times New Roman" w:hAnsi="Times New Roman"/>
          <w:color w:val="000000"/>
          <w:sz w:val="20"/>
        </w:rPr>
        <w:t xml:space="preserve"> </w:t>
      </w:r>
      <w:r>
        <w:rPr>
          <w:rFonts w:ascii="Times New Roman" w:hAnsi="Times New Roman"/>
          <w:color w:val="000000"/>
          <w:sz w:val="19"/>
        </w:rPr>
        <w:t>Claims Procedure. Any employee or other person who believes he or she is entitled to any payment under the Plan may submit a claim in writing to the Administrator within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an explanation of why such material or information is necessary, and the Plan’s procedures for appealing the denial, including a statement of the claimant’s right to bring a civil action under Section 502(a) of ERISA following an adverse benefit determination on review. The denial notice will be provided within 90 days after the claim is received. If special circumstances require an extension of time for processing the claim (up to 90 days from the end of the initial 90-day period), written notice of the extension will be given prior to the end of the initial 90-day period. This notice of extension will indicate the special circumstances requiring the extension of time and the date by which the Administrator expects to render its decision on the claim.</w:t>
      </w:r>
    </w:p>
    <w:p>
      <w:pPr>
        <w:pStyle w:val="TextBody"/>
        <w:bidi w:val="0"/>
        <w:spacing w:before="229" w:after="283"/>
        <w:jc w:val="both"/>
        <w:rPr>
          <w:rFonts w:ascii="Times New Roman" w:hAnsi="Times New Roman"/>
          <w:sz w:val="20"/>
        </w:rPr>
      </w:pPr>
      <w:r>
        <w:rPr>
          <w:rFonts w:ascii="Times New Roman" w:hAnsi="Times New Roman"/>
          <w:color w:val="000000"/>
          <w:sz w:val="19"/>
        </w:rPr>
        <w:t>16.2.</w:t>
      </w:r>
      <w:r>
        <w:rPr>
          <w:rFonts w:ascii="Times New Roman" w:hAnsi="Times New Roman"/>
          <w:color w:val="000000"/>
          <w:sz w:val="20"/>
        </w:rPr>
        <w:t xml:space="preserve"> </w:t>
      </w:r>
      <w:r>
        <w:rPr>
          <w:rFonts w:ascii="Times New Roman" w:hAnsi="Times New Roman"/>
          <w:color w:val="000000"/>
          <w:sz w:val="19"/>
        </w:rPr>
        <w:t>Appeal Procedure. If the claimant’s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shall be provided the opportunity to submit written comments, documents, records, and other information relating to the claim for benefits. The claimant (or representative) has the right to review and obtain copies of all documents and other information relevant to the claim, upon request and at no charge, and to submit issues and comments in writing. The Administrator will provide written notice of its decision on review within 60 days after it receives a review request. If additional time (up to 60 days from the end of the initial period) is needed to review the request, the claimant (or representative) will be given written notice of the reason for the delay. This notice of extension will indicate the special circumstances requiring the extension of time and the date by which the Administrator expects to render its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 within two (2) years after completing the Plan’s claims and appeal procedures. Any action shall be resolved exclusively through binding arbitration in accordance with the terms and procedures of the Participant’s Mutual Arbitration Agreement.</w:t>
      </w:r>
    </w:p>
    <w:p>
      <w:pPr>
        <w:pStyle w:val="TextBody"/>
        <w:bidi w:val="0"/>
        <w:spacing w:before="227" w:after="283"/>
        <w:jc w:val="both"/>
        <w:rPr>
          <w:rFonts w:ascii="Tahoma;sans-serif" w:hAnsi="Tahoma;sans-serif"/>
          <w:color w:val="000000"/>
          <w:sz w:val="19"/>
        </w:rPr>
      </w:pPr>
      <w:r>
        <w:rPr>
          <w:rFonts w:ascii="Tahoma;sans-serif" w:hAnsi="Tahoma;sans-serif"/>
          <w:color w:val="000000"/>
          <w:sz w:val="19"/>
        </w:rPr>
        <w:t>17.</w:t>
      </w:r>
    </w:p>
    <w:p>
      <w:pPr>
        <w:pStyle w:val="TextBody"/>
        <w:bidi w:val="0"/>
        <w:spacing w:before="227" w:after="283"/>
        <w:jc w:val="both"/>
        <w:rPr>
          <w:rFonts w:ascii="Times New Roman" w:hAnsi="Times New Roman"/>
          <w:color w:val="000000"/>
          <w:sz w:val="19"/>
        </w:rPr>
      </w:pPr>
      <w:r>
        <w:rPr>
          <w:rFonts w:ascii="Times New Roman" w:hAnsi="Times New Roman"/>
          <w:color w:val="000000"/>
          <w:sz w:val="19"/>
        </w:rPr>
        <w:t>Attorneys’ Fees. The parties shall each bear their own expenses, legal fees and other fees incurred in connection with this Plan.</w:t>
      </w:r>
    </w:p>
    <w:p>
      <w:pPr>
        <w:pStyle w:val="TextBody"/>
        <w:bidi w:val="0"/>
        <w:spacing w:before="223" w:after="283"/>
        <w:jc w:val="both"/>
        <w:rPr>
          <w:rFonts w:ascii="Tahoma;sans-serif" w:hAnsi="Tahoma;sans-serif"/>
          <w:color w:val="000000"/>
          <w:sz w:val="19"/>
        </w:rPr>
      </w:pPr>
      <w:r>
        <w:rPr>
          <w:rFonts w:ascii="Tahoma;sans-serif" w:hAnsi="Tahoma;sans-serif"/>
          <w:color w:val="000000"/>
          <w:sz w:val="19"/>
        </w:rPr>
        <w:t>18.</w:t>
      </w:r>
    </w:p>
    <w:p>
      <w:pPr>
        <w:pStyle w:val="TextBody"/>
        <w:bidi w:val="0"/>
        <w:spacing w:before="223" w:after="283"/>
        <w:jc w:val="both"/>
        <w:rPr>
          <w:rFonts w:ascii="Times New Roman" w:hAnsi="Times New Roman"/>
          <w:color w:val="000000"/>
          <w:sz w:val="19"/>
        </w:rPr>
      </w:pPr>
      <w:r>
        <w:rPr>
          <w:rFonts w:ascii="Times New Roman" w:hAnsi="Times New Roman"/>
          <w:color w:val="000000"/>
          <w:sz w:val="19"/>
        </w:rPr>
        <w:t>Source of Payments. All payments under the Plan will be paid from the general funds of the Company; no separate fund will be established under the Plan, and the Plan will have no assets. No right of any person to receive any payment under the Plan will be any greater than the right of any other general unsecured creditor of the Company.</w:t>
      </w:r>
    </w:p>
    <w:p>
      <w:pPr>
        <w:pStyle w:val="TextBody"/>
        <w:bidi w:val="0"/>
        <w:spacing w:before="226" w:after="283"/>
        <w:jc w:val="both"/>
        <w:rPr>
          <w:rFonts w:ascii="Tahoma;sans-serif" w:hAnsi="Tahoma;sans-serif"/>
          <w:color w:val="000000"/>
          <w:sz w:val="19"/>
        </w:rPr>
      </w:pPr>
      <w:r>
        <w:rPr>
          <w:rFonts w:ascii="Tahoma;sans-serif" w:hAnsi="Tahoma;sans-serif"/>
          <w:color w:val="000000"/>
          <w:sz w:val="19"/>
        </w:rPr>
        <w:t>19.</w:t>
      </w:r>
    </w:p>
    <w:p>
      <w:pPr>
        <w:pStyle w:val="TextBody"/>
        <w:bidi w:val="0"/>
        <w:spacing w:before="226" w:after="283"/>
        <w:jc w:val="both"/>
        <w:rPr>
          <w:rFonts w:ascii="Times New Roman" w:hAnsi="Times New Roman"/>
          <w:color w:val="000000"/>
          <w:sz w:val="19"/>
        </w:rPr>
      </w:pPr>
      <w:r>
        <w:rPr>
          <w:rFonts w:ascii="Times New Roman" w:hAnsi="Times New Roman"/>
          <w:color w:val="000000"/>
          <w:sz w:val="19"/>
        </w:rPr>
        <w:t>Inalienability. In no event may any current or former employee of the Company or any of its subsidiaries or affiliates sell, transfer, anticipate, assign or otherwise dispose of any right or interest under the Plan. At no time will any such right or interest be subject to the claims of creditors nor liable to attachment, execution or other legal process.</w:t>
      </w:r>
    </w:p>
    <w:p>
      <w:pPr>
        <w:pStyle w:val="TextBody"/>
        <w:bidi w:val="0"/>
        <w:spacing w:before="221" w:after="283"/>
        <w:jc w:val="both"/>
        <w:rPr>
          <w:rFonts w:ascii="Tahoma;sans-serif" w:hAnsi="Tahoma;sans-serif"/>
          <w:color w:val="000000"/>
          <w:sz w:val="19"/>
        </w:rPr>
      </w:pPr>
      <w:r>
        <w:rPr>
          <w:rFonts w:ascii="Tahoma;sans-serif" w:hAnsi="Tahoma;sans-serif"/>
          <w:color w:val="000000"/>
          <w:sz w:val="19"/>
        </w:rPr>
        <w:t>20.</w:t>
      </w:r>
    </w:p>
    <w:p>
      <w:pPr>
        <w:pStyle w:val="TextBody"/>
        <w:bidi w:val="0"/>
        <w:spacing w:before="221" w:after="283"/>
        <w:jc w:val="both"/>
        <w:rPr>
          <w:rFonts w:ascii="Times New Roman" w:hAnsi="Times New Roman"/>
          <w:color w:val="000000"/>
          <w:sz w:val="19"/>
        </w:rPr>
      </w:pPr>
      <w:r>
        <w:rPr>
          <w:rFonts w:ascii="Times New Roman" w:hAnsi="Times New Roman"/>
          <w:color w:val="000000"/>
          <w:sz w:val="19"/>
        </w:rPr>
        <w:t>No Enlargement of Employment Rights. Neither the establishment or maintenance or amendment of the Plan, nor the making of any benefit payment hereunder, will be construed to confer upon any individual any right to continue to be an employee of the Company. The Company expressly reserves the right to discharge any of its employees at any time, with or without cause. However, as described in the Plan, a Participant may be entitled to benefits under the Plan depending upon the circumstances of his or her termination of employment.</w:t>
      </w:r>
    </w:p>
    <w:p>
      <w:pPr>
        <w:pStyle w:val="TextBody"/>
        <w:bidi w:val="0"/>
        <w:spacing w:before="227" w:after="283"/>
        <w:jc w:val="both"/>
        <w:rPr>
          <w:rFonts w:ascii="Tahoma;sans-serif" w:hAnsi="Tahoma;sans-serif"/>
          <w:color w:val="000000"/>
          <w:sz w:val="19"/>
        </w:rPr>
      </w:pPr>
      <w:r>
        <w:rPr>
          <w:rFonts w:ascii="Tahoma;sans-serif" w:hAnsi="Tahoma;sans-serif"/>
          <w:color w:val="000000"/>
          <w:sz w:val="19"/>
        </w:rPr>
        <w:t>21.</w:t>
      </w:r>
    </w:p>
    <w:p>
      <w:pPr>
        <w:pStyle w:val="TextBody"/>
        <w:bidi w:val="0"/>
        <w:spacing w:before="227" w:after="283"/>
        <w:jc w:val="both"/>
        <w:rPr>
          <w:rFonts w:ascii="Times New Roman" w:hAnsi="Times New Roman"/>
          <w:color w:val="000000"/>
          <w:sz w:val="19"/>
        </w:rPr>
      </w:pPr>
      <w:r>
        <w:rPr>
          <w:rFonts w:ascii="Times New Roman" w:hAnsi="Times New Roman"/>
          <w:color w:val="000000"/>
          <w:sz w:val="19"/>
        </w:rPr>
        <w:t>Successors. Any successor to the Company of all or substantially all of the Company’s business and/or assets (whether direct or indirect and whether by purchase, merger, consolidation, liquidation or other transaction)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pStyle w:val="TextBody"/>
        <w:bidi w:val="0"/>
        <w:spacing w:before="292" w:after="283"/>
        <w:jc w:val="both"/>
        <w:rPr>
          <w:rFonts w:ascii="Tahoma;sans-serif" w:hAnsi="Tahoma;sans-serif"/>
          <w:color w:val="000000"/>
          <w:sz w:val="19"/>
        </w:rPr>
      </w:pPr>
      <w:r>
        <w:rPr>
          <w:rFonts w:ascii="Tahoma;sans-serif" w:hAnsi="Tahoma;sans-serif"/>
          <w:color w:val="000000"/>
          <w:sz w:val="19"/>
        </w:rPr>
        <w:t>22.</w:t>
      </w:r>
    </w:p>
    <w:p>
      <w:pPr>
        <w:pStyle w:val="TextBody"/>
        <w:bidi w:val="0"/>
        <w:spacing w:before="292" w:after="283"/>
        <w:jc w:val="both"/>
        <w:rPr>
          <w:rFonts w:ascii="Times New Roman" w:hAnsi="Times New Roman"/>
          <w:color w:val="000000"/>
          <w:sz w:val="19"/>
        </w:rPr>
      </w:pPr>
      <w:r>
        <w:rPr>
          <w:rFonts w:ascii="Times New Roman" w:hAnsi="Times New Roman"/>
          <w:color w:val="000000"/>
          <w:sz w:val="19"/>
        </w:rPr>
        <w:t>Applicable Law. The provisions of the Plan will be construed, administered and enforced in accordance with ERISA and, to the extent applicable, the internal substantive laws of the state of California (but not its conflict of laws provisions).</w:t>
      </w:r>
    </w:p>
    <w:p>
      <w:pPr>
        <w:pStyle w:val="TextBody"/>
        <w:bidi w:val="0"/>
        <w:jc w:val="center"/>
        <w:rPr>
          <w:rFonts w:ascii="Times New Roman" w:hAnsi="Times New Roman"/>
          <w:color w:val="000000"/>
          <w:sz w:val="20"/>
        </w:rPr>
      </w:pPr>
      <w:r>
        <w:rPr>
          <w:rFonts w:ascii="Times New Roman" w:hAnsi="Times New Roman"/>
          <w:color w:val="000000"/>
          <w:sz w:val="20"/>
        </w:rPr>
        <w:t>A - 7</w:t>
      </w:r>
    </w:p>
    <w:p>
      <w:pPr>
        <w:pStyle w:val="HorizontalLine"/>
        <w:pBdr>
          <w:bottom w:val="double" w:sz="2" w:space="0" w:color="808080"/>
        </w:pBdr>
        <w:bidi w:val="0"/>
        <w:spacing w:before="0" w:after="283"/>
        <w:jc w:val="left"/>
        <w:rPr/>
      </w:pPr>
      <w:r>
        <w:rPr/>
      </w:r>
    </w:p>
    <w:p>
      <w:pPr>
        <w:pStyle w:val="TextBody"/>
        <w:bidi w:val="0"/>
        <w:spacing w:before="227" w:after="283"/>
        <w:jc w:val="both"/>
        <w:rPr>
          <w:rFonts w:ascii="Tahoma;sans-serif" w:hAnsi="Tahoma;sans-serif"/>
          <w:color w:val="000000"/>
          <w:sz w:val="19"/>
        </w:rPr>
      </w:pPr>
      <w:r>
        <w:rPr>
          <w:rFonts w:ascii="Tahoma;sans-serif" w:hAnsi="Tahoma;sans-serif"/>
          <w:color w:val="000000"/>
          <w:sz w:val="19"/>
        </w:rPr>
        <w:t>23.</w:t>
      </w:r>
    </w:p>
    <w:p>
      <w:pPr>
        <w:pStyle w:val="TextBody"/>
        <w:bidi w:val="0"/>
        <w:spacing w:before="227" w:after="283"/>
        <w:jc w:val="both"/>
        <w:rPr>
          <w:rFonts w:ascii="Times New Roman" w:hAnsi="Times New Roman"/>
          <w:color w:val="000000"/>
          <w:sz w:val="19"/>
        </w:rPr>
      </w:pPr>
      <w:r>
        <w:rPr>
          <w:rFonts w:ascii="Times New Roman" w:hAnsi="Times New Roman"/>
          <w:color w:val="000000"/>
          <w:sz w:val="19"/>
        </w:rPr>
        <w:t>Severability. If any provision of the Plan is held invalid or unenforceable, its invalidity or unenforceability will not affect any other provision of the Plan, and the Plan will be construed and enforced as if such provision had not been included.</w:t>
      </w:r>
    </w:p>
    <w:p>
      <w:pPr>
        <w:pStyle w:val="TextBody"/>
        <w:bidi w:val="0"/>
        <w:spacing w:before="222" w:after="283"/>
        <w:jc w:val="both"/>
        <w:rPr>
          <w:rFonts w:ascii="Tahoma;sans-serif" w:hAnsi="Tahoma;sans-serif"/>
          <w:color w:val="000000"/>
          <w:sz w:val="19"/>
        </w:rPr>
      </w:pPr>
      <w:r>
        <w:rPr>
          <w:rFonts w:ascii="Tahoma;sans-serif" w:hAnsi="Tahoma;sans-serif"/>
          <w:color w:val="000000"/>
          <w:sz w:val="19"/>
        </w:rPr>
        <w:t>24.</w:t>
      </w:r>
    </w:p>
    <w:p>
      <w:pPr>
        <w:pStyle w:val="TextBody"/>
        <w:bidi w:val="0"/>
        <w:spacing w:before="222" w:after="283"/>
        <w:jc w:val="both"/>
        <w:rPr>
          <w:rFonts w:ascii="Times New Roman" w:hAnsi="Times New Roman"/>
          <w:color w:val="000000"/>
          <w:sz w:val="19"/>
        </w:rPr>
      </w:pPr>
      <w:r>
        <w:rPr>
          <w:rFonts w:ascii="Times New Roman" w:hAnsi="Times New Roman"/>
          <w:color w:val="000000"/>
          <w:sz w:val="19"/>
        </w:rPr>
        <w:t>Headings. Headings in this Plan document are for purposes of reference only and will not limit or otherwise affect the meaning hereof.</w:t>
      </w:r>
    </w:p>
    <w:p>
      <w:pPr>
        <w:pStyle w:val="TextBody"/>
        <w:bidi w:val="0"/>
        <w:spacing w:before="230" w:after="283"/>
        <w:jc w:val="both"/>
        <w:rPr>
          <w:rFonts w:ascii="Tahoma;sans-serif" w:hAnsi="Tahoma;sans-serif"/>
          <w:color w:val="000000"/>
          <w:sz w:val="19"/>
        </w:rPr>
      </w:pPr>
      <w:r>
        <w:rPr>
          <w:rFonts w:ascii="Tahoma;sans-serif" w:hAnsi="Tahoma;sans-serif"/>
          <w:color w:val="000000"/>
          <w:sz w:val="19"/>
        </w:rPr>
        <w:t>25.</w:t>
      </w:r>
    </w:p>
    <w:p>
      <w:pPr>
        <w:pStyle w:val="TextBody"/>
        <w:bidi w:val="0"/>
        <w:spacing w:before="230" w:after="283"/>
        <w:jc w:val="both"/>
        <w:rPr>
          <w:rFonts w:ascii="Times New Roman" w:hAnsi="Times New Roman"/>
          <w:color w:val="000000"/>
          <w:sz w:val="19"/>
        </w:rPr>
      </w:pPr>
      <w:r>
        <w:rPr>
          <w:rFonts w:ascii="Times New Roman" w:hAnsi="Times New Roman"/>
          <w:color w:val="000000"/>
          <w:sz w:val="19"/>
        </w:rPr>
        <w:t>Indemnification. The Company hereby agrees to indemnify and hold harmless the officers and employees of the Company, and the members of its Board, from all losses, claims, costs or other liabilities arising from their acts or omissions in connection with the administration, amendment or termination of the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pStyle w:val="TextBody"/>
        <w:bidi w:val="0"/>
        <w:spacing w:before="277" w:after="283"/>
        <w:jc w:val="both"/>
        <w:rPr>
          <w:rFonts w:ascii="Tahoma;sans-serif" w:hAnsi="Tahoma;sans-serif"/>
          <w:color w:val="000000"/>
          <w:sz w:val="19"/>
        </w:rPr>
      </w:pPr>
      <w:r>
        <w:rPr>
          <w:rFonts w:ascii="Tahoma;sans-serif" w:hAnsi="Tahoma;sans-serif"/>
          <w:color w:val="000000"/>
          <w:sz w:val="19"/>
        </w:rPr>
        <w:t>26.</w:t>
      </w:r>
    </w:p>
    <w:p>
      <w:pPr>
        <w:pStyle w:val="TextBody"/>
        <w:bidi w:val="0"/>
        <w:spacing w:before="277" w:after="283"/>
        <w:jc w:val="both"/>
        <w:rPr>
          <w:rFonts w:ascii="Times New Roman" w:hAnsi="Times New Roman"/>
          <w:color w:val="000000"/>
          <w:sz w:val="19"/>
        </w:rPr>
      </w:pPr>
      <w:r>
        <w:rPr>
          <w:rFonts w:ascii="Times New Roman" w:hAnsi="Times New Roman"/>
          <w:color w:val="000000"/>
          <w:sz w:val="19"/>
        </w:rPr>
        <w:t>Additional Information.</w:t>
      </w:r>
    </w:p>
    <w:tbl>
      <w:tblPr>
        <w:tblW w:w="7802" w:type="dxa"/>
        <w:jc w:val="left"/>
        <w:tblInd w:w="0" w:type="dxa"/>
        <w:tblLayout w:type="fixed"/>
        <w:tblCellMar>
          <w:top w:w="28" w:type="dxa"/>
          <w:left w:w="28" w:type="dxa"/>
          <w:bottom w:w="28" w:type="dxa"/>
          <w:right w:w="28" w:type="dxa"/>
        </w:tblCellMar>
      </w:tblPr>
      <w:tblGrid>
        <w:gridCol w:w="2131"/>
        <w:gridCol w:w="5671"/>
      </w:tblGrid>
      <w:tr>
        <w:trPr/>
        <w:tc>
          <w:tcPr>
            <w:tcW w:w="2131"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jc w:val="left"/>
              <w:rPr>
                <w:sz w:val="4"/>
                <w:szCs w:val="4"/>
              </w:rPr>
            </w:pPr>
            <w:r>
              <w:rPr>
                <w:sz w:val="4"/>
                <w:szCs w:val="4"/>
              </w:rPr>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Name:</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Inc. 2026 Change of Control and Severance Plan</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Sponsor:</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Inc.</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 Chief Human Resources Officer</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 Milk Street, 10th Floor</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Boston, MA 02109</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Identification Numbers:</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EIN: 77-0513190</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 502</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Year</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Company's fiscal year</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Plan Administrator</w:t>
            </w:r>
            <w:r>
              <w:rPr>
                <w:rFonts w:ascii="Times New Roman" w:hAnsi="Times New Roman"/>
                <w:color w:val="000000"/>
                <w:sz w:val="20"/>
              </w:rPr>
              <w:t xml:space="preserve">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Capital Committee</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Attention:</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Administrator of the </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Inc. 2026 Change of Control and</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Plan</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 Milk Street, 10th Floor</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Boston MA, 02109</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650-266-6000</w:t>
            </w:r>
          </w:p>
        </w:tc>
      </w:tr>
    </w:tbl>
    <w:p>
      <w:pPr>
        <w:pStyle w:val="TextBody"/>
        <w:bidi w:val="0"/>
        <w:jc w:val="left"/>
        <w:rPr/>
      </w:pPr>
      <w:r>
        <w:rPr/>
        <w:t> </w:t>
      </w:r>
    </w:p>
    <w:p>
      <w:pPr>
        <w:pStyle w:val="TextBody"/>
        <w:bidi w:val="0"/>
        <w:spacing w:before="221" w:after="283"/>
        <w:jc w:val="both"/>
        <w:rPr/>
      </w:pPr>
      <w:r>
        <w:rPr/>
        <w:t> </w:t>
      </w:r>
    </w:p>
    <w:tbl>
      <w:tblPr>
        <w:tblW w:w="6827" w:type="dxa"/>
        <w:jc w:val="left"/>
        <w:tblInd w:w="0" w:type="dxa"/>
        <w:tblLayout w:type="fixed"/>
        <w:tblCellMar>
          <w:top w:w="28" w:type="dxa"/>
          <w:left w:w="28" w:type="dxa"/>
          <w:bottom w:w="28" w:type="dxa"/>
          <w:right w:w="28" w:type="dxa"/>
        </w:tblCellMar>
      </w:tblPr>
      <w:tblGrid>
        <w:gridCol w:w="1801"/>
        <w:gridCol w:w="5026"/>
      </w:tblGrid>
      <w:tr>
        <w:trPr/>
        <w:tc>
          <w:tcPr>
            <w:tcW w:w="180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Agent for Service of</w:t>
            </w:r>
          </w:p>
        </w:tc>
        <w:tc>
          <w:tcPr>
            <w:tcW w:w="5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Legal Process:</w:t>
            </w:r>
            <w:r>
              <w:rPr>
                <w:rFonts w:ascii="Times New Roman" w:hAnsi="Times New Roman"/>
                <w:color w:val="000000"/>
                <w:sz w:val="20"/>
              </w:rPr>
              <w:t xml:space="preserve"> </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Inc.</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Attention: Chief Human Resources Officer</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Change of Control and Severance Plan</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 Milk Street, 10th Floor</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650-266-6000</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of process also may be made upon the Administrator</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Type of Plan:</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Plan/Employee Welfare Benefit Plan</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Costs:</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cost of the Plan is paid by the Employer</w:t>
            </w:r>
          </w:p>
        </w:tc>
      </w:tr>
    </w:tbl>
    <w:p>
      <w:pPr>
        <w:pStyle w:val="TextBody"/>
        <w:bidi w:val="0"/>
        <w:spacing w:before="720" w:after="283"/>
        <w:jc w:val="left"/>
        <w:rPr/>
      </w:pPr>
      <w:r>
        <w:rPr/>
        <w:t> </w:t>
      </w:r>
    </w:p>
    <w:p>
      <w:pPr>
        <w:pStyle w:val="TextBody"/>
        <w:bidi w:val="0"/>
        <w:spacing w:before="86" w:after="283"/>
        <w:jc w:val="both"/>
        <w:rPr>
          <w:rFonts w:ascii="Times New Roman" w:hAnsi="Times New Roman"/>
          <w:sz w:val="20"/>
        </w:rPr>
      </w:pPr>
      <w:r>
        <w:rPr>
          <w:rFonts w:ascii="Times New Roman" w:hAnsi="Times New Roman"/>
          <w:color w:val="000000"/>
          <w:sz w:val="19"/>
        </w:rPr>
        <w:t>27.</w:t>
      </w:r>
      <w:r>
        <w:rPr>
          <w:rFonts w:ascii="Times New Roman" w:hAnsi="Times New Roman"/>
          <w:color w:val="000000"/>
          <w:sz w:val="20"/>
        </w:rPr>
        <w:t xml:space="preserve"> </w:t>
      </w:r>
      <w:r>
        <w:rPr>
          <w:rFonts w:ascii="Times New Roman" w:hAnsi="Times New Roman"/>
          <w:b/>
          <w:color w:val="000000"/>
          <w:sz w:val="19"/>
        </w:rPr>
        <w:t>Statement of ERISA Rights</w:t>
      </w:r>
      <w:r>
        <w:rPr>
          <w:rFonts w:ascii="Times New Roman" w:hAnsi="Times New Roman"/>
          <w:color w:val="000000"/>
          <w:sz w:val="19"/>
        </w:rPr>
        <w:t>. As a Participant under the Plan, you have certain rights and protections under ERISA:</w:t>
      </w:r>
    </w:p>
    <w:p>
      <w:pPr>
        <w:pStyle w:val="TextBody"/>
        <w:bidi w:val="0"/>
        <w:spacing w:before="236" w:after="283"/>
        <w:jc w:val="both"/>
        <w:rPr>
          <w:color w:val="000000"/>
        </w:rPr>
      </w:pPr>
      <w:r>
        <w:rPr>
          <w:color w:val="000000"/>
        </w:rPr>
        <w:t>•</w:t>
      </w:r>
    </w:p>
    <w:p>
      <w:pPr>
        <w:pStyle w:val="TextBody"/>
        <w:bidi w:val="0"/>
        <w:spacing w:before="236" w:after="283"/>
        <w:jc w:val="both"/>
        <w:rPr>
          <w:rFonts w:ascii="Times New Roman" w:hAnsi="Times New Roman"/>
          <w:color w:val="000000"/>
          <w:sz w:val="19"/>
        </w:rPr>
      </w:pPr>
      <w:r>
        <w:rPr>
          <w:rFonts w:ascii="Times New Roman" w:hAnsi="Times New Roman"/>
          <w:color w:val="000000"/>
          <w:sz w:val="19"/>
        </w:rPr>
        <w:t>You may examine (without charge) all Plan documents, including any amendments and copies of all documents filed with the U.S. Department of Labor. These documents are available for your review in the Company’s Human Resources Department.</w:t>
      </w:r>
    </w:p>
    <w:p>
      <w:pPr>
        <w:pStyle w:val="TextBody"/>
        <w:bidi w:val="0"/>
        <w:jc w:val="center"/>
        <w:rPr>
          <w:rFonts w:ascii="Times New Roman" w:hAnsi="Times New Roman"/>
          <w:color w:val="000000"/>
          <w:sz w:val="20"/>
        </w:rPr>
      </w:pPr>
      <w:r>
        <w:rPr>
          <w:rFonts w:ascii="Times New Roman" w:hAnsi="Times New Roman"/>
          <w:color w:val="000000"/>
          <w:sz w:val="20"/>
        </w:rPr>
        <w:t>A - 8</w:t>
      </w:r>
    </w:p>
    <w:p>
      <w:pPr>
        <w:pStyle w:val="HorizontalLine"/>
        <w:pBdr>
          <w:bottom w:val="double" w:sz="2" w:space="0" w:color="808080"/>
        </w:pBdr>
        <w:bidi w:val="0"/>
        <w:spacing w:before="0" w:after="283"/>
        <w:jc w:val="left"/>
        <w:rPr/>
      </w:pPr>
      <w:r>
        <w:rPr/>
      </w:r>
    </w:p>
    <w:p>
      <w:pPr>
        <w:pStyle w:val="TextBody"/>
        <w:bidi w:val="0"/>
        <w:spacing w:before="239" w:after="283"/>
        <w:jc w:val="both"/>
        <w:rPr>
          <w:color w:val="000000"/>
        </w:rPr>
      </w:pPr>
      <w:r>
        <w:rPr>
          <w:color w:val="000000"/>
        </w:rPr>
        <w:t>•</w:t>
      </w:r>
    </w:p>
    <w:p>
      <w:pPr>
        <w:pStyle w:val="TextBody"/>
        <w:bidi w:val="0"/>
        <w:spacing w:before="239" w:after="283"/>
        <w:jc w:val="both"/>
        <w:rPr>
          <w:rFonts w:ascii="Times New Roman" w:hAnsi="Times New Roman"/>
          <w:color w:val="000000"/>
          <w:sz w:val="19"/>
        </w:rPr>
      </w:pPr>
      <w:r>
        <w:rPr>
          <w:rFonts w:ascii="Times New Roman" w:hAnsi="Times New Roman"/>
          <w:color w:val="000000"/>
          <w:sz w:val="19"/>
        </w:rPr>
        <w:t>You may obtain copies of all Plan documents and other Plan information upon written request to the Administrator. A reasonable charge may be made for such copies.</w:t>
      </w:r>
    </w:p>
    <w:p>
      <w:pPr>
        <w:pStyle w:val="TextBody"/>
        <w:bidi w:val="0"/>
        <w:spacing w:before="224" w:after="283"/>
        <w:jc w:val="both"/>
        <w:rPr>
          <w:rFonts w:ascii="Times New Roman" w:hAnsi="Times New Roman"/>
          <w:color w:val="000000"/>
          <w:sz w:val="19"/>
        </w:rPr>
      </w:pPr>
      <w:r>
        <w:rPr>
          <w:rFonts w:ascii="Times New Roman" w:hAnsi="Times New Roman"/>
          <w:color w:val="000000"/>
          <w:sz w:val="19"/>
        </w:rPr>
        <w:t>In addition to creating rights for Participants, ERISA imposes duties upon the people who are responsible for the operation of the Plan. The people who operate the Plan (called “fiduciaries”) have a duty to do so prudently and in the interests of you and the other Participants. No one, including the Company or any other person, may fire you or otherwise discriminate against you in any way to prevent you from obtaining a benefit under the Plan or exercising your rights under ERISA. If your claim for payments or benefits under the Plan is denied, in whole or in part, you must receive a written explanation of the reason for the denial. You have the right to have the denial of your claim reviewed. (The claim review procedure is explained in Section 16 above.)</w:t>
      </w:r>
    </w:p>
    <w:p>
      <w:pPr>
        <w:pStyle w:val="TextBody"/>
        <w:bidi w:val="0"/>
        <w:spacing w:before="224" w:after="283"/>
        <w:jc w:val="both"/>
        <w:rPr>
          <w:rFonts w:ascii="Times New Roman" w:hAnsi="Times New Roman"/>
          <w:color w:val="000000"/>
          <w:sz w:val="19"/>
        </w:rPr>
      </w:pPr>
      <w:r>
        <w:rPr>
          <w:rFonts w:ascii="Times New Roman" w:hAnsi="Times New Roman"/>
          <w:color w:val="000000"/>
          <w:sz w:val="19"/>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w:t>
      </w:r>
    </w:p>
    <w:p>
      <w:pPr>
        <w:pStyle w:val="TextBody"/>
        <w:bidi w:val="0"/>
        <w:spacing w:before="291" w:after="283"/>
        <w:jc w:val="both"/>
        <w:rPr>
          <w:rFonts w:ascii="Times New Roman" w:hAnsi="Times New Roman"/>
          <w:color w:val="000000"/>
          <w:sz w:val="19"/>
        </w:rPr>
      </w:pPr>
      <w:r>
        <w:rPr>
          <w:rFonts w:ascii="Times New Roman" w:hAnsi="Times New Roman"/>
          <w:color w:val="000000"/>
          <w:sz w:val="19"/>
        </w:rPr>
        <w:t>against for asserting your rights, you may seek assistance from the U.S. Department of Labor, or you may file suit in a federal court.</w:t>
      </w:r>
    </w:p>
    <w:p>
      <w:pPr>
        <w:pStyle w:val="TextBody"/>
        <w:bidi w:val="0"/>
        <w:spacing w:before="225" w:after="283"/>
        <w:jc w:val="both"/>
        <w:rPr>
          <w:rFonts w:ascii="Times New Roman" w:hAnsi="Times New Roman"/>
          <w:color w:val="000000"/>
          <w:sz w:val="19"/>
        </w:rPr>
      </w:pPr>
      <w:r>
        <w:rPr>
          <w:rFonts w:ascii="Times New Roman" w:hAnsi="Times New Roman"/>
          <w:color w:val="000000"/>
          <w:sz w:val="19"/>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pStyle w:val="TextBody"/>
        <w:bidi w:val="0"/>
        <w:spacing w:before="227" w:after="720"/>
        <w:jc w:val="both"/>
        <w:rPr>
          <w:rFonts w:ascii="Times New Roman" w:hAnsi="Times New Roman"/>
          <w:color w:val="000000"/>
          <w:sz w:val="19"/>
        </w:rPr>
      </w:pPr>
      <w:r>
        <w:rPr>
          <w:rFonts w:ascii="Times New Roman" w:hAnsi="Times New Roman"/>
          <w:color w:val="000000"/>
          <w:sz w:val="19"/>
        </w:rPr>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pStyle w:val="TextBody"/>
        <w:bidi w:val="0"/>
        <w:jc w:val="center"/>
        <w:rPr>
          <w:rFonts w:ascii="Times New Roman" w:hAnsi="Times New Roman"/>
          <w:color w:val="000000"/>
          <w:sz w:val="20"/>
        </w:rPr>
      </w:pPr>
      <w:r>
        <w:rPr>
          <w:rFonts w:ascii="Times New Roman" w:hAnsi="Times New Roman"/>
          <w:color w:val="000000"/>
          <w:sz w:val="20"/>
        </w:rPr>
        <w:t>A - 9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294" w:after="283"/>
        <w:jc w:val="center"/>
        <w:rPr>
          <w:rFonts w:ascii="Times New Roman" w:hAnsi="Times New Roman"/>
          <w:b/>
          <w:color w:val="000000"/>
          <w:sz w:val="19"/>
        </w:rPr>
      </w:pPr>
      <w:r>
        <w:rPr>
          <w:rFonts w:ascii="Times New Roman" w:hAnsi="Times New Roman"/>
          <w:b/>
          <w:color w:val="000000"/>
          <w:sz w:val="19"/>
        </w:rPr>
        <w:t xml:space="preserve">Executive Leadership Team Members </w:t>
        <w:br/>
        <w:t>Appendix A</w:t>
      </w:r>
    </w:p>
    <w:p>
      <w:pPr>
        <w:pStyle w:val="TextBody"/>
        <w:bidi w:val="0"/>
        <w:spacing w:before="347" w:after="283"/>
        <w:jc w:val="center"/>
        <w:rPr>
          <w:rFonts w:ascii="Times New Roman" w:hAnsi="Times New Roman"/>
          <w:b/>
          <w:color w:val="000000"/>
          <w:sz w:val="19"/>
        </w:rPr>
      </w:pPr>
      <w:r>
        <w:rPr>
          <w:rFonts w:ascii="Times New Roman" w:hAnsi="Times New Roman"/>
          <w:b/>
          <w:color w:val="000000"/>
          <w:sz w:val="19"/>
        </w:rPr>
        <w:t xml:space="preserve">Standard BioTools Inc. 2026 Change of Control and </w:t>
        <w:br/>
        <w:t>Severance Plan Participation Agreement</w:t>
      </w:r>
    </w:p>
    <w:p>
      <w:pPr>
        <w:pStyle w:val="TextBody"/>
        <w:bidi w:val="0"/>
        <w:spacing w:before="227" w:after="283"/>
        <w:jc w:val="both"/>
        <w:rPr>
          <w:rFonts w:ascii="Times New Roman" w:hAnsi="Times New Roman"/>
          <w:sz w:val="20"/>
        </w:rPr>
      </w:pPr>
      <w:r>
        <w:rPr>
          <w:rFonts w:ascii="Times New Roman" w:hAnsi="Times New Roman"/>
          <w:color w:val="000000"/>
          <w:sz w:val="19"/>
        </w:rPr>
        <w:t>Standard BioTools Inc. (the “</w:t>
      </w:r>
      <w:r>
        <w:rPr>
          <w:rFonts w:ascii="Times New Roman" w:hAnsi="Times New Roman"/>
          <w:b/>
          <w:color w:val="000000"/>
          <w:sz w:val="19"/>
        </w:rPr>
        <w:t>Company</w:t>
      </w:r>
      <w:r>
        <w:rPr>
          <w:rFonts w:ascii="Times New Roman" w:hAnsi="Times New Roman"/>
          <w:color w:val="000000"/>
          <w:sz w:val="20"/>
        </w:rPr>
        <w:t>”</w:t>
      </w:r>
      <w:r>
        <w:rPr>
          <w:rFonts w:ascii="Times New Roman" w:hAnsi="Times New Roman"/>
          <w:color w:val="000000"/>
          <w:sz w:val="19"/>
        </w:rPr>
        <w:t>) is pleased to inform you that you have been selected to participate in the Company’s 2026 Change of Control and Severance Plan (the “</w:t>
      </w:r>
      <w:r>
        <w:rPr>
          <w:rFonts w:ascii="Times New Roman" w:hAnsi="Times New Roman"/>
          <w:b/>
          <w:color w:val="000000"/>
          <w:sz w:val="19"/>
        </w:rPr>
        <w:t>Plan</w:t>
      </w:r>
      <w:r>
        <w:rPr>
          <w:rFonts w:ascii="Times New Roman" w:hAnsi="Times New Roman"/>
          <w:color w:val="000000"/>
          <w:sz w:val="20"/>
        </w:rPr>
        <w:t>”</w:t>
      </w:r>
      <w:r>
        <w:rPr>
          <w:rFonts w:ascii="Times New Roman" w:hAnsi="Times New Roman"/>
          <w:color w:val="000000"/>
          <w:sz w:val="19"/>
        </w:rPr>
        <w:t>) as a Participant.</w:t>
      </w:r>
    </w:p>
    <w:p>
      <w:pPr>
        <w:pStyle w:val="TextBody"/>
        <w:bidi w:val="0"/>
        <w:spacing w:before="222" w:after="283"/>
        <w:jc w:val="both"/>
        <w:rPr>
          <w:rFonts w:ascii="Times New Roman" w:hAnsi="Times New Roman"/>
          <w:color w:val="000000"/>
          <w:sz w:val="19"/>
        </w:rPr>
      </w:pPr>
      <w:r>
        <w:rPr>
          <w:rFonts w:ascii="Times New Roman" w:hAnsi="Times New Roman"/>
          <w:color w:val="000000"/>
          <w:sz w:val="19"/>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pStyle w:val="TextBody"/>
        <w:bidi w:val="0"/>
        <w:spacing w:before="214" w:after="283"/>
        <w:jc w:val="both"/>
        <w:rPr>
          <w:rFonts w:ascii="Times New Roman" w:hAnsi="Times New Roman"/>
          <w:color w:val="000000"/>
          <w:sz w:val="19"/>
        </w:rPr>
      </w:pPr>
      <w:r>
        <w:rPr>
          <w:rFonts w:ascii="Times New Roman" w:hAnsi="Times New Roman"/>
          <w:color w:val="000000"/>
          <w:sz w:val="19"/>
        </w:rPr>
        <w:t>In order to actually become a participant in the Plan, you must complete and sign this Participation Agreement.</w:t>
      </w:r>
    </w:p>
    <w:p>
      <w:pPr>
        <w:pStyle w:val="TextBody"/>
        <w:bidi w:val="0"/>
        <w:spacing w:before="277" w:after="283"/>
        <w:jc w:val="left"/>
        <w:rPr>
          <w:rFonts w:ascii="Times New Roman" w:hAnsi="Times New Roman"/>
          <w:b/>
          <w:color w:val="000000"/>
          <w:sz w:val="19"/>
        </w:rPr>
      </w:pPr>
      <w:r>
        <w:rPr>
          <w:rFonts w:ascii="Times New Roman" w:hAnsi="Times New Roman"/>
          <w:b/>
          <w:color w:val="000000"/>
          <w:sz w:val="19"/>
        </w:rPr>
        <w:t>Definition of “Good Reason”</w:t>
      </w:r>
    </w:p>
    <w:p>
      <w:pPr>
        <w:pStyle w:val="TextBody"/>
        <w:bidi w:val="0"/>
        <w:spacing w:before="203" w:after="283"/>
        <w:jc w:val="both"/>
        <w:rPr/>
      </w:pPr>
      <w:r>
        <w:rPr>
          <w:color w:val="000000"/>
        </w:rPr>
        <w:t>“</w:t>
      </w:r>
      <w:r>
        <w:rPr>
          <w:rFonts w:ascii="Times New Roman" w:hAnsi="Times New Roman"/>
          <w:b/>
          <w:color w:val="000000"/>
          <w:sz w:val="19"/>
        </w:rPr>
        <w:t>Good Reason</w:t>
      </w:r>
      <w:r>
        <w:rPr>
          <w:rFonts w:ascii="Times New Roman" w:hAnsi="Times New Roman"/>
          <w:color w:val="000000"/>
          <w:sz w:val="20"/>
        </w:rPr>
        <w:t xml:space="preserve">” </w:t>
      </w:r>
      <w:r>
        <w:rPr>
          <w:rFonts w:ascii="Times New Roman" w:hAnsi="Times New Roman"/>
          <w:color w:val="000000"/>
          <w:sz w:val="19"/>
        </w:rPr>
        <w:t>means the occurrence of one or more of the following events effected without your prior consent, provided you terminate your employment with the Company within six months following the initial existence of the “Good Reason” condition (discussed below): (i) the assignment to you of any duties or the reduction of your then-current duties, either of which results in a material diminution in your then-current position or responsibilities with the Company including, without limitation, any negative change in reporting hierarchy involving you or the person to whom you directly report; (ii) a material reduction by the Company in your then- current base salary; (iii) a material change in the geographic location at which you must perform services (for purposes of this Participation Agreement, your relocation to a facility or a location more than 50 miles from your then-present location shall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Company cure period of 30 days following the date of such notice.</w:t>
      </w:r>
    </w:p>
    <w:p>
      <w:pPr>
        <w:pStyle w:val="TextBody"/>
        <w:bidi w:val="0"/>
        <w:spacing w:before="276" w:after="283"/>
        <w:jc w:val="left"/>
        <w:rPr>
          <w:rFonts w:ascii="Times New Roman" w:hAnsi="Times New Roman"/>
          <w:b/>
          <w:color w:val="000000"/>
          <w:sz w:val="19"/>
        </w:rPr>
      </w:pPr>
      <w:r>
        <w:rPr>
          <w:rFonts w:ascii="Times New Roman" w:hAnsi="Times New Roman"/>
          <w:b/>
          <w:color w:val="000000"/>
          <w:sz w:val="19"/>
        </w:rPr>
        <w:t>Non-COC Involuntary Termination</w:t>
      </w:r>
    </w:p>
    <w:p>
      <w:pPr>
        <w:pStyle w:val="TextBody"/>
        <w:bidi w:val="0"/>
        <w:spacing w:before="221" w:after="283"/>
        <w:jc w:val="both"/>
        <w:rPr>
          <w:rFonts w:ascii="Times New Roman" w:hAnsi="Times New Roman"/>
          <w:color w:val="000000"/>
          <w:sz w:val="19"/>
        </w:rPr>
      </w:pPr>
      <w:r>
        <w:rPr>
          <w:rFonts w:ascii="Times New Roman" w:hAnsi="Times New Roman"/>
          <w:color w:val="000000"/>
          <w:sz w:val="19"/>
        </w:rPr>
        <w:t>If, outside of the Change of Control Period, you incur a Non-COC Involuntary Termination, then subject to the terms and conditions of the Plan, you will receive:</w:t>
      </w:r>
    </w:p>
    <w:p>
      <w:pPr>
        <w:pStyle w:val="TextBody"/>
        <w:bidi w:val="0"/>
        <w:spacing w:before="138" w:after="283"/>
        <w:jc w:val="left"/>
        <w:rPr>
          <w:rFonts w:ascii="Times New Roman" w:hAnsi="Times New Roman"/>
          <w:sz w:val="20"/>
        </w:rPr>
      </w:pPr>
      <w:r>
        <w:rPr>
          <w:rFonts w:ascii="Times New Roman" w:hAnsi="Times New Roman"/>
          <w:b/>
          <w:color w:val="000000"/>
          <w:sz w:val="19"/>
        </w:rPr>
        <w:t>1.</w:t>
      </w:r>
      <w:r>
        <w:rPr>
          <w:rFonts w:ascii="Times New Roman" w:hAnsi="Times New Roman"/>
          <w:color w:val="000000"/>
          <w:sz w:val="20"/>
        </w:rPr>
        <w:t xml:space="preserve"> </w:t>
      </w:r>
      <w:r>
        <w:rPr>
          <w:rFonts w:ascii="Times New Roman" w:hAnsi="Times New Roman"/>
          <w:b/>
          <w:color w:val="000000"/>
          <w:sz w:val="19"/>
        </w:rPr>
        <w:t>Cash Severance Benefits</w:t>
      </w:r>
      <w:r>
        <w:rPr>
          <w:rFonts w:ascii="Times New Roman" w:hAnsi="Times New Roman"/>
          <w:color w:val="000000"/>
          <w:sz w:val="19"/>
        </w:rPr>
        <w:t>.</w:t>
      </w:r>
    </w:p>
    <w:p>
      <w:pPr>
        <w:pStyle w:val="TextBody"/>
        <w:bidi w:val="0"/>
        <w:spacing w:before="88" w:after="600"/>
        <w:jc w:val="both"/>
        <w:rPr>
          <w:rFonts w:ascii="Times New Roman" w:hAnsi="Times New Roman"/>
          <w:sz w:val="20"/>
        </w:rPr>
      </w:pPr>
      <w:r>
        <w:rPr>
          <w:rFonts w:ascii="Times New Roman" w:hAnsi="Times New Roman"/>
          <w:color w:val="000000"/>
          <w:sz w:val="19"/>
        </w:rPr>
        <w:t>a.</w:t>
      </w:r>
      <w:r>
        <w:rPr>
          <w:rFonts w:ascii="Times New Roman" w:hAnsi="Times New Roman"/>
          <w:color w:val="000000"/>
          <w:sz w:val="20"/>
        </w:rPr>
        <w:t xml:space="preserve"> </w:t>
      </w:r>
      <w:r>
        <w:rPr>
          <w:rFonts w:ascii="Times New Roman" w:hAnsi="Times New Roman"/>
          <w:color w:val="000000"/>
          <w:sz w:val="19"/>
        </w:rPr>
        <w:t>An aggregate amount equal to 100% of your annual base salary in effect as of the date of your Non-COC Involuntary Termination paid in equal installments over a period of 12 months following your termination date.</w:t>
      </w:r>
    </w:p>
    <w:p>
      <w:pPr>
        <w:pStyle w:val="TextBody"/>
        <w:bidi w:val="0"/>
        <w:jc w:val="both"/>
        <w:rPr>
          <w:rFonts w:ascii="Times New Roman" w:hAnsi="Times New Roman"/>
          <w:sz w:val="20"/>
        </w:rPr>
      </w:pPr>
      <w:r>
        <w:rPr>
          <w:rFonts w:ascii="Times New Roman" w:hAnsi="Times New Roman"/>
          <w:color w:val="000000"/>
          <w:sz w:val="19"/>
        </w:rPr>
        <w:t>b.</w:t>
      </w:r>
      <w:r>
        <w:rPr>
          <w:rFonts w:ascii="Times New Roman" w:hAnsi="Times New Roman"/>
          <w:color w:val="000000"/>
          <w:sz w:val="20"/>
        </w:rPr>
        <w:t xml:space="preserve"> </w:t>
      </w:r>
      <w:r>
        <w:rPr>
          <w:rFonts w:ascii="Times New Roman" w:hAnsi="Times New Roman"/>
          <w:color w:val="000000"/>
          <w:sz w:val="19"/>
        </w:rPr>
        <w:t>A lump sum amount equal to (i) your annual target bonus (as in effect immediately prior to the Non-COC Involuntary Termination), multiplied by (ii) a fraction, the numerator of which is the number of days worked by you during the year in which the Non-COC Involuntary Termination occurs and the denominator of which is 365.</w:t>
      </w:r>
    </w:p>
    <w:p>
      <w:pPr>
        <w:pStyle w:val="TextBody"/>
        <w:bidi w:val="0"/>
        <w:spacing w:before="233" w:after="283"/>
        <w:jc w:val="both"/>
        <w:rPr>
          <w:rFonts w:ascii="Tahoma;sans-serif" w:hAnsi="Tahoma;sans-serif"/>
          <w:b/>
          <w:color w:val="000000"/>
          <w:sz w:val="19"/>
        </w:rPr>
      </w:pPr>
      <w:r>
        <w:rPr>
          <w:rFonts w:ascii="Tahoma;sans-serif" w:hAnsi="Tahoma;sans-serif"/>
          <w:b/>
          <w:color w:val="000000"/>
          <w:sz w:val="19"/>
        </w:rPr>
        <w:t>2.</w:t>
      </w:r>
    </w:p>
    <w:p>
      <w:pPr>
        <w:pStyle w:val="TextBody"/>
        <w:bidi w:val="0"/>
        <w:spacing w:before="233" w:after="283"/>
        <w:jc w:val="both"/>
        <w:rPr/>
      </w:pPr>
      <w:r>
        <w:rPr>
          <w:rFonts w:ascii="Times New Roman" w:hAnsi="Times New Roman"/>
          <w:b/>
          <w:color w:val="000000"/>
          <w:sz w:val="19"/>
        </w:rPr>
        <w:t>Continued Medical Benefits</w:t>
      </w:r>
      <w:r>
        <w:rPr>
          <w:rFonts w:ascii="Times New Roman" w:hAnsi="Times New Roman"/>
          <w:color w:val="000000"/>
          <w:sz w:val="19"/>
        </w:rPr>
        <w:t>. Payment by the Company of continued health coverage under COBRA for a period of 12 months following your termination of employment. Notwithstanding the foregoing, if you are not employed in the United States, the benefit under this paragraph will be a regional equivalent to COBRA as determined by the Administrator in its sole discretion.</w:t>
      </w:r>
    </w:p>
    <w:p>
      <w:pPr>
        <w:pStyle w:val="TextBody"/>
        <w:bidi w:val="0"/>
        <w:spacing w:before="140" w:after="283"/>
        <w:jc w:val="both"/>
        <w:rPr>
          <w:rFonts w:ascii="Tahoma;sans-serif" w:hAnsi="Tahoma;sans-serif"/>
          <w:b/>
          <w:color w:val="000000"/>
          <w:sz w:val="19"/>
        </w:rPr>
      </w:pPr>
      <w:r>
        <w:rPr>
          <w:rFonts w:ascii="Tahoma;sans-serif" w:hAnsi="Tahoma;sans-serif"/>
          <w:b/>
          <w:color w:val="000000"/>
          <w:sz w:val="19"/>
        </w:rPr>
        <w:t>3.</w:t>
      </w:r>
    </w:p>
    <w:p>
      <w:pPr>
        <w:pStyle w:val="TextBody"/>
        <w:bidi w:val="0"/>
        <w:spacing w:before="140" w:after="283"/>
        <w:jc w:val="both"/>
        <w:rPr/>
      </w:pPr>
      <w:r>
        <w:rPr>
          <w:rFonts w:ascii="Times New Roman" w:hAnsi="Times New Roman"/>
          <w:b/>
          <w:color w:val="000000"/>
          <w:sz w:val="19"/>
        </w:rPr>
        <w:t>Outplacement Services</w:t>
      </w:r>
      <w:r>
        <w:rPr>
          <w:rFonts w:ascii="Times New Roman" w:hAnsi="Times New Roman"/>
          <w:color w:val="000000"/>
          <w:sz w:val="19"/>
        </w:rPr>
        <w:t>. Outplacement services as described in Section 4.3 of the Plan.</w:t>
      </w:r>
    </w:p>
    <w:p>
      <w:pPr>
        <w:pStyle w:val="TextBody"/>
        <w:bidi w:val="0"/>
        <w:spacing w:before="139" w:after="283"/>
        <w:jc w:val="left"/>
        <w:rPr>
          <w:rFonts w:ascii="Times New Roman" w:hAnsi="Times New Roman"/>
          <w:b/>
          <w:color w:val="000000"/>
          <w:sz w:val="19"/>
        </w:rPr>
      </w:pPr>
      <w:r>
        <w:rPr>
          <w:rFonts w:ascii="Times New Roman" w:hAnsi="Times New Roman"/>
          <w:b/>
          <w:color w:val="000000"/>
          <w:sz w:val="19"/>
        </w:rPr>
        <w:t>COC Involuntary Termination</w:t>
      </w:r>
    </w:p>
    <w:p>
      <w:pPr>
        <w:pStyle w:val="TextBody"/>
        <w:bidi w:val="0"/>
        <w:jc w:val="center"/>
        <w:rPr>
          <w:rFonts w:ascii="Times New Roman" w:hAnsi="Times New Roman"/>
          <w:color w:val="000000"/>
          <w:sz w:val="20"/>
        </w:rPr>
      </w:pPr>
      <w:r>
        <w:rPr>
          <w:rFonts w:ascii="Times New Roman" w:hAnsi="Times New Roman"/>
          <w:color w:val="000000"/>
          <w:sz w:val="20"/>
        </w:rPr>
        <w:t>A - 10</w:t>
      </w:r>
    </w:p>
    <w:p>
      <w:pPr>
        <w:pStyle w:val="HorizontalLine"/>
        <w:pBdr>
          <w:bottom w:val="double" w:sz="2" w:space="0" w:color="808080"/>
        </w:pBdr>
        <w:bidi w:val="0"/>
        <w:spacing w:before="0" w:after="283"/>
        <w:jc w:val="left"/>
        <w:rPr/>
      </w:pPr>
      <w:r>
        <w:rPr/>
      </w:r>
    </w:p>
    <w:p>
      <w:pPr>
        <w:pStyle w:val="TextBody"/>
        <w:bidi w:val="0"/>
        <w:spacing w:before="226" w:after="283"/>
        <w:jc w:val="both"/>
        <w:rPr>
          <w:rFonts w:ascii="Times New Roman" w:hAnsi="Times New Roman"/>
          <w:color w:val="000000"/>
          <w:sz w:val="19"/>
        </w:rPr>
      </w:pPr>
      <w:r>
        <w:rPr>
          <w:rFonts w:ascii="Times New Roman" w:hAnsi="Times New Roman"/>
          <w:color w:val="000000"/>
          <w:sz w:val="19"/>
        </w:rPr>
        <w:t>If, during the Change of Control Period, you incur a COC Involuntary Termination, then subject to the terms and conditions of the Plan, you will receive:</w:t>
      </w:r>
    </w:p>
    <w:p>
      <w:pPr>
        <w:pStyle w:val="TextBody"/>
        <w:bidi w:val="0"/>
        <w:spacing w:before="138" w:after="283"/>
        <w:jc w:val="left"/>
        <w:rPr>
          <w:rFonts w:ascii="Times New Roman" w:hAnsi="Times New Roman"/>
          <w:sz w:val="20"/>
        </w:rPr>
      </w:pPr>
      <w:r>
        <w:rPr>
          <w:rFonts w:ascii="Times New Roman" w:hAnsi="Times New Roman"/>
          <w:b/>
          <w:color w:val="000000"/>
          <w:sz w:val="19"/>
        </w:rPr>
        <w:t>1.</w:t>
      </w:r>
      <w:r>
        <w:rPr>
          <w:rFonts w:ascii="Times New Roman" w:hAnsi="Times New Roman"/>
          <w:color w:val="000000"/>
          <w:sz w:val="20"/>
        </w:rPr>
        <w:t xml:space="preserve"> </w:t>
      </w:r>
      <w:r>
        <w:rPr>
          <w:rFonts w:ascii="Times New Roman" w:hAnsi="Times New Roman"/>
          <w:b/>
          <w:color w:val="000000"/>
          <w:sz w:val="19"/>
        </w:rPr>
        <w:t>Cash Severance Benefits</w:t>
      </w:r>
      <w:r>
        <w:rPr>
          <w:rFonts w:ascii="Times New Roman" w:hAnsi="Times New Roman"/>
          <w:color w:val="000000"/>
          <w:sz w:val="19"/>
        </w:rPr>
        <w:t>.</w:t>
      </w:r>
    </w:p>
    <w:p>
      <w:pPr>
        <w:pStyle w:val="TextBody"/>
        <w:bidi w:val="0"/>
        <w:spacing w:before="98" w:after="283"/>
        <w:jc w:val="both"/>
        <w:rPr>
          <w:rFonts w:ascii="Tahoma;sans-serif" w:hAnsi="Tahoma;sans-serif"/>
          <w:color w:val="000000"/>
          <w:sz w:val="19"/>
        </w:rPr>
      </w:pPr>
      <w:r>
        <w:rPr>
          <w:rFonts w:ascii="Tahoma;sans-serif" w:hAnsi="Tahoma;sans-serif"/>
          <w:color w:val="000000"/>
          <w:sz w:val="19"/>
        </w:rPr>
        <w:t>1.</w:t>
      </w:r>
    </w:p>
    <w:p>
      <w:pPr>
        <w:pStyle w:val="TextBody"/>
        <w:bidi w:val="0"/>
        <w:spacing w:before="98" w:after="283"/>
        <w:jc w:val="both"/>
        <w:rPr>
          <w:rFonts w:ascii="Times New Roman" w:hAnsi="Times New Roman"/>
          <w:color w:val="000000"/>
          <w:sz w:val="19"/>
        </w:rPr>
      </w:pPr>
      <w:r>
        <w:rPr>
          <w:rFonts w:ascii="Times New Roman" w:hAnsi="Times New Roman"/>
          <w:color w:val="000000"/>
          <w:sz w:val="19"/>
        </w:rPr>
        <w:t>A lump-sum payment equal to 150% of the sum of (x) your annual base salary (as in effect immediately prior to the Change of Control or your COC Involuntary Termination, whichever is greater), plus (y) the greater of (A) your annual target bonus (as in effect immediately prior to the Change of Control or your COC Involuntary Termination, whichever is greater) or (B) the average of the annual bonuses actually paid to you with respect to the three fiscal years preceding the year in which your COC Involuntary Termination occurs; provided, however, that if the annual bonus with respect to the most recently preceding fiscal year has not yet been paid, your annual target bonus will be used as the bonus for that year in calculating the average.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pStyle w:val="TextBody"/>
        <w:bidi w:val="0"/>
        <w:spacing w:before="227" w:after="720"/>
        <w:jc w:val="both"/>
        <w:rPr>
          <w:rFonts w:ascii="Tahoma;sans-serif" w:hAnsi="Tahoma;sans-serif"/>
          <w:color w:val="000000"/>
          <w:sz w:val="19"/>
        </w:rPr>
      </w:pPr>
      <w:r>
        <w:rPr>
          <w:rFonts w:ascii="Tahoma;sans-serif" w:hAnsi="Tahoma;sans-serif"/>
          <w:color w:val="000000"/>
          <w:sz w:val="19"/>
        </w:rPr>
        <w:t>2.</w:t>
      </w:r>
    </w:p>
    <w:p>
      <w:pPr>
        <w:pStyle w:val="TextBody"/>
        <w:bidi w:val="0"/>
        <w:spacing w:before="227" w:after="720"/>
        <w:jc w:val="both"/>
        <w:rPr>
          <w:rFonts w:ascii="Times New Roman" w:hAnsi="Times New Roman"/>
          <w:color w:val="000000"/>
          <w:sz w:val="19"/>
        </w:rPr>
      </w:pPr>
      <w:r>
        <w:rPr>
          <w:rFonts w:ascii="Times New Roman" w:hAnsi="Times New Roman"/>
          <w:color w:val="000000"/>
          <w:sz w:val="19"/>
        </w:rPr>
        <w:t>A lump sum amount equal to (i) your annual target bonus (as in effect immediately prior to the Change of Control or your COC Involuntary Termination, whichever is greater), multiplied by (ii) a fraction, the numerator of which is the number of days worked by you during the year in which the COC Involuntary Termination occurs and the denominator of which is 365.</w:t>
      </w:r>
    </w:p>
    <w:p>
      <w:pPr>
        <w:pStyle w:val="TextBody"/>
        <w:bidi w:val="0"/>
        <w:spacing w:before="0" w:after="0"/>
        <w:jc w:val="both"/>
        <w:rPr>
          <w:rFonts w:ascii="Tahoma;sans-serif" w:hAnsi="Tahoma;sans-serif"/>
          <w:b/>
          <w:color w:val="000000"/>
          <w:sz w:val="19"/>
        </w:rPr>
      </w:pPr>
      <w:r>
        <w:rPr>
          <w:rFonts w:ascii="Tahoma;sans-serif" w:hAnsi="Tahoma;sans-serif"/>
          <w:b/>
          <w:color w:val="000000"/>
          <w:sz w:val="19"/>
        </w:rPr>
        <w:t>2.</w:t>
      </w:r>
    </w:p>
    <w:p>
      <w:pPr>
        <w:pStyle w:val="TextBody"/>
        <w:bidi w:val="0"/>
        <w:spacing w:before="0" w:after="0"/>
        <w:jc w:val="both"/>
        <w:rPr/>
      </w:pPr>
      <w:r>
        <w:rPr>
          <w:rFonts w:ascii="Times New Roman" w:hAnsi="Times New Roman"/>
          <w:b/>
          <w:color w:val="000000"/>
          <w:sz w:val="19"/>
        </w:rPr>
        <w:t>Continued Medical Benefits</w:t>
      </w:r>
      <w:r>
        <w:rPr>
          <w:rFonts w:ascii="Times New Roman" w:hAnsi="Times New Roman"/>
          <w:color w:val="000000"/>
          <w:sz w:val="19"/>
        </w:rPr>
        <w:t>. Payment by the Company of continued health coverage under COBRA for a period of 18 months following your termination of employment. Notwithstanding the foregoing, if you are not employed in the United States, the benefit under this paragraph will be a regional equivalent to COBRA determined by the Administrator in its sole discretion.</w:t>
      </w:r>
    </w:p>
    <w:p>
      <w:pPr>
        <w:pStyle w:val="TextBody"/>
        <w:bidi w:val="0"/>
        <w:spacing w:before="240" w:after="283"/>
        <w:jc w:val="both"/>
        <w:rPr>
          <w:rFonts w:ascii="Tahoma;sans-serif" w:hAnsi="Tahoma;sans-serif"/>
          <w:b/>
          <w:color w:val="000000"/>
          <w:sz w:val="19"/>
        </w:rPr>
      </w:pPr>
      <w:r>
        <w:rPr>
          <w:rFonts w:ascii="Tahoma;sans-serif" w:hAnsi="Tahoma;sans-serif"/>
          <w:b/>
          <w:color w:val="000000"/>
          <w:sz w:val="19"/>
        </w:rPr>
        <w:t>3.</w:t>
      </w:r>
    </w:p>
    <w:p>
      <w:pPr>
        <w:pStyle w:val="TextBody"/>
        <w:bidi w:val="0"/>
        <w:spacing w:before="240" w:after="283"/>
        <w:jc w:val="both"/>
        <w:rPr/>
      </w:pPr>
      <w:r>
        <w:rPr>
          <w:rFonts w:ascii="Times New Roman" w:hAnsi="Times New Roman"/>
          <w:b/>
          <w:color w:val="000000"/>
          <w:sz w:val="19"/>
        </w:rPr>
        <w:t>Equity Award Vesting Acceleration</w:t>
      </w:r>
      <w:r>
        <w:rPr>
          <w:rFonts w:ascii="Times New Roman" w:hAnsi="Times New Roman"/>
          <w:color w:val="000000"/>
          <w:sz w:val="19"/>
        </w:rPr>
        <w:t>. 100% of your then-outstanding and unvested Equity Awards will become vested in full. If, however, an 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issued to you as promptly as practicable and no more than 30 days after they become issuable (whether through the vesting acceleration alone or upon an exercise of options following such vesting acceleration). Notwithstanding the foregoing, to the extent that the payment or settlement of an Equity Award is subject to Section 409A, the Equity Award will be paid or settled in a manner that will meet the requirements of Section 409A such that the payment or settlement will not be subject to the additional tax or interest applicable under Section 409A.</w:t>
      </w:r>
    </w:p>
    <w:p>
      <w:pPr>
        <w:pStyle w:val="TextBody"/>
        <w:bidi w:val="0"/>
        <w:spacing w:before="230" w:after="283"/>
        <w:jc w:val="both"/>
        <w:rPr>
          <w:rFonts w:ascii="Tahoma;sans-serif" w:hAnsi="Tahoma;sans-serif"/>
          <w:b/>
          <w:color w:val="000000"/>
          <w:sz w:val="19"/>
        </w:rPr>
      </w:pPr>
      <w:r>
        <w:rPr>
          <w:rFonts w:ascii="Tahoma;sans-serif" w:hAnsi="Tahoma;sans-serif"/>
          <w:b/>
          <w:color w:val="000000"/>
          <w:sz w:val="19"/>
        </w:rPr>
        <w:t>4.</w:t>
      </w:r>
    </w:p>
    <w:p>
      <w:pPr>
        <w:pStyle w:val="TextBody"/>
        <w:bidi w:val="0"/>
        <w:spacing w:before="230" w:after="283"/>
        <w:jc w:val="both"/>
        <w:rPr/>
      </w:pPr>
      <w:r>
        <w:rPr>
          <w:rFonts w:ascii="Times New Roman" w:hAnsi="Times New Roman"/>
          <w:b/>
          <w:color w:val="000000"/>
          <w:sz w:val="19"/>
        </w:rPr>
        <w:t>Outplacement Services</w:t>
      </w:r>
      <w:r>
        <w:rPr>
          <w:rFonts w:ascii="Times New Roman" w:hAnsi="Times New Roman"/>
          <w:color w:val="000000"/>
          <w:sz w:val="19"/>
        </w:rPr>
        <w:t>. Outplacement services as described in Section 5.4 of the Plan.</w:t>
      </w:r>
    </w:p>
    <w:p>
      <w:pPr>
        <w:pStyle w:val="TextBody"/>
        <w:bidi w:val="0"/>
        <w:spacing w:before="274" w:after="283"/>
        <w:jc w:val="left"/>
        <w:rPr>
          <w:rFonts w:ascii="Times New Roman" w:hAnsi="Times New Roman"/>
          <w:b/>
          <w:color w:val="000000"/>
          <w:sz w:val="19"/>
        </w:rPr>
      </w:pPr>
      <w:r>
        <w:rPr>
          <w:rFonts w:ascii="Times New Roman" w:hAnsi="Times New Roman"/>
          <w:b/>
          <w:color w:val="000000"/>
          <w:sz w:val="19"/>
        </w:rPr>
        <w:t>Additional Benefits</w:t>
      </w:r>
    </w:p>
    <w:p>
      <w:pPr>
        <w:pStyle w:val="TextBody"/>
        <w:bidi w:val="0"/>
        <w:spacing w:before="228" w:after="283"/>
        <w:jc w:val="both"/>
        <w:rPr>
          <w:rFonts w:ascii="Tahoma;sans-serif" w:hAnsi="Tahoma;sans-serif"/>
          <w:color w:val="000000"/>
          <w:sz w:val="19"/>
        </w:rPr>
      </w:pPr>
      <w:r>
        <w:rPr>
          <w:rFonts w:ascii="Tahoma;sans-serif" w:hAnsi="Tahoma;sans-serif"/>
          <w:color w:val="000000"/>
          <w:sz w:val="19"/>
        </w:rPr>
        <w:t>1.</w:t>
      </w:r>
    </w:p>
    <w:p>
      <w:pPr>
        <w:pStyle w:val="TextBody"/>
        <w:bidi w:val="0"/>
        <w:spacing w:before="228" w:after="283"/>
        <w:jc w:val="both"/>
        <w:rPr>
          <w:rFonts w:ascii="Times New Roman" w:hAnsi="Times New Roman"/>
          <w:color w:val="000000"/>
          <w:sz w:val="19"/>
        </w:rPr>
      </w:pPr>
      <w:r>
        <w:rPr>
          <w:rFonts w:ascii="Times New Roman" w:hAnsi="Times New Roman"/>
          <w:color w:val="000000"/>
          <w:sz w:val="19"/>
        </w:rPr>
        <w:t>In addition to the foregoing benefits, in addition to the Plan benefits described above, if, during the Change of Control Period, you incur a COC Involuntary Termination, then subject to the terms and conditions of the Plan, the Company will reimburse your reasonable attorneys’ fees incurred in connection with the review of the Release and any related separation agreements and documents, up to $5,000.</w:t>
      </w:r>
    </w:p>
    <w:p>
      <w:pPr>
        <w:pStyle w:val="TextBody"/>
        <w:bidi w:val="0"/>
        <w:spacing w:before="230" w:after="720"/>
        <w:jc w:val="both"/>
        <w:rPr>
          <w:rFonts w:ascii="Tahoma;sans-serif" w:hAnsi="Tahoma;sans-serif"/>
          <w:color w:val="000000"/>
          <w:sz w:val="19"/>
        </w:rPr>
      </w:pPr>
      <w:r>
        <w:rPr>
          <w:rFonts w:ascii="Tahoma;sans-serif" w:hAnsi="Tahoma;sans-serif"/>
          <w:color w:val="000000"/>
          <w:sz w:val="19"/>
        </w:rPr>
        <w:t>2.</w:t>
      </w:r>
    </w:p>
    <w:p>
      <w:pPr>
        <w:pStyle w:val="TextBody"/>
        <w:bidi w:val="0"/>
        <w:spacing w:before="230" w:after="720"/>
        <w:jc w:val="both"/>
        <w:rPr>
          <w:rFonts w:ascii="Times New Roman" w:hAnsi="Times New Roman"/>
          <w:color w:val="000000"/>
          <w:sz w:val="19"/>
        </w:rPr>
      </w:pPr>
      <w:r>
        <w:rPr>
          <w:rFonts w:ascii="Times New Roman" w:hAnsi="Times New Roman"/>
          <w:color w:val="000000"/>
          <w:sz w:val="19"/>
        </w:rPr>
        <w:t>In addition to the Non-COC Involuntary Termination benefits described above, if you incur a Non-COC Involuntary Termination on or prior to August 27, 2026, then subject to the terms and condition of the Plan, you will receive the equity award vesting acceleration as described under paragraph 3 above under the heading COC Involuntary Termination.</w:t>
      </w:r>
    </w:p>
    <w:p>
      <w:pPr>
        <w:pStyle w:val="TextBody"/>
        <w:bidi w:val="0"/>
        <w:jc w:val="center"/>
        <w:rPr>
          <w:rFonts w:ascii="Times New Roman" w:hAnsi="Times New Roman"/>
          <w:color w:val="000000"/>
          <w:sz w:val="20"/>
        </w:rPr>
      </w:pPr>
      <w:r>
        <w:rPr>
          <w:rFonts w:ascii="Times New Roman" w:hAnsi="Times New Roman"/>
          <w:color w:val="000000"/>
          <w:sz w:val="20"/>
        </w:rPr>
        <w:t>A - 11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341" w:after="283"/>
        <w:jc w:val="left"/>
        <w:rPr>
          <w:rFonts w:ascii="Times New Roman" w:hAnsi="Times New Roman"/>
          <w:color w:val="000000"/>
          <w:sz w:val="19"/>
        </w:rPr>
      </w:pPr>
      <w:r>
        <w:rPr>
          <w:rFonts w:ascii="Times New Roman" w:hAnsi="Times New Roman"/>
          <w:color w:val="000000"/>
          <w:sz w:val="19"/>
        </w:rPr>
        <w:t>General Provisions</w:t>
      </w:r>
    </w:p>
    <w:p>
      <w:pPr>
        <w:pStyle w:val="TextBody"/>
        <w:bidi w:val="0"/>
        <w:spacing w:before="223" w:after="283"/>
        <w:jc w:val="both"/>
        <w:rPr>
          <w:rFonts w:ascii="Times New Roman" w:hAnsi="Times New Roman"/>
          <w:color w:val="000000"/>
          <w:sz w:val="19"/>
        </w:rPr>
      </w:pPr>
      <w:r>
        <w:rPr>
          <w:rFonts w:ascii="Times New Roman" w:hAnsi="Times New Roman"/>
          <w:color w:val="000000"/>
          <w:sz w:val="19"/>
        </w:rPr>
        <w:t>For clarity, any severance payments provided for herein that are based on annual base salary (and any reduction to base salary constituting “Good Reason”) shall be calculated without giving effect to any temporary reduction in base salary imposed by the Company or agreed to by you in connection with any global pandemic or comparable global or U.S. emergency that threatens the Company’s economic position.</w:t>
      </w:r>
    </w:p>
    <w:p>
      <w:pPr>
        <w:pStyle w:val="TextBody"/>
        <w:bidi w:val="0"/>
        <w:spacing w:before="223" w:after="283"/>
        <w:jc w:val="both"/>
        <w:rPr>
          <w:rFonts w:ascii="Times New Roman" w:hAnsi="Times New Roman"/>
          <w:color w:val="000000"/>
          <w:sz w:val="19"/>
        </w:rPr>
      </w:pPr>
      <w:r>
        <w:rPr>
          <w:rFonts w:ascii="Times New Roman" w:hAnsi="Times New Roman"/>
          <w:color w:val="000000"/>
          <w:sz w:val="19"/>
        </w:rPr>
        <w:t>In order to receive any Severance Benefits for which you otherwise become eligible under the Plan, you must sign and deliver to the Company the Release, which must have become effective and irrevocable within the requisite period set forth in the Plan.</w:t>
      </w:r>
    </w:p>
    <w:p>
      <w:pPr>
        <w:pStyle w:val="TextBody"/>
        <w:bidi w:val="0"/>
        <w:spacing w:before="720" w:after="720"/>
        <w:jc w:val="center"/>
        <w:rPr>
          <w:rFonts w:ascii="Times New Roman" w:hAnsi="Times New Roman"/>
          <w:i/>
          <w:color w:val="000000"/>
          <w:sz w:val="20"/>
        </w:rPr>
      </w:pPr>
      <w:r>
        <w:rPr>
          <w:rFonts w:ascii="Times New Roman" w:hAnsi="Times New Roman"/>
          <w:i/>
          <w:color w:val="000000"/>
          <w:sz w:val="20"/>
        </w:rPr>
        <w:t>[Remainder of This Page Intentionally Left Blank]</w:t>
      </w:r>
    </w:p>
    <w:p>
      <w:pPr>
        <w:pStyle w:val="TextBody"/>
        <w:bidi w:val="0"/>
        <w:jc w:val="both"/>
        <w:rPr>
          <w:rFonts w:ascii="Times New Roman" w:hAnsi="Times New Roman"/>
          <w:sz w:val="20"/>
        </w:rPr>
      </w:pPr>
      <w:r>
        <w:rPr>
          <w:rFonts w:ascii="Times New Roman" w:hAnsi="Times New Roman"/>
          <w:color w:val="000000"/>
          <w:sz w:val="19"/>
        </w:rPr>
        <w:t>By your signature below, you and the Company agree that your participation in the Plan is governed by this Participation Agreement and the provisions of the Plan. Your signature below confirms that: (1) you have received a copy of the 2026 Change of Control and Severance Plan and Summary Plan Description; (2) you have carefully read this Participation Agreement and the 2026 Change of Control and Severance Plan and Summary Plan Description; (3) decisions and determinations by the Administrator under the Plan will be final and binding on you and your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A - 12</w:t>
      </w:r>
    </w:p>
    <w:p>
      <w:pPr>
        <w:pStyle w:val="HorizontalLine"/>
        <w:pBdr>
          <w:bottom w:val="double" w:sz="2" w:space="0" w:color="808080"/>
        </w:pBdr>
        <w:bidi w:val="0"/>
        <w:spacing w:before="0" w:after="283"/>
        <w:jc w:val="left"/>
        <w:rPr/>
      </w:pPr>
      <w:r>
        <w:rPr/>
      </w:r>
    </w:p>
    <w:p>
      <w:pPr>
        <w:pStyle w:val="TextBody"/>
        <w:bidi w:val="0"/>
        <w:spacing w:before="300" w:after="283"/>
        <w:jc w:val="both"/>
        <w:rPr>
          <w:rFonts w:ascii="Times New Roman" w:hAnsi="Times New Roman"/>
          <w:color w:val="000000"/>
          <w:sz w:val="19"/>
        </w:rPr>
      </w:pPr>
      <w:r>
        <w:rPr>
          <w:rFonts w:ascii="Times New Roman" w:hAnsi="Times New Roman"/>
          <w:color w:val="000000"/>
          <w:sz w:val="19"/>
        </w:rPr>
        <w:t>successors; and (4) participation in the Plan and this Participation Agreement replaces in its entirety any severance and/or change of control provisions set forth in any offer letter, employment agreement and/or Equity Award agreement, including, but not limited to, the Prior Plan.</w:t>
      </w:r>
    </w:p>
    <w:p>
      <w:pPr>
        <w:pStyle w:val="TextBody"/>
        <w:bidi w:val="0"/>
        <w:spacing w:before="300" w:after="283"/>
        <w:jc w:val="both"/>
        <w:rPr/>
      </w:pPr>
      <w:r>
        <w:rPr/>
        <w:t> </w:t>
      </w:r>
    </w:p>
    <w:tbl>
      <w:tblPr>
        <w:tblW w:w="5398" w:type="dxa"/>
        <w:jc w:val="left"/>
        <w:tblInd w:w="0" w:type="dxa"/>
        <w:tblLayout w:type="fixed"/>
        <w:tblCellMar>
          <w:top w:w="28" w:type="dxa"/>
          <w:left w:w="28" w:type="dxa"/>
          <w:bottom w:w="28" w:type="dxa"/>
          <w:right w:w="28" w:type="dxa"/>
        </w:tblCellMar>
      </w:tblPr>
      <w:tblGrid>
        <w:gridCol w:w="3391"/>
        <w:gridCol w:w="146"/>
        <w:gridCol w:w="186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STANDARD BIOTOOLS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PARTICIPANT</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r>
    </w:tbl>
    <w:p>
      <w:pPr>
        <w:pStyle w:val="TextBody"/>
        <w:bidi w:val="0"/>
        <w:jc w:val="left"/>
        <w:rPr/>
      </w:pPr>
      <w:r>
        <w:rPr/>
        <w:t> </w:t>
      </w:r>
    </w:p>
    <w:p>
      <w:pPr>
        <w:pStyle w:val="TextBody"/>
        <w:bidi w:val="0"/>
        <w:spacing w:before="0" w:after="46"/>
        <w:jc w:val="left"/>
        <w:rPr/>
      </w:pPr>
      <w:r>
        <w:rPr/>
        <w:t> </w:t>
      </w:r>
    </w:p>
    <w:p>
      <w:pPr>
        <w:pStyle w:val="TextBody"/>
        <w:bidi w:val="0"/>
        <w:spacing w:before="674" w:after="720"/>
        <w:jc w:val="left"/>
        <w:rPr>
          <w:rFonts w:ascii="Times New Roman" w:hAnsi="Times New Roman"/>
          <w:color w:val="000000"/>
          <w:sz w:val="19"/>
        </w:rPr>
      </w:pPr>
      <w:r>
        <w:rPr>
          <w:rFonts w:ascii="Times New Roman" w:hAnsi="Times New Roman"/>
          <w:color w:val="000000"/>
          <w:sz w:val="19"/>
        </w:rPr>
        <w:t>Attachment: Standard BioTools Inc. 2026 Change of Control and Severance Plan and Summary Plan Description</w:t>
      </w:r>
    </w:p>
    <w:p>
      <w:pPr>
        <w:pStyle w:val="TextBody"/>
        <w:bidi w:val="0"/>
        <w:jc w:val="center"/>
        <w:rPr>
          <w:rFonts w:ascii="Times New Roman" w:hAnsi="Times New Roman"/>
          <w:i/>
          <w:color w:val="000000"/>
          <w:sz w:val="19"/>
        </w:rPr>
      </w:pPr>
      <w:r>
        <w:rPr>
          <w:rFonts w:ascii="Times New Roman" w:hAnsi="Times New Roman"/>
          <w:i/>
          <w:color w:val="000000"/>
          <w:sz w:val="19"/>
        </w:rPr>
        <w:t>[Signature Page to the Participation Agreement]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 - 13</w:t>
      </w:r>
    </w:p>
    <w:p>
      <w:pPr>
        <w:pStyle w:val="HorizontalLine"/>
        <w:pBdr>
          <w:bottom w:val="double" w:sz="2" w:space="0" w:color="808080"/>
        </w:pBdr>
        <w:bidi w:val="0"/>
        <w:spacing w:before="0" w:after="283"/>
        <w:jc w:val="left"/>
        <w:rPr/>
      </w:pPr>
      <w:r>
        <w:rPr/>
      </w:r>
    </w:p>
    <w:p>
      <w:pPr>
        <w:pStyle w:val="TextBody"/>
        <w:bidi w:val="0"/>
        <w:jc w:val="left"/>
        <w:rPr/>
      </w:pPr>
      <w:bookmarkStart w:id="5" w:name="lab-ex10_2.htm"/>
      <w:bookmarkStart w:id="6" w:name="kslabex10_2"/>
      <w:bookmarkEnd w:id="5"/>
      <w:bookmarkEnd w:id="6"/>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10.2</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Appendix A</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4"/>
        </w:rPr>
        <w:t>Executive Leadership Team Members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4"/>
        </w:rPr>
        <w:t>Standard BioTools Inc. 2026 Change of Control and Severance Plan</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Participation Agreement</w:t>
      </w:r>
    </w:p>
    <w:p>
      <w:pPr>
        <w:pStyle w:val="TextBody"/>
        <w:bidi w:val="0"/>
        <w:spacing w:before="0" w:after="240"/>
        <w:jc w:val="both"/>
        <w:rPr>
          <w:rFonts w:ascii="Times New Roman" w:hAnsi="Times New Roman"/>
          <w:sz w:val="20"/>
        </w:rPr>
      </w:pPr>
      <w:r>
        <w:rPr>
          <w:rFonts w:ascii="Times New Roman" w:hAnsi="Times New Roman"/>
          <w:color w:val="000000"/>
          <w:sz w:val="24"/>
        </w:rPr>
        <w:t>Standard BioTools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is pleased to inform you that you have been selected to participate in the Company’s 2026 Change of Control and Severance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as a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order to actually become a participant in the Plan, you must complete and sign this Participation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Definition of “Good Reason”</w:t>
      </w:r>
    </w:p>
    <w:p>
      <w:pPr>
        <w:pStyle w:val="TextBody"/>
        <w:bidi w:val="0"/>
        <w:spacing w:before="0" w:after="240"/>
        <w:jc w:val="both"/>
        <w:rPr/>
      </w:pPr>
      <w:r>
        <w:rPr>
          <w:color w:val="000000"/>
        </w:rPr>
        <w:t>“</w:t>
      </w:r>
      <w:r>
        <w:rPr>
          <w:rFonts w:ascii="Times New Roman" w:hAnsi="Times New Roman"/>
          <w:b/>
          <w:i/>
          <w:color w:val="000000"/>
          <w:sz w:val="24"/>
        </w:rPr>
        <w:t>Good Reason</w:t>
      </w:r>
      <w:r>
        <w:rPr>
          <w:rFonts w:ascii="Times New Roman" w:hAnsi="Times New Roman"/>
          <w:color w:val="000000"/>
          <w:sz w:val="20"/>
        </w:rPr>
        <w:t xml:space="preserve">” </w:t>
      </w:r>
      <w:r>
        <w:rPr>
          <w:rFonts w:ascii="Times New Roman" w:hAnsi="Times New Roman"/>
          <w:color w:val="000000"/>
          <w:sz w:val="24"/>
        </w:rPr>
        <w:t>means the occurrence of one or more of the following events effected without your prior consent, provided you terminate your employment with the Company within six months following the initial existence of the “Good Reason” condition (discussed below): (i) the assignment to you of any duties or the reduction of your then-current duties, either of which results in a material diminution in your then-current position or responsibilities with the Company including, without limitation, any negative change in reporting hierarchy involving you or the person to whom you directly report; (ii) a material reduction by the Company in your then- current base salary; (iii) a material change in the geographic location at which you must perform services (for purposes of this Participation Agreement, your relocation to a facility or a location more than 50 miles from your then-present location shall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Company cure period of 30 days following the date of such notice.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Non-COC Involuntary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outside of the Change of Control Period, you incur a Non-COC Involuntary Termination, then subject to the terms and conditions of the Plan, you will receive:</w:t>
      </w:r>
    </w:p>
    <w:p>
      <w:pPr>
        <w:pStyle w:val="TextBody"/>
        <w:bidi w:val="0"/>
        <w:spacing w:before="0" w:after="240"/>
        <w:jc w:val="both"/>
        <w:rPr>
          <w:rFonts w:ascii="Times New Roman" w:hAnsi="Times New Roman"/>
          <w:sz w:val="20"/>
        </w:rPr>
      </w:pPr>
      <w:r>
        <w:rPr>
          <w:rFonts w:ascii="Times New Roman" w:hAnsi="Times New Roman"/>
          <w:b/>
          <w:color w:val="000000"/>
          <w:sz w:val="24"/>
        </w:rPr>
        <w:t>1.</w:t>
      </w:r>
      <w:r>
        <w:rPr>
          <w:rFonts w:ascii="Times New Roman" w:hAnsi="Times New Roman"/>
          <w:color w:val="000000"/>
          <w:sz w:val="20"/>
        </w:rPr>
        <w:t xml:space="preserve"> </w:t>
      </w:r>
      <w:r>
        <w:rPr>
          <w:rFonts w:ascii="Times New Roman" w:hAnsi="Times New Roman"/>
          <w:b/>
          <w:color w:val="000000"/>
          <w:sz w:val="24"/>
        </w:rPr>
        <w:t>Cash Severance Benefits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An aggregate amount equal to 100% of your annual base salary in effect as of the date of your Non-COC Involuntary Termination paid in equal installments over a period of 12 months following your termination date.</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 lump sum amount equal to (i) your annual target bonus (as in effect immediately prior to the Non-COC Involuntary Termination), multiplied by (ii) a fraction, the numerator of which is the number of days worked by you during the year in which the Non-COC Involuntary Termination occurs and the denominator of which is 365.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2.</w:t>
      </w:r>
      <w:r>
        <w:rPr>
          <w:rFonts w:ascii="Times New Roman" w:hAnsi="Times New Roman"/>
          <w:color w:val="000000"/>
          <w:sz w:val="20"/>
        </w:rPr>
        <w:t xml:space="preserve"> </w:t>
      </w:r>
      <w:r>
        <w:rPr>
          <w:rFonts w:ascii="Times New Roman" w:hAnsi="Times New Roman"/>
          <w:b/>
          <w:color w:val="000000"/>
          <w:sz w:val="24"/>
        </w:rPr>
        <w:t>Continued Medical Benefits</w:t>
      </w:r>
      <w:r>
        <w:rPr>
          <w:rFonts w:ascii="Times New Roman" w:hAnsi="Times New Roman"/>
          <w:color w:val="000000"/>
          <w:sz w:val="24"/>
        </w:rPr>
        <w:t>. Payment by the Company of continued health coverage under COBRA for a period of 12 months following your termination of employment. Notwithstanding the foregoing, if you are not employed in the United States, the benefit under this paragraph will be a regional equivalent to COBRA as determined by the Administrator in its sole discretion.</w:t>
      </w:r>
    </w:p>
    <w:p>
      <w:pPr>
        <w:pStyle w:val="TextBody"/>
        <w:bidi w:val="0"/>
        <w:spacing w:before="0" w:after="240"/>
        <w:jc w:val="both"/>
        <w:rPr>
          <w:rFonts w:ascii="Times New Roman" w:hAnsi="Times New Roman"/>
          <w:sz w:val="20"/>
        </w:rPr>
      </w:pPr>
      <w:r>
        <w:rPr>
          <w:rFonts w:ascii="Times New Roman" w:hAnsi="Times New Roman"/>
          <w:b/>
          <w:color w:val="000000"/>
          <w:sz w:val="24"/>
        </w:rPr>
        <w:t>3.</w:t>
      </w:r>
      <w:r>
        <w:rPr>
          <w:rFonts w:ascii="Times New Roman" w:hAnsi="Times New Roman"/>
          <w:color w:val="000000"/>
          <w:sz w:val="20"/>
        </w:rPr>
        <w:t xml:space="preserve"> </w:t>
      </w:r>
      <w:r>
        <w:rPr>
          <w:rFonts w:ascii="Times New Roman" w:hAnsi="Times New Roman"/>
          <w:b/>
          <w:color w:val="000000"/>
          <w:sz w:val="24"/>
        </w:rPr>
        <w:t>Outplacement Services</w:t>
      </w:r>
      <w:r>
        <w:rPr>
          <w:rFonts w:ascii="Times New Roman" w:hAnsi="Times New Roman"/>
          <w:color w:val="000000"/>
          <w:sz w:val="24"/>
        </w:rPr>
        <w:t>. Outplacement services as described in Section 4.3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COC Involuntary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during the Change of Control Period, you incur a COC Involuntary Termination, then subject to the terms and conditions of the Plan, you will receive:</w:t>
      </w:r>
    </w:p>
    <w:p>
      <w:pPr>
        <w:pStyle w:val="TextBody"/>
        <w:bidi w:val="0"/>
        <w:spacing w:before="0" w:after="240"/>
        <w:jc w:val="both"/>
        <w:rPr>
          <w:rFonts w:ascii="Times New Roman" w:hAnsi="Times New Roman"/>
          <w:sz w:val="20"/>
        </w:rPr>
      </w:pPr>
      <w:r>
        <w:rPr>
          <w:rFonts w:ascii="Times New Roman" w:hAnsi="Times New Roman"/>
          <w:b/>
          <w:color w:val="000000"/>
          <w:sz w:val="24"/>
        </w:rPr>
        <w:t>1.</w:t>
      </w:r>
      <w:r>
        <w:rPr>
          <w:rFonts w:ascii="Times New Roman" w:hAnsi="Times New Roman"/>
          <w:color w:val="000000"/>
          <w:sz w:val="20"/>
        </w:rPr>
        <w:t xml:space="preserve"> </w:t>
      </w:r>
      <w:r>
        <w:rPr>
          <w:rFonts w:ascii="Times New Roman" w:hAnsi="Times New Roman"/>
          <w:b/>
          <w:color w:val="000000"/>
          <w:sz w:val="24"/>
        </w:rPr>
        <w:t>Cash Severance Benefits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 lump-sum payment equal to 150% of the sum of (x) your annual base salary (as in effect immediately prior to the Change of Control or your COC Involuntary Termination, whichever is greater), plus (y) the greater of (A) your annual target bonus (as in effect immediately prior to the Change of Control or your COC Involuntary Termination, whichever is greater) or (B) the average of the annual bonuses actually paid to you with respect to the three fiscal years preceding the year in which your COC Involuntary Termination occurs; provided, however, that if the annual bonus with respect to the most recently preceding fiscal year has not yet been paid, your annual target bonus will be used as the bonus for that year in calculating the average.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 lump sum amount equal to (i) your annual target bonus (as in effect immediately prior to the Change of Control or your COC Involuntary Termination, whichever is greater), multiplied by (ii) a fraction, the numerator of which is the number of days worked by you during the year in which the COC Involuntary Termination occurs and the denominator of which is 365.</w:t>
      </w:r>
    </w:p>
    <w:p>
      <w:pPr>
        <w:pStyle w:val="TextBody"/>
        <w:bidi w:val="0"/>
        <w:spacing w:before="0" w:after="240"/>
        <w:jc w:val="both"/>
        <w:rPr>
          <w:rFonts w:ascii="Times New Roman" w:hAnsi="Times New Roman"/>
          <w:sz w:val="20"/>
        </w:rPr>
      </w:pPr>
      <w:r>
        <w:rPr>
          <w:rFonts w:ascii="Times New Roman" w:hAnsi="Times New Roman"/>
          <w:b/>
          <w:color w:val="000000"/>
          <w:sz w:val="24"/>
        </w:rPr>
        <w:t>2.</w:t>
      </w:r>
      <w:r>
        <w:rPr>
          <w:rFonts w:ascii="Times New Roman" w:hAnsi="Times New Roman"/>
          <w:color w:val="000000"/>
          <w:sz w:val="20"/>
        </w:rPr>
        <w:t xml:space="preserve"> </w:t>
      </w:r>
      <w:r>
        <w:rPr>
          <w:rFonts w:ascii="Times New Roman" w:hAnsi="Times New Roman"/>
          <w:b/>
          <w:color w:val="000000"/>
          <w:sz w:val="24"/>
        </w:rPr>
        <w:t>Continued Medical Benefits</w:t>
      </w:r>
      <w:r>
        <w:rPr>
          <w:rFonts w:ascii="Times New Roman" w:hAnsi="Times New Roman"/>
          <w:color w:val="000000"/>
          <w:sz w:val="24"/>
        </w:rPr>
        <w:t>. Payment by the Company of continued health coverage under COBRA for a period of 18 months following your termination of employment. Notwithstanding the foregoing, if you are not employed in the United States, the benefit under this paragraph will be a regional equivalent to COBRA determined by the Administrator in its sole discretion.</w:t>
      </w:r>
    </w:p>
    <w:p>
      <w:pPr>
        <w:pStyle w:val="TextBody"/>
        <w:bidi w:val="0"/>
        <w:spacing w:before="0" w:after="240"/>
        <w:jc w:val="both"/>
        <w:rPr>
          <w:rFonts w:ascii="Times New Roman" w:hAnsi="Times New Roman"/>
          <w:sz w:val="20"/>
        </w:rPr>
      </w:pPr>
      <w:r>
        <w:rPr>
          <w:rFonts w:ascii="Times New Roman" w:hAnsi="Times New Roman"/>
          <w:b/>
          <w:color w:val="000000"/>
          <w:sz w:val="24"/>
        </w:rPr>
        <w:t>3.</w:t>
      </w:r>
      <w:r>
        <w:rPr>
          <w:rFonts w:ascii="Times New Roman" w:hAnsi="Times New Roman"/>
          <w:color w:val="000000"/>
          <w:sz w:val="20"/>
        </w:rPr>
        <w:t xml:space="preserve"> </w:t>
      </w:r>
      <w:r>
        <w:rPr>
          <w:rFonts w:ascii="Times New Roman" w:hAnsi="Times New Roman"/>
          <w:b/>
          <w:color w:val="000000"/>
          <w:sz w:val="24"/>
        </w:rPr>
        <w:t>Equity Award Vesting Acceleration</w:t>
      </w:r>
      <w:r>
        <w:rPr>
          <w:rFonts w:ascii="Times New Roman" w:hAnsi="Times New Roman"/>
          <w:color w:val="000000"/>
          <w:sz w:val="24"/>
        </w:rPr>
        <w:t>. 100% of your then-outstanding and unvested Equity Awards will become vested in full. If, however, an 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issued to you as promptly as practicable and no more than 30 days after they become issuable (whether through the vesting acceleration alone or upon an exercise of options following such vesting acceleration). Notwithstanding the foregoing, to the extent that the payment or settlement of an Equity Award is subject to Section 409A, the Equity Award will be paid or settled in a manner that will meet the requirements of Section 409A such that the payment or settlement will not be subject to the additional tax or interest applicable under Section 409A.</w:t>
      </w:r>
    </w:p>
    <w:p>
      <w:pPr>
        <w:pStyle w:val="TextBody"/>
        <w:bidi w:val="0"/>
        <w:jc w:val="center"/>
        <w:rPr>
          <w:rFonts w:ascii="Times New Roman" w:hAnsi="Times New Roman"/>
          <w:color w:val="000000"/>
          <w:sz w:val="20"/>
        </w:rPr>
      </w:pPr>
      <w:r>
        <w:rPr>
          <w:rFonts w:ascii="Times New Roman" w:hAnsi="Times New Roman"/>
          <w:color w:val="000000"/>
          <w:sz w:val="20"/>
        </w:rPr>
        <w:t>A - 2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4.</w:t>
      </w:r>
      <w:r>
        <w:rPr>
          <w:rFonts w:ascii="Times New Roman" w:hAnsi="Times New Roman"/>
          <w:color w:val="000000"/>
          <w:sz w:val="20"/>
        </w:rPr>
        <w:t xml:space="preserve"> </w:t>
      </w:r>
      <w:r>
        <w:rPr>
          <w:rFonts w:ascii="Times New Roman" w:hAnsi="Times New Roman"/>
          <w:b/>
          <w:color w:val="000000"/>
          <w:sz w:val="24"/>
        </w:rPr>
        <w:t>Outplacement Services</w:t>
      </w:r>
      <w:r>
        <w:rPr>
          <w:rFonts w:ascii="Times New Roman" w:hAnsi="Times New Roman"/>
          <w:color w:val="000000"/>
          <w:sz w:val="24"/>
        </w:rPr>
        <w:t>. Outplacement services as described in Section 5.4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Additional Benefits</w:t>
      </w:r>
    </w:p>
    <w:p>
      <w:pPr>
        <w:pStyle w:val="TextBody"/>
        <w:bidi w:val="0"/>
        <w:spacing w:before="0" w:after="240"/>
        <w:jc w:val="both"/>
        <w:rPr>
          <w:rFonts w:ascii="Times New Roman" w:hAnsi="Times New Roman"/>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In addition to the foregoing benefits, in addition to the Plan benefits described above, if, during the Change of Control Period, you incur a COC Involuntary Termination, then subject to the terms and conditions of the Plan, the Company will reimburse your reasonable attorneys’ fees incurred in connection with the review of the Release and any related separation agreements and documents, up to $5,000.</w:t>
      </w:r>
    </w:p>
    <w:p>
      <w:pPr>
        <w:pStyle w:val="TextBody"/>
        <w:bidi w:val="0"/>
        <w:spacing w:before="0" w:after="240"/>
        <w:jc w:val="both"/>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In addition to the Non-COC Involuntary Termination benefits described above, if you incur a Non-COC Involuntary Termination on or prior to August 27, 2026, then subject to the terms and condition of the Plan, you will receive the equity award vesting acceleration as described under paragraph 3 above under the heading COC Involuntary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General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clarity, any severance payments provided for herein that are based on annual base salary (and any reduction to base salary constituting “Good Reason”) shall be calculated without giving effect to any temporary reduction in base salary imposed by the Company or agreed to by you in connection with any global pandemic or comparable global or U.S. emergency that threatens the Company’s economic position.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order to receive any Severance Benefits for which you otherwise become eligible under the Plan, you must sign and deliver to the Company the Release, which must have become effective and irrevocable within the requisite period set forth in the Plan.</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[Remainder of This Page Intentionally Left Blank]</w:t>
      </w:r>
    </w:p>
    <w:p>
      <w:pPr>
        <w:pStyle w:val="TextBody"/>
        <w:bidi w:val="0"/>
        <w:spacing w:before="0" w:after="12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your signature below, you and the Company agree that your participation in the Plan is governed by this Participation Agreement and the provisions of the Plan. Your signature below confirms that: (1) you have received a copy of the 2026 Change of Control and Severance Plan and Summary Plan Description; (2) you have carefully read this Participation Agreement and the 2026 Change of Control and Severance Plan and Summary Plan Description; (3) decisions and determinations by the Administrator under the Plan will be final and binding on you and your successors; and (4) participation in the Plan and this Participation Agreement replaces in its entirety any severance and/or change of control provisions set forth in any offer letter, employment agreement and/or Equity Award agreement, including, but not limited to, the Prior Plan.</w:t>
      </w:r>
    </w:p>
    <w:tbl>
      <w:tblPr>
        <w:tblW w:w="5398" w:type="dxa"/>
        <w:jc w:val="left"/>
        <w:tblInd w:w="0" w:type="dxa"/>
        <w:tblLayout w:type="fixed"/>
        <w:tblCellMar>
          <w:top w:w="28" w:type="dxa"/>
          <w:left w:w="28" w:type="dxa"/>
          <w:bottom w:w="28" w:type="dxa"/>
          <w:right w:w="28" w:type="dxa"/>
        </w:tblCellMar>
      </w:tblPr>
      <w:tblGrid>
        <w:gridCol w:w="3391"/>
        <w:gridCol w:w="146"/>
        <w:gridCol w:w="186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STANDARD BIOTOOLS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PARTICIPANT</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CFO</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A - 3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tbl>
      <w:tblPr>
        <w:tblW w:w="2698" w:type="dxa"/>
        <w:jc w:val="left"/>
        <w:tblInd w:w="0" w:type="dxa"/>
        <w:tblLayout w:type="fixed"/>
        <w:tblCellMar>
          <w:top w:w="28" w:type="dxa"/>
          <w:left w:w="28" w:type="dxa"/>
          <w:bottom w:w="28" w:type="dxa"/>
          <w:right w:w="28" w:type="dxa"/>
        </w:tblCellMar>
      </w:tblPr>
      <w:tblGrid>
        <w:gridCol w:w="1261"/>
        <w:gridCol w:w="146"/>
        <w:gridCol w:w="12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26,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27, 2026</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r>
    </w:tbl>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Attachment: Standard BioTools Inc. 2026 Change of Control and Severance Plan and Summary Plan Description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 - 4</w:t>
      </w:r>
    </w:p>
    <w:p>
      <w:pPr>
        <w:pStyle w:val="HorizontalLine"/>
        <w:pBdr>
          <w:bottom w:val="double" w:sz="2" w:space="0" w:color="808080"/>
        </w:pBdr>
        <w:bidi w:val="0"/>
        <w:spacing w:before="0" w:after="283"/>
        <w:jc w:val="left"/>
        <w:rPr/>
      </w:pPr>
      <w:r>
        <w:rPr/>
      </w:r>
    </w:p>
    <w:p>
      <w:pPr>
        <w:pStyle w:val="TextBody"/>
        <w:bidi w:val="0"/>
        <w:spacing w:before="0" w:after="240"/>
        <w:jc w:val="right"/>
        <w:rPr/>
      </w:pPr>
      <w:bookmarkStart w:id="7" w:name="lab-ex10_3.htm"/>
      <w:bookmarkStart w:id="8" w:name="kslabex10_3"/>
      <w:bookmarkEnd w:id="7"/>
      <w:bookmarkEnd w:id="8"/>
      <w:r>
        <w:rPr/>
        <w:t> </w:t>
      </w:r>
      <w:r>
        <w:br w:type="page"/>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10.3</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Appendix A</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4"/>
        </w:rPr>
        <w:t>Executive Leadership Team Members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4"/>
        </w:rPr>
        <w:t>Standard BioTools Inc. 2026 Change of Control and Severance Plan</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Participation Agreement</w:t>
      </w:r>
    </w:p>
    <w:p>
      <w:pPr>
        <w:pStyle w:val="TextBody"/>
        <w:bidi w:val="0"/>
        <w:spacing w:before="0" w:after="240"/>
        <w:jc w:val="both"/>
        <w:rPr>
          <w:rFonts w:ascii="Times New Roman" w:hAnsi="Times New Roman"/>
          <w:sz w:val="20"/>
        </w:rPr>
      </w:pPr>
      <w:r>
        <w:rPr>
          <w:rFonts w:ascii="Times New Roman" w:hAnsi="Times New Roman"/>
          <w:color w:val="000000"/>
          <w:sz w:val="24"/>
        </w:rPr>
        <w:t>Standard BioTools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is pleased to inform you that you have been selected to participate in the Company’s 2026 Change of Control and Severance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as a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order to actually become a participant in the Plan, you must complete and sign this Participation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Definition of “Good Reason”</w:t>
      </w:r>
    </w:p>
    <w:p>
      <w:pPr>
        <w:pStyle w:val="TextBody"/>
        <w:bidi w:val="0"/>
        <w:spacing w:before="0" w:after="240"/>
        <w:jc w:val="both"/>
        <w:rPr/>
      </w:pPr>
      <w:r>
        <w:rPr>
          <w:color w:val="000000"/>
        </w:rPr>
        <w:t>“</w:t>
      </w:r>
      <w:r>
        <w:rPr>
          <w:rFonts w:ascii="Times New Roman" w:hAnsi="Times New Roman"/>
          <w:b/>
          <w:i/>
          <w:color w:val="000000"/>
          <w:sz w:val="24"/>
        </w:rPr>
        <w:t>Good Reason</w:t>
      </w:r>
      <w:r>
        <w:rPr>
          <w:rFonts w:ascii="Times New Roman" w:hAnsi="Times New Roman"/>
          <w:color w:val="000000"/>
          <w:sz w:val="20"/>
        </w:rPr>
        <w:t xml:space="preserve">” </w:t>
      </w:r>
      <w:r>
        <w:rPr>
          <w:rFonts w:ascii="Times New Roman" w:hAnsi="Times New Roman"/>
          <w:color w:val="000000"/>
          <w:sz w:val="24"/>
        </w:rPr>
        <w:t>means the occurrence of one or more of the following events effected without your prior consent, provided you terminate your employment with the Company within six months following the initial existence of the “Good Reason” condition (discussed below): (i) the assignment to you of any duties or the reduction of your then-current duties, either of which results in a material diminution in your then-current position or responsibilities with the Company including, without limitation, any negative change in reporting hierarchy involving you or the person to whom you directly report; (ii) a material reduction by the Company in your then- current base salary; (iii) a material change in the geographic location at which you must perform services (for purposes of this Participation Agreement, your relocation to a facility or a location more than 50 miles from your then-present location shall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Company cure period of 30 days following the date of such notice.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Non-COC Involuntary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outside of the Change of Control Period, you incur a Non-COC Involuntary Termination, then subject to the terms and conditions of the Plan, you will receive:</w:t>
      </w:r>
    </w:p>
    <w:p>
      <w:pPr>
        <w:pStyle w:val="TextBody"/>
        <w:bidi w:val="0"/>
        <w:spacing w:before="0" w:after="240"/>
        <w:jc w:val="both"/>
        <w:rPr>
          <w:rFonts w:ascii="Times New Roman" w:hAnsi="Times New Roman"/>
          <w:sz w:val="20"/>
        </w:rPr>
      </w:pPr>
      <w:r>
        <w:rPr>
          <w:rFonts w:ascii="Times New Roman" w:hAnsi="Times New Roman"/>
          <w:b/>
          <w:color w:val="000000"/>
          <w:sz w:val="24"/>
        </w:rPr>
        <w:t>1.</w:t>
      </w:r>
      <w:r>
        <w:rPr>
          <w:rFonts w:ascii="Times New Roman" w:hAnsi="Times New Roman"/>
          <w:color w:val="000000"/>
          <w:sz w:val="20"/>
        </w:rPr>
        <w:t xml:space="preserve"> </w:t>
      </w:r>
      <w:r>
        <w:rPr>
          <w:rFonts w:ascii="Times New Roman" w:hAnsi="Times New Roman"/>
          <w:b/>
          <w:color w:val="000000"/>
          <w:sz w:val="24"/>
        </w:rPr>
        <w:t>Cash Severance Benefits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An aggregate amount equal to 100% of your annual base salary in effect as of the date of your Non-COC Involuntary Termination paid in equal installments over a period of 12 months following your termination date.</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 lump sum amount equal to (i) your annual target bonus (as in effect immediately prior to the Non-COC Involuntary Termination), multiplied by (ii) a fraction, the numerator of which is the number of days worked by you during the year in which the Non-COC Involuntary Termination occurs and the denominator of which is 365.</w:t>
      </w:r>
    </w:p>
    <w:p>
      <w:pPr>
        <w:pStyle w:val="TextBody"/>
        <w:bidi w:val="0"/>
        <w:jc w:val="center"/>
        <w:rPr>
          <w:rFonts w:ascii="Times New Roman" w:hAnsi="Times New Roman"/>
          <w:color w:val="000000"/>
          <w:sz w:val="20"/>
        </w:rPr>
      </w:pPr>
      <w:r>
        <w:rPr>
          <w:rFonts w:ascii="Times New Roman" w:hAnsi="Times New Roman"/>
          <w:color w:val="000000"/>
          <w:sz w:val="20"/>
        </w:rPr>
        <w:t>A - 1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2.</w:t>
      </w:r>
      <w:r>
        <w:rPr>
          <w:rFonts w:ascii="Times New Roman" w:hAnsi="Times New Roman"/>
          <w:color w:val="000000"/>
          <w:sz w:val="20"/>
        </w:rPr>
        <w:t xml:space="preserve"> </w:t>
      </w:r>
      <w:r>
        <w:rPr>
          <w:rFonts w:ascii="Times New Roman" w:hAnsi="Times New Roman"/>
          <w:b/>
          <w:color w:val="000000"/>
          <w:sz w:val="24"/>
        </w:rPr>
        <w:t>Continued Medical Benefits</w:t>
      </w:r>
      <w:r>
        <w:rPr>
          <w:rFonts w:ascii="Times New Roman" w:hAnsi="Times New Roman"/>
          <w:color w:val="000000"/>
          <w:sz w:val="24"/>
        </w:rPr>
        <w:t>. Payment by the Company of continued health coverage under COBRA for a period of 12 months following your termination of employment. Notwithstanding the foregoing, if you are not employed in the United States, the benefit under this paragraph will be a regional equivalent to COBRA as determined by the Administrator in its sole discretion.</w:t>
      </w:r>
    </w:p>
    <w:p>
      <w:pPr>
        <w:pStyle w:val="TextBody"/>
        <w:bidi w:val="0"/>
        <w:spacing w:before="0" w:after="240"/>
        <w:jc w:val="both"/>
        <w:rPr>
          <w:rFonts w:ascii="Times New Roman" w:hAnsi="Times New Roman"/>
          <w:sz w:val="20"/>
        </w:rPr>
      </w:pPr>
      <w:r>
        <w:rPr>
          <w:rFonts w:ascii="Times New Roman" w:hAnsi="Times New Roman"/>
          <w:b/>
          <w:color w:val="000000"/>
          <w:sz w:val="24"/>
        </w:rPr>
        <w:t>3.</w:t>
      </w:r>
      <w:r>
        <w:rPr>
          <w:rFonts w:ascii="Times New Roman" w:hAnsi="Times New Roman"/>
          <w:color w:val="000000"/>
          <w:sz w:val="20"/>
        </w:rPr>
        <w:t xml:space="preserve"> </w:t>
      </w:r>
      <w:r>
        <w:rPr>
          <w:rFonts w:ascii="Times New Roman" w:hAnsi="Times New Roman"/>
          <w:b/>
          <w:color w:val="000000"/>
          <w:sz w:val="24"/>
        </w:rPr>
        <w:t>Outplacement Services</w:t>
      </w:r>
      <w:r>
        <w:rPr>
          <w:rFonts w:ascii="Times New Roman" w:hAnsi="Times New Roman"/>
          <w:color w:val="000000"/>
          <w:sz w:val="24"/>
        </w:rPr>
        <w:t>. Outplacement services as described in Section 4.3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COC Involuntary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during the Change of Control Period, you incur a COC Involuntary Termination, then subject to the terms and conditions of the Plan, you will receive:</w:t>
      </w:r>
    </w:p>
    <w:p>
      <w:pPr>
        <w:pStyle w:val="TextBody"/>
        <w:bidi w:val="0"/>
        <w:spacing w:before="0" w:after="240"/>
        <w:jc w:val="both"/>
        <w:rPr>
          <w:rFonts w:ascii="Times New Roman" w:hAnsi="Times New Roman"/>
          <w:sz w:val="20"/>
        </w:rPr>
      </w:pPr>
      <w:r>
        <w:rPr>
          <w:rFonts w:ascii="Times New Roman" w:hAnsi="Times New Roman"/>
          <w:b/>
          <w:color w:val="000000"/>
          <w:sz w:val="24"/>
        </w:rPr>
        <w:t>1.</w:t>
      </w:r>
      <w:r>
        <w:rPr>
          <w:rFonts w:ascii="Times New Roman" w:hAnsi="Times New Roman"/>
          <w:color w:val="000000"/>
          <w:sz w:val="20"/>
        </w:rPr>
        <w:t xml:space="preserve"> </w:t>
      </w:r>
      <w:r>
        <w:rPr>
          <w:rFonts w:ascii="Times New Roman" w:hAnsi="Times New Roman"/>
          <w:b/>
          <w:color w:val="000000"/>
          <w:sz w:val="24"/>
        </w:rPr>
        <w:t>Cash Severance Benefits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 lump-sum payment equal to 150% of the sum of (x) your annual base salary (as in effect immediately prior to the Change of Control or your COC Involuntary Termination, whichever is greater), plus (y) the greater of (A) your annual target bonus (as in effect immediately prior to the Change of Control or your COC Involuntary Termination, whichever is greater) or (B) the average of the annual bonuses actually paid to you with respect to the three fiscal years preceding the year in which your COC Involuntary Termination occurs; provided, however, that if the annual bonus with respect to the most recently preceding fiscal year has not yet been paid, your annual target bonus will be used as the bonus for that year in calculating the average.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 lump sum amount equal to (i) your annual target bonus (as in effect immediately prior to the Change of Control or your COC Involuntary Termination, whichever is greater), multiplied by (ii) a fraction, the numerator of which is the number of days worked by you during the year in which the COC Involuntary Termination occurs and the denominator of which is 365.</w:t>
      </w:r>
    </w:p>
    <w:p>
      <w:pPr>
        <w:pStyle w:val="TextBody"/>
        <w:bidi w:val="0"/>
        <w:spacing w:before="0" w:after="240"/>
        <w:jc w:val="both"/>
        <w:rPr>
          <w:rFonts w:ascii="Times New Roman" w:hAnsi="Times New Roman"/>
          <w:sz w:val="20"/>
        </w:rPr>
      </w:pPr>
      <w:r>
        <w:rPr>
          <w:rFonts w:ascii="Times New Roman" w:hAnsi="Times New Roman"/>
          <w:b/>
          <w:color w:val="000000"/>
          <w:sz w:val="24"/>
        </w:rPr>
        <w:t>2.</w:t>
      </w:r>
      <w:r>
        <w:rPr>
          <w:rFonts w:ascii="Times New Roman" w:hAnsi="Times New Roman"/>
          <w:color w:val="000000"/>
          <w:sz w:val="20"/>
        </w:rPr>
        <w:t xml:space="preserve"> </w:t>
      </w:r>
      <w:r>
        <w:rPr>
          <w:rFonts w:ascii="Times New Roman" w:hAnsi="Times New Roman"/>
          <w:b/>
          <w:color w:val="000000"/>
          <w:sz w:val="24"/>
        </w:rPr>
        <w:t>Continued Medical Benefits</w:t>
      </w:r>
      <w:r>
        <w:rPr>
          <w:rFonts w:ascii="Times New Roman" w:hAnsi="Times New Roman"/>
          <w:color w:val="000000"/>
          <w:sz w:val="24"/>
        </w:rPr>
        <w:t>. Payment by the Company of continued health coverage under COBRA for a period of 18 months following your termination of employment. Notwithstanding the foregoing, if you are not employed in the United States, the benefit under this paragraph will be a regional equivalent to COBRA determined by the Administrator in its sole discretion.</w:t>
      </w:r>
    </w:p>
    <w:p>
      <w:pPr>
        <w:pStyle w:val="TextBody"/>
        <w:bidi w:val="0"/>
        <w:spacing w:before="0" w:after="240"/>
        <w:jc w:val="both"/>
        <w:rPr>
          <w:rFonts w:ascii="Times New Roman" w:hAnsi="Times New Roman"/>
          <w:sz w:val="20"/>
        </w:rPr>
      </w:pPr>
      <w:r>
        <w:rPr>
          <w:rFonts w:ascii="Times New Roman" w:hAnsi="Times New Roman"/>
          <w:b/>
          <w:color w:val="000000"/>
          <w:sz w:val="24"/>
        </w:rPr>
        <w:t>3.</w:t>
      </w:r>
      <w:r>
        <w:rPr>
          <w:rFonts w:ascii="Times New Roman" w:hAnsi="Times New Roman"/>
          <w:color w:val="000000"/>
          <w:sz w:val="20"/>
        </w:rPr>
        <w:t xml:space="preserve"> </w:t>
      </w:r>
      <w:r>
        <w:rPr>
          <w:rFonts w:ascii="Times New Roman" w:hAnsi="Times New Roman"/>
          <w:b/>
          <w:color w:val="000000"/>
          <w:sz w:val="24"/>
        </w:rPr>
        <w:t>Equity Award Vesting Acceleration</w:t>
      </w:r>
      <w:r>
        <w:rPr>
          <w:rFonts w:ascii="Times New Roman" w:hAnsi="Times New Roman"/>
          <w:color w:val="000000"/>
          <w:sz w:val="24"/>
        </w:rPr>
        <w:t>. 100% of your then-outstanding and unvested Equity Awards will become vested in full. If, however, an 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issued to you as promptly as practicable and no more than 30 days after they become issuable (whether through the vesting acceleration alone or upon an exercise of options following such vesting acceleration). Notwithstanding the foregoing, to the extent that the payment or settlement of an Equity Award is subject to Section 409A, the Equity Award will be paid or settled in a manner that will meet the requirements of Section 409A such that the payment or settlement will not be subject to the additional tax or interest applicable under Section 409A.</w:t>
      </w:r>
    </w:p>
    <w:p>
      <w:pPr>
        <w:pStyle w:val="TextBody"/>
        <w:bidi w:val="0"/>
        <w:jc w:val="center"/>
        <w:rPr>
          <w:rFonts w:ascii="Times New Roman" w:hAnsi="Times New Roman"/>
          <w:color w:val="000000"/>
          <w:sz w:val="20"/>
        </w:rPr>
      </w:pPr>
      <w:r>
        <w:rPr>
          <w:rFonts w:ascii="Times New Roman" w:hAnsi="Times New Roman"/>
          <w:color w:val="000000"/>
          <w:sz w:val="20"/>
        </w:rPr>
        <w:t>A - 2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4.</w:t>
      </w:r>
      <w:r>
        <w:rPr>
          <w:rFonts w:ascii="Times New Roman" w:hAnsi="Times New Roman"/>
          <w:color w:val="000000"/>
          <w:sz w:val="20"/>
        </w:rPr>
        <w:t xml:space="preserve"> </w:t>
      </w:r>
      <w:r>
        <w:rPr>
          <w:rFonts w:ascii="Times New Roman" w:hAnsi="Times New Roman"/>
          <w:b/>
          <w:color w:val="000000"/>
          <w:sz w:val="24"/>
        </w:rPr>
        <w:t>Outplacement Services</w:t>
      </w:r>
      <w:r>
        <w:rPr>
          <w:rFonts w:ascii="Times New Roman" w:hAnsi="Times New Roman"/>
          <w:color w:val="000000"/>
          <w:sz w:val="24"/>
        </w:rPr>
        <w:t>. Outplacement services as described in Section 5.4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Additional Benefits</w:t>
      </w:r>
    </w:p>
    <w:p>
      <w:pPr>
        <w:pStyle w:val="TextBody"/>
        <w:bidi w:val="0"/>
        <w:spacing w:before="0" w:after="240"/>
        <w:jc w:val="both"/>
        <w:rPr>
          <w:rFonts w:ascii="Times New Roman" w:hAnsi="Times New Roman"/>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In addition to the foregoing benefits, in addition to the Plan benefits described above, if, during the Change of Control Period, you incur a COC Involuntary Termination, then subject to the terms and conditions of the Plan, the Company will reimburse your reasonable attorneys’ fees incurred in connection with the review of the Release and any related separation agreements and documents, up to $5,000.</w:t>
      </w:r>
    </w:p>
    <w:p>
      <w:pPr>
        <w:pStyle w:val="TextBody"/>
        <w:bidi w:val="0"/>
        <w:spacing w:before="0" w:after="240"/>
        <w:jc w:val="both"/>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In addition to the Non-COC Involuntary Termination benefits described above, if you incur a Non-COC Involuntary Termination on or prior to August 27, 2026, then subject to the terms and condition of the Plan, you will receive the equity award vesting acceleration as described under paragraph 3 above under the heading COC Involuntary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General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clarity, any severance payments provided for herein that are based on annual base salary (and any reduction to base salary constituting “Good Reason”) shall be calculated without giving effect to any temporary reduction in base salary imposed by the Company or agreed to by you in connection with any global pandemic or comparable global or U.S. emergency that threatens the Company’s economic position.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order to receive any Severance Benefits for which you otherwise become eligible under the Plan, you must sign and deliver to the Company the Release, which must have become effective and irrevocable within the requisite period set forth in the Plan.</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[Remainder of This Page Intentionally Left Blank]</w:t>
      </w:r>
    </w:p>
    <w:p>
      <w:pPr>
        <w:pStyle w:val="TextBody"/>
        <w:bidi w:val="0"/>
        <w:spacing w:before="0" w:after="12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your signature below, you and the Company agree that your participation in the Plan is governed by this Participation Agreement and the provisions of the Plan. Your signature below confirms that: (1) you have received a copy of the 2026 Change of Control and Severance Plan and Summary Plan Description; (2) you have carefully read this Participation Agreement and the 2026 Change of Control and Severance Plan and Summary Plan Description; (3) decisions and determinations by the Administrator under the Plan will be final and binding on you and your successors; and (4) participation in the Plan and this Participation Agreement replaces in its entirety any severance and/or change of control provisions set forth in any offer letter, employment agreement and/or Equity Award agreement, including, but not limited to, the Prior Plan.</w:t>
      </w:r>
    </w:p>
    <w:tbl>
      <w:tblPr>
        <w:tblW w:w="5503" w:type="dxa"/>
        <w:jc w:val="left"/>
        <w:tblInd w:w="0" w:type="dxa"/>
        <w:tblLayout w:type="fixed"/>
        <w:tblCellMar>
          <w:top w:w="28" w:type="dxa"/>
          <w:left w:w="28" w:type="dxa"/>
          <w:bottom w:w="28" w:type="dxa"/>
          <w:right w:w="28" w:type="dxa"/>
        </w:tblCellMar>
      </w:tblPr>
      <w:tblGrid>
        <w:gridCol w:w="3391"/>
        <w:gridCol w:w="146"/>
        <w:gridCol w:w="196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STANDARD BIOTOOLS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PARTICIPANT</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Mackay</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Mackay</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Business Officer</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A - 3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tbl>
      <w:tblPr>
        <w:tblW w:w="2698" w:type="dxa"/>
        <w:jc w:val="left"/>
        <w:tblInd w:w="0" w:type="dxa"/>
        <w:tblLayout w:type="fixed"/>
        <w:tblCellMar>
          <w:top w:w="28" w:type="dxa"/>
          <w:left w:w="28" w:type="dxa"/>
          <w:bottom w:w="28" w:type="dxa"/>
          <w:right w:w="28" w:type="dxa"/>
        </w:tblCellMar>
      </w:tblPr>
      <w:tblGrid>
        <w:gridCol w:w="1261"/>
        <w:gridCol w:w="146"/>
        <w:gridCol w:w="12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26,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27, 2026</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r>
    </w:tbl>
    <w:p>
      <w:pPr>
        <w:pStyle w:val="TextBody"/>
        <w:bidi w:val="0"/>
        <w:jc w:val="lef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Attachment: Standard BioTools Inc. 2026 Change of Control and Severance Plan and Summary Plan Description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 - 4</w:t>
      </w:r>
    </w:p>
    <w:p>
      <w:pPr>
        <w:pStyle w:val="HorizontalLine"/>
        <w:pBdr>
          <w:bottom w:val="double" w:sz="2" w:space="0" w:color="808080"/>
        </w:pBdr>
        <w:bidi w:val="0"/>
        <w:spacing w:before="0" w:after="283"/>
        <w:jc w:val="left"/>
        <w:rPr/>
      </w:pPr>
      <w:r>
        <w:rPr/>
      </w:r>
    </w:p>
    <w:p>
      <w:pPr>
        <w:pStyle w:val="TextBody"/>
        <w:bidi w:val="0"/>
        <w:jc w:val="left"/>
        <w:rPr/>
      </w:pPr>
      <w:bookmarkStart w:id="9" w:name="lab-ex10_4.htm"/>
      <w:bookmarkStart w:id="10" w:name="kslabex10_4"/>
      <w:bookmarkEnd w:id="9"/>
      <w:bookmarkEnd w:id="10"/>
      <w:r>
        <w:rPr/>
        <w:t> </w:t>
      </w:r>
      <w:r>
        <w:br w:type="page"/>
      </w:r>
    </w:p>
    <w:p>
      <w:pPr>
        <w:pStyle w:val="TextBody"/>
        <w:bidi w:val="0"/>
        <w:jc w:val="right"/>
        <w:rPr>
          <w:rFonts w:ascii="Tahoma;sans-serif" w:hAnsi="Tahoma;sans-serif"/>
          <w:b/>
          <w:color w:val="000000"/>
          <w:sz w:val="19"/>
        </w:rPr>
      </w:pPr>
      <w:r>
        <w:rPr>
          <w:rFonts w:ascii="Tahoma;sans-serif" w:hAnsi="Tahoma;sans-serif"/>
          <w:b/>
          <w:color w:val="000000"/>
          <w:sz w:val="19"/>
        </w:rPr>
        <w:t>Exhibit 10.4</w:t>
      </w:r>
    </w:p>
    <w:p>
      <w:pPr>
        <w:pStyle w:val="TextBody"/>
        <w:bidi w:val="0"/>
        <w:jc w:val="center"/>
        <w:rPr>
          <w:rFonts w:ascii="Tahoma;sans-serif" w:hAnsi="Tahoma;sans-serif"/>
          <w:b/>
          <w:color w:val="000000"/>
          <w:sz w:val="19"/>
        </w:rPr>
      </w:pPr>
      <w:r>
        <w:rPr>
          <w:rFonts w:ascii="Tahoma;sans-serif" w:hAnsi="Tahoma;sans-serif"/>
          <w:b/>
          <w:color w:val="000000"/>
          <w:sz w:val="19"/>
        </w:rPr>
        <w:t>STANDARD BIOTOOLS INC.</w:t>
      </w:r>
    </w:p>
    <w:p>
      <w:pPr>
        <w:pStyle w:val="TextBody"/>
        <w:bidi w:val="0"/>
        <w:spacing w:before="1" w:after="283"/>
        <w:jc w:val="center"/>
        <w:rPr>
          <w:rFonts w:ascii="Tahoma;sans-serif" w:hAnsi="Tahoma;sans-serif"/>
          <w:b/>
          <w:color w:val="000000"/>
          <w:sz w:val="19"/>
        </w:rPr>
      </w:pPr>
      <w:r>
        <w:rPr>
          <w:rFonts w:ascii="Tahoma;sans-serif" w:hAnsi="Tahoma;sans-serif"/>
          <w:b/>
          <w:color w:val="000000"/>
          <w:sz w:val="19"/>
        </w:rPr>
        <w:t>2023 CHANGE OF CONTROL AND SEVERANCE PLAN</w:t>
      </w:r>
    </w:p>
    <w:p>
      <w:pPr>
        <w:pStyle w:val="TextBody"/>
        <w:bidi w:val="0"/>
        <w:spacing w:before="1" w:after="283"/>
        <w:jc w:val="center"/>
        <w:rPr>
          <w:rFonts w:ascii="Tahoma;sans-serif" w:hAnsi="Tahoma;sans-serif"/>
          <w:b/>
          <w:color w:val="000000"/>
          <w:sz w:val="19"/>
        </w:rPr>
      </w:pPr>
      <w:r>
        <w:rPr>
          <w:rFonts w:ascii="Tahoma;sans-serif" w:hAnsi="Tahoma;sans-serif"/>
          <w:b/>
          <w:color w:val="000000"/>
          <w:sz w:val="19"/>
        </w:rPr>
        <w:t>AND SUMMARY PLAN DESCRIPTION</w:t>
      </w:r>
    </w:p>
    <w:p>
      <w:pPr>
        <w:pStyle w:val="TextBody"/>
        <w:bidi w:val="0"/>
        <w:spacing w:before="100" w:after="283"/>
        <w:jc w:val="center"/>
        <w:rPr>
          <w:rFonts w:ascii="Tahoma;sans-serif" w:hAnsi="Tahoma;sans-serif"/>
          <w:i/>
          <w:color w:val="000000"/>
          <w:sz w:val="19"/>
        </w:rPr>
      </w:pPr>
      <w:r>
        <w:rPr>
          <w:rFonts w:ascii="Tahoma;sans-serif" w:hAnsi="Tahoma;sans-serif"/>
          <w:i/>
          <w:color w:val="000000"/>
          <w:sz w:val="19"/>
        </w:rPr>
        <w:t>Adopted August 4, 2023 (as amended and restated May 21, 2026)</w:t>
      </w:r>
    </w:p>
    <w:p>
      <w:pPr>
        <w:pStyle w:val="TextBody"/>
        <w:bidi w:val="0"/>
        <w:spacing w:before="184" w:after="283"/>
        <w:jc w:val="both"/>
        <w:rPr>
          <w:rFonts w:ascii="Tahoma" w:hAnsi="Tahoma"/>
          <w:b/>
          <w:color w:val="000000"/>
          <w:sz w:val="19"/>
        </w:rPr>
      </w:pPr>
      <w:r>
        <w:rPr>
          <w:rFonts w:ascii="Tahoma" w:hAnsi="Tahoma"/>
          <w:b/>
          <w:color w:val="000000"/>
          <w:sz w:val="19"/>
        </w:rPr>
        <w:t>1.</w:t>
      </w:r>
    </w:p>
    <w:p>
      <w:pPr>
        <w:pStyle w:val="TextBody"/>
        <w:bidi w:val="0"/>
        <w:spacing w:before="184" w:after="283"/>
        <w:jc w:val="both"/>
        <w:rPr/>
      </w:pPr>
      <w:r>
        <w:rPr>
          <w:rFonts w:ascii="Tahoma;sans-serif" w:hAnsi="Tahoma;sans-serif"/>
          <w:b/>
          <w:color w:val="000000"/>
          <w:sz w:val="19"/>
        </w:rPr>
        <w:t>Introduction</w:t>
      </w:r>
      <w:r>
        <w:rPr>
          <w:rFonts w:ascii="Tahoma;sans-serif" w:hAnsi="Tahoma;sans-serif"/>
          <w:color w:val="000000"/>
          <w:sz w:val="19"/>
        </w:rPr>
        <w:t>. The purpose of this Standard BioTools Inc. 2023 Change of Control and Severance Plan (as amended and restated and as may be further amended from time to time), or Plan (as defined in Section 2 below), is to provide assurances of specified benefits to certain employees of the Company whose employment is subject to being involuntarily terminated other than for death, Disability, or Cause or voluntarily terminated for Good Reason under the circumstances described herein. This Plan is an “employee welfare benefit plan,” as defined in Section 3(1) of the U.S. Employee Retirement Income Security Act of 1974, as amended (“</w:t>
      </w:r>
      <w:r>
        <w:rPr>
          <w:rFonts w:ascii="Tahoma;sans-serif" w:hAnsi="Tahoma;sans-serif"/>
          <w:b/>
          <w:color w:val="000000"/>
          <w:sz w:val="19"/>
        </w:rPr>
        <w:t>ERISA</w:t>
      </w:r>
      <w:r>
        <w:rPr>
          <w:color w:val="000000"/>
        </w:rPr>
        <w:t>”</w:t>
      </w:r>
      <w:r>
        <w:rPr>
          <w:rFonts w:ascii="Tahoma;sans-serif" w:hAnsi="Tahoma;sans-serif"/>
          <w:color w:val="000000"/>
          <w:sz w:val="19"/>
        </w:rPr>
        <w:t>). This document constitutes both the written instrument under which the Plan is maintained and the required summary plan description for the Plan. The Plan, as originally adopted, replaced that certain Fluidigm Corporation Change of Control and Severance Plan and Summary Plan Description adopted by the Compensation Committee of Fluidigm Corporation on August 4, 2020 (the “</w:t>
      </w:r>
      <w:r>
        <w:rPr>
          <w:rFonts w:ascii="Tahoma;sans-serif" w:hAnsi="Tahoma;sans-serif"/>
          <w:b/>
          <w:color w:val="000000"/>
          <w:sz w:val="19"/>
        </w:rPr>
        <w:t>Prior Plan</w:t>
      </w:r>
      <w:r>
        <w:rPr>
          <w:color w:val="000000"/>
        </w:rPr>
        <w:t>”</w:t>
      </w:r>
      <w:r>
        <w:rPr>
          <w:rFonts w:ascii="Tahoma;sans-serif" w:hAnsi="Tahoma;sans-serif"/>
          <w:color w:val="000000"/>
          <w:sz w:val="19"/>
        </w:rPr>
        <w:t>), and this Plan, as amended and restated and set forth in this document, is a replacement for the Plan adopted by the Compensation Committee of the Company on August 4, 2023. The Prior Plan expired according to its terms and was not renewed. By becoming a Participant under this Plan (and immediately upon execution of the Participation Agreement), the Participant expressly acknowledges that Participant will cease being entitled to any benefits under the Plan as originally adopted and the corresponding Participation Agreement and will become subject to the terms of the Plan, as amended and restated, effective as of the Effective Date.</w:t>
      </w:r>
    </w:p>
    <w:p>
      <w:pPr>
        <w:pStyle w:val="TextBody"/>
        <w:bidi w:val="0"/>
        <w:spacing w:before="111" w:after="283"/>
        <w:jc w:val="both"/>
        <w:rPr>
          <w:rFonts w:ascii="Tahoma" w:hAnsi="Tahoma"/>
          <w:b/>
          <w:color w:val="000000"/>
          <w:sz w:val="19"/>
        </w:rPr>
      </w:pPr>
      <w:r>
        <w:rPr>
          <w:rFonts w:ascii="Tahoma" w:hAnsi="Tahoma"/>
          <w:b/>
          <w:color w:val="000000"/>
          <w:sz w:val="19"/>
        </w:rPr>
        <w:t>2.</w:t>
      </w:r>
    </w:p>
    <w:p>
      <w:pPr>
        <w:pStyle w:val="TextBody"/>
        <w:bidi w:val="0"/>
        <w:spacing w:before="111" w:after="283"/>
        <w:jc w:val="both"/>
        <w:rPr/>
      </w:pPr>
      <w:r>
        <w:rPr>
          <w:rFonts w:ascii="Tahoma;sans-serif" w:hAnsi="Tahoma;sans-serif"/>
          <w:b/>
          <w:color w:val="000000"/>
          <w:sz w:val="19"/>
        </w:rPr>
        <w:t>Important Terms</w:t>
      </w:r>
      <w:r>
        <w:rPr>
          <w:rFonts w:ascii="Tahoma;sans-serif" w:hAnsi="Tahoma;sans-serif"/>
          <w:color w:val="000000"/>
          <w:sz w:val="19"/>
        </w:rPr>
        <w:t>. The following words and phrases, when the initial letter of the term is capitalized, will have the meanings set forth in this Section 2, unless a different meaning is plainly required by the context:</w:t>
      </w:r>
    </w:p>
    <w:p>
      <w:pPr>
        <w:pStyle w:val="TextBody"/>
        <w:bidi w:val="0"/>
        <w:spacing w:before="114" w:after="283"/>
        <w:jc w:val="both"/>
        <w:rPr>
          <w:rFonts w:ascii="Times New Roman" w:hAnsi="Times New Roman"/>
          <w:sz w:val="20"/>
        </w:rPr>
      </w:pPr>
      <w:r>
        <w:rPr>
          <w:rFonts w:ascii="Tahoma;sans-serif" w:hAnsi="Tahoma;sans-serif"/>
          <w:color w:val="000000"/>
          <w:sz w:val="19"/>
        </w:rPr>
        <w:t>2.1. “</w:t>
      </w:r>
      <w:r>
        <w:rPr>
          <w:rFonts w:ascii="Tahoma;sans-serif" w:hAnsi="Tahoma;sans-serif"/>
          <w:b/>
          <w:color w:val="000000"/>
          <w:sz w:val="19"/>
        </w:rPr>
        <w:t>Administrator</w:t>
      </w:r>
      <w:r>
        <w:rPr>
          <w:rFonts w:ascii="Times New Roman" w:hAnsi="Times New Roman"/>
          <w:color w:val="000000"/>
          <w:sz w:val="20"/>
        </w:rPr>
        <w:t xml:space="preserve">” </w:t>
      </w:r>
      <w:r>
        <w:rPr>
          <w:rFonts w:ascii="Tahoma;sans-serif" w:hAnsi="Tahoma;sans-serif"/>
          <w:color w:val="000000"/>
          <w:sz w:val="19"/>
        </w:rPr>
        <w:t>means the Human Capital Committee whose members have been delegated duty by the Board to act as the Administrator of the Plan within the meaning of Section 3(16)(A) of ERISA, or another duly constituted committee that has been delegated such duty by the Board, or any person to whom the Board has delegated any authority or responsibility with respect to the Plan pursuant to Section 12, but only to the extent of such delegation.</w:t>
      </w:r>
    </w:p>
    <w:p>
      <w:pPr>
        <w:pStyle w:val="TextBody"/>
        <w:bidi w:val="0"/>
        <w:spacing w:before="23" w:after="283"/>
        <w:jc w:val="left"/>
        <w:rPr>
          <w:rFonts w:ascii="Times New Roman" w:hAnsi="Times New Roman"/>
          <w:sz w:val="20"/>
        </w:rPr>
      </w:pPr>
      <w:r>
        <w:rPr>
          <w:rFonts w:ascii="Tahoma;sans-serif" w:hAnsi="Tahoma;sans-serif"/>
          <w:color w:val="000000"/>
          <w:sz w:val="19"/>
        </w:rPr>
        <w:t>2.2. “</w:t>
      </w:r>
      <w:r>
        <w:rPr>
          <w:rFonts w:ascii="Tahoma;sans-serif" w:hAnsi="Tahoma;sans-serif"/>
          <w:b/>
          <w:color w:val="000000"/>
          <w:sz w:val="19"/>
        </w:rPr>
        <w:t>Board</w:t>
      </w:r>
      <w:r>
        <w:rPr>
          <w:rFonts w:ascii="Times New Roman" w:hAnsi="Times New Roman"/>
          <w:color w:val="000000"/>
          <w:sz w:val="20"/>
        </w:rPr>
        <w:t xml:space="preserve">” </w:t>
      </w:r>
      <w:r>
        <w:rPr>
          <w:rFonts w:ascii="Tahoma;sans-serif" w:hAnsi="Tahoma;sans-serif"/>
          <w:color w:val="000000"/>
          <w:sz w:val="19"/>
        </w:rPr>
        <w:t>means the Board of Directors of the Company.</w:t>
      </w:r>
    </w:p>
    <w:p>
      <w:pPr>
        <w:pStyle w:val="TextBody"/>
        <w:bidi w:val="0"/>
        <w:jc w:val="both"/>
        <w:rPr>
          <w:rFonts w:ascii="Times New Roman" w:hAnsi="Times New Roman"/>
          <w:sz w:val="20"/>
        </w:rPr>
      </w:pPr>
      <w:r>
        <w:rPr>
          <w:rFonts w:ascii="Tahoma;sans-serif" w:hAnsi="Tahoma;sans-serif"/>
          <w:color w:val="000000"/>
          <w:sz w:val="19"/>
        </w:rPr>
        <w:t>2.3. “</w:t>
      </w:r>
      <w:r>
        <w:rPr>
          <w:rFonts w:ascii="Tahoma;sans-serif" w:hAnsi="Tahoma;sans-serif"/>
          <w:b/>
          <w:color w:val="000000"/>
          <w:sz w:val="19"/>
        </w:rPr>
        <w:t>Cause</w:t>
      </w:r>
      <w:r>
        <w:rPr>
          <w:rFonts w:ascii="Times New Roman" w:hAnsi="Times New Roman"/>
          <w:color w:val="000000"/>
          <w:sz w:val="20"/>
        </w:rPr>
        <w:t xml:space="preserve">” </w:t>
      </w:r>
      <w:r>
        <w:rPr>
          <w:rFonts w:ascii="Tahoma;sans-serif" w:hAnsi="Tahoma;sans-serif"/>
          <w:color w:val="000000"/>
          <w:sz w:val="19"/>
        </w:rPr>
        <w:t>exists upon (i) a Participant’s conviction of, or plea of guilty or nolo contendere to, any crime involving dishonesty or moral turpitude or any felony; or (ii) a Participant’s (a) engagement in material dishonesty, willful misconduct, or gross negligence—in each case in connection with the Participant’s position at the Company; (b) breach of any confidentiality, invention assignment, non-disclosure, or non-solicitation agreement entered into between the Company and the Participant; (c) material violation of a written Company policy or procedure that has been provided to the Participant, which violation causes substantial injury to the Company; or (d) willful refusal to perform the Participant’s assigned duties to the Company,</w:t>
      </w:r>
    </w:p>
    <w:p>
      <w:pPr>
        <w:pStyle w:val="TextBody"/>
        <w:bidi w:val="0"/>
        <w:spacing w:before="578"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96" w:after="283"/>
        <w:jc w:val="both"/>
        <w:rPr>
          <w:rFonts w:ascii="Tahoma;sans-serif" w:hAnsi="Tahoma;sans-serif"/>
          <w:color w:val="000000"/>
          <w:sz w:val="19"/>
        </w:rPr>
      </w:pPr>
      <w:r>
        <w:rPr>
          <w:rFonts w:ascii="Tahoma;sans-serif" w:hAnsi="Tahoma;sans-serif"/>
          <w:color w:val="000000"/>
          <w:sz w:val="19"/>
        </w:rPr>
        <w:t>following written notice of such refusal by the Company and a period of fifteen (15) days to cure the same and the Participant’s failure to cure during such time period. No act or omission shall be considered “willful” if such act or omission was done, or not done, in the reasonable, good-faith belief that such act or omission was in the best interests of the Company or upon the advice of counsel to the Company.</w:t>
      </w:r>
    </w:p>
    <w:p>
      <w:pPr>
        <w:pStyle w:val="TextBody"/>
        <w:bidi w:val="0"/>
        <w:spacing w:before="29" w:after="283"/>
        <w:jc w:val="left"/>
        <w:rPr>
          <w:rFonts w:ascii="Times New Roman" w:hAnsi="Times New Roman"/>
          <w:sz w:val="20"/>
        </w:rPr>
      </w:pPr>
      <w:r>
        <w:rPr>
          <w:rFonts w:ascii="Tahoma;sans-serif" w:hAnsi="Tahoma;sans-serif"/>
          <w:color w:val="000000"/>
          <w:sz w:val="19"/>
        </w:rPr>
        <w:t xml:space="preserve">2.4. </w:t>
      </w:r>
      <w:r>
        <w:rPr>
          <w:rFonts w:ascii="Times New Roman" w:hAnsi="Times New Roman"/>
          <w:color w:val="000000"/>
          <w:sz w:val="20"/>
        </w:rPr>
        <w:t>“</w:t>
      </w:r>
      <w:r>
        <w:rPr>
          <w:rFonts w:ascii="Tahoma;sans-serif" w:hAnsi="Tahoma;sans-serif"/>
          <w:b/>
          <w:color w:val="000000"/>
          <w:sz w:val="19"/>
        </w:rPr>
        <w:t>Change of Control</w:t>
      </w:r>
      <w:r>
        <w:rPr>
          <w:rFonts w:ascii="Times New Roman" w:hAnsi="Times New Roman"/>
          <w:color w:val="000000"/>
          <w:sz w:val="20"/>
        </w:rPr>
        <w:t xml:space="preserve">” </w:t>
      </w:r>
      <w:r>
        <w:rPr>
          <w:rFonts w:ascii="Tahoma;sans-serif" w:hAnsi="Tahoma;sans-serif"/>
          <w:color w:val="000000"/>
          <w:sz w:val="19"/>
        </w:rPr>
        <w:t>means the occurrence of any of the following events:</w:t>
      </w:r>
    </w:p>
    <w:p>
      <w:pPr>
        <w:pStyle w:val="TextBody"/>
        <w:bidi w:val="0"/>
        <w:jc w:val="both"/>
        <w:rPr>
          <w:rFonts w:ascii="Times New Roman" w:hAnsi="Times New Roman"/>
          <w:sz w:val="20"/>
        </w:rPr>
      </w:pPr>
      <w:r>
        <w:rPr>
          <w:rFonts w:ascii="Tahoma;sans-serif" w:hAnsi="Tahoma;sans-serif"/>
          <w:color w:val="000000"/>
          <w:sz w:val="19"/>
        </w:rPr>
        <w:t xml:space="preserve">2.4.1. </w:t>
      </w:r>
      <w:r>
        <w:rPr>
          <w:rFonts w:ascii="Tahoma;sans-serif" w:hAnsi="Tahoma;sans-serif"/>
          <w:b/>
          <w:color w:val="000000"/>
          <w:sz w:val="19"/>
        </w:rPr>
        <w:t>Change in Ownership of the Company</w:t>
      </w:r>
      <w:r>
        <w:rPr>
          <w:rFonts w:ascii="Tahoma;sans-serif" w:hAnsi="Tahoma;sans-serif"/>
          <w:color w:val="000000"/>
          <w:sz w:val="19"/>
        </w:rPr>
        <w:t>. A change in the ownership of the Company which occurs on the date that any “Person” (as such term is used in Sections 13(d) and 14(d) of the Exchange Act), acquires ownership of the stock of the Company that, together with the stock held by such Person, constitutes more than 50% of the total voting power of the stock of the Company pursuant to a transaction or a series of related transactions; provided, however, that for purposes of this subsection 2.4.1, the acquisition of additional stock by any one Person, who is considered to own more than 50% of the total voting power of the stock of the Company will not be considered a Change of Control; or</w:t>
      </w:r>
    </w:p>
    <w:p>
      <w:pPr>
        <w:pStyle w:val="TextBody"/>
        <w:bidi w:val="0"/>
        <w:spacing w:before="106" w:after="283"/>
        <w:jc w:val="both"/>
        <w:rPr>
          <w:rFonts w:ascii="Times New Roman" w:hAnsi="Times New Roman"/>
          <w:sz w:val="20"/>
        </w:rPr>
      </w:pPr>
      <w:r>
        <w:rPr>
          <w:rFonts w:ascii="Tahoma;sans-serif" w:hAnsi="Tahoma;sans-serif"/>
          <w:color w:val="000000"/>
          <w:sz w:val="19"/>
        </w:rPr>
        <w:t xml:space="preserve">2.4.2. </w:t>
      </w:r>
      <w:r>
        <w:rPr>
          <w:rFonts w:ascii="Tahoma;sans-serif" w:hAnsi="Tahoma;sans-serif"/>
          <w:b/>
          <w:color w:val="000000"/>
          <w:sz w:val="19"/>
        </w:rPr>
        <w:t>Change in Effective Control of the Company</w:t>
      </w:r>
      <w:r>
        <w:rPr>
          <w:rFonts w:ascii="Tahoma;sans-serif" w:hAnsi="Tahoma;sans-serif"/>
          <w:color w:val="000000"/>
          <w:sz w:val="19"/>
        </w:rPr>
        <w: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2.4.2, if any Person is considered to be in effective control of the Company, the acquisition of additional control of the Company by the same Person will not be considered a Change of Control; or</w:t>
      </w:r>
    </w:p>
    <w:p>
      <w:pPr>
        <w:pStyle w:val="TextBody"/>
        <w:bidi w:val="0"/>
        <w:spacing w:before="111" w:after="283"/>
        <w:jc w:val="both"/>
        <w:rPr>
          <w:rFonts w:ascii="Times New Roman" w:hAnsi="Times New Roman"/>
          <w:sz w:val="20"/>
        </w:rPr>
      </w:pPr>
      <w:r>
        <w:rPr>
          <w:rFonts w:ascii="Tahoma;sans-serif" w:hAnsi="Tahoma;sans-serif"/>
          <w:color w:val="000000"/>
          <w:sz w:val="19"/>
        </w:rPr>
        <w:t xml:space="preserve">2.4.3. </w:t>
      </w:r>
      <w:r>
        <w:rPr>
          <w:rFonts w:ascii="Tahoma;sans-serif" w:hAnsi="Tahoma;sans-serif"/>
          <w:b/>
          <w:color w:val="000000"/>
          <w:sz w:val="19"/>
        </w:rPr>
        <w:t>Merger or Sale of the Company’s Assets</w:t>
      </w:r>
      <w:r>
        <w:rPr>
          <w:rFonts w:ascii="Tahoma;sans-serif" w:hAnsi="Tahoma;sans-serif"/>
          <w:color w:val="000000"/>
          <w:sz w:val="19"/>
        </w:rPr>
        <w:t xml:space="preserve">. A merger or </w:t>
        <w:br/>
        <w:t>consolidation of the Company or any of its subsidiaries whether or not approved by the Board of Directors, or the sale or disposition by the Company of all or substantially all of the Company’s assets in a transaction requiring shareholder approval; provided, however, that for purposes of this subsection 2.4.3, the following will not constitute a Change of Control: (A) a merger or consolidation which would result in the voting securities of the Company outstanding immediately prior thereto continuing to represent (either by remaining outstanding or by being converted into voting securities of the surviving entity or the parent of such entity) more than 50% of the total voting power represented by the voting securities of the Company or such surviving entity or parent of such corporation, as the case may be, outstanding immediately after such merger or consolidation; or (B) a transfer of assets by the Company to: (1) an entity that is controlled by the Company’s stockholders immediately after the transfer, (2) a stockholder of the Company (immediately before the asset transfer) in exchange for or with respect to the Company’s stock, (3) an entity, 50% or more of the total value or voting power of which is owned, directly or indirectly, by the Company, (4) a Person, that owns, directly or indirectly, 50% or more of the total value or voting power of all the outstanding stock of the Company, or (5) an entity, at least 50% of the total value or voting power of which is owned, directly or indirectly, by a Person described in subsection 2.4.3(B)(4).</w:t>
      </w:r>
    </w:p>
    <w:p>
      <w:pPr>
        <w:pStyle w:val="TextBody"/>
        <w:bidi w:val="0"/>
        <w:spacing w:before="93" w:after="283"/>
        <w:jc w:val="both"/>
        <w:rPr>
          <w:rFonts w:ascii="Tahoma;sans-serif" w:hAnsi="Tahoma;sans-serif"/>
          <w:color w:val="000000"/>
          <w:sz w:val="19"/>
        </w:rPr>
      </w:pPr>
      <w:r>
        <w:rPr>
          <w:rFonts w:ascii="Tahoma;sans-serif" w:hAnsi="Tahoma;sans-serif"/>
          <w:color w:val="000000"/>
          <w:sz w:val="19"/>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w:t>
      </w:r>
    </w:p>
    <w:p>
      <w:pPr>
        <w:pStyle w:val="TextBody"/>
        <w:bidi w:val="0"/>
        <w:spacing w:before="456"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 - 2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8" w:after="283"/>
        <w:jc w:val="both"/>
        <w:rPr>
          <w:rFonts w:ascii="Tahoma;sans-serif" w:hAnsi="Tahoma;sans-serif"/>
          <w:color w:val="000000"/>
          <w:sz w:val="19"/>
        </w:rPr>
      </w:pPr>
      <w:r>
        <w:rPr>
          <w:rFonts w:ascii="Tahoma;sans-serif" w:hAnsi="Tahoma;sans-serif"/>
          <w:color w:val="000000"/>
          <w:sz w:val="19"/>
        </w:rPr>
        <w:t>and Internal Revenue Service guidance that has been promulgated or may be promulgated thereunder from time to time.</w:t>
      </w:r>
    </w:p>
    <w:p>
      <w:pPr>
        <w:pStyle w:val="TextBody"/>
        <w:bidi w:val="0"/>
        <w:spacing w:before="114" w:after="283"/>
        <w:jc w:val="both"/>
        <w:rPr>
          <w:rFonts w:ascii="Tahoma;sans-serif" w:hAnsi="Tahoma;sans-serif"/>
          <w:color w:val="000000"/>
          <w:sz w:val="19"/>
        </w:rPr>
      </w:pPr>
      <w:r>
        <w:rPr>
          <w:rFonts w:ascii="Tahoma;sans-serif" w:hAnsi="Tahoma;sans-serif"/>
          <w:color w:val="000000"/>
          <w:sz w:val="19"/>
        </w:rPr>
        <w:t>For the avoidance of doubt, a transaction will not constitute a Change of Control if: (i) its sole purpose is to change the state of the Company’s incorporation, (ii) its sole purpose is to create a holding company that will be owned in substantially the same proportions by the persons who held the Company’s securities immediately before such transaction or (iii) its sole purpose is to obtain funding for the Company in a financing that is approved by the Board.</w:t>
      </w:r>
    </w:p>
    <w:p>
      <w:pPr>
        <w:pStyle w:val="TextBody"/>
        <w:bidi w:val="0"/>
        <w:spacing w:before="117" w:after="283"/>
        <w:jc w:val="both"/>
        <w:rPr>
          <w:rFonts w:ascii="Times New Roman" w:hAnsi="Times New Roman"/>
          <w:sz w:val="20"/>
        </w:rPr>
      </w:pPr>
      <w:r>
        <w:rPr>
          <w:rFonts w:ascii="Tahoma;sans-serif" w:hAnsi="Tahoma;sans-serif"/>
          <w:i/>
          <w:color w:val="000000"/>
          <w:sz w:val="19"/>
        </w:rPr>
        <w:t>Notwithstanding any of the foregoing, however</w:t>
      </w:r>
      <w:r>
        <w:rPr>
          <w:rFonts w:ascii="Tahoma;sans-serif" w:hAnsi="Tahoma;sans-serif"/>
          <w:color w:val="000000"/>
          <w:sz w:val="19"/>
        </w:rPr>
        <w:t>, in any circumstance or transaction in which compensation or benefits paid under this Plan would result in imposition of an additional tax under Section 409A of the Code if the foregoing definition of “Change of Control” were to apply, but would not result in the imposition of any additional tax if the term “Change of Control” were defined herein to mean a “change in control event” within the meaning of Treasury Regulation Section 1.409A-3(i)(5), then “Change of Control” shall mean a “change in control event” within the meaning of Treasury Regulation Section 1.409A-3(i)(5), but only to the extent necessary to prevent such compensation from becoming subject to an additional tax under Section 409A.</w:t>
      </w:r>
    </w:p>
    <w:p>
      <w:pPr>
        <w:pStyle w:val="TextBody"/>
        <w:bidi w:val="0"/>
        <w:spacing w:before="137" w:after="283"/>
        <w:jc w:val="both"/>
        <w:rPr>
          <w:rFonts w:ascii="Times New Roman" w:hAnsi="Times New Roman"/>
          <w:sz w:val="20"/>
        </w:rPr>
      </w:pPr>
      <w:r>
        <w:rPr>
          <w:rFonts w:ascii="Tahoma;sans-serif" w:hAnsi="Tahoma;sans-serif"/>
          <w:color w:val="000000"/>
          <w:sz w:val="19"/>
        </w:rPr>
        <w:t>2.5. “</w:t>
      </w:r>
      <w:r>
        <w:rPr>
          <w:rFonts w:ascii="Tahoma;sans-serif" w:hAnsi="Tahoma;sans-serif"/>
          <w:b/>
          <w:color w:val="000000"/>
          <w:sz w:val="19"/>
        </w:rPr>
        <w:t>Change of Control Period</w:t>
      </w:r>
      <w:r>
        <w:rPr>
          <w:rFonts w:ascii="Times New Roman" w:hAnsi="Times New Roman"/>
          <w:color w:val="000000"/>
          <w:sz w:val="20"/>
        </w:rPr>
        <w:t xml:space="preserve">” </w:t>
      </w:r>
      <w:r>
        <w:rPr>
          <w:rFonts w:ascii="Tahoma;sans-serif" w:hAnsi="Tahoma;sans-serif"/>
          <w:color w:val="000000"/>
          <w:sz w:val="19"/>
        </w:rPr>
        <w:t xml:space="preserve">means the time period beginning three (3) </w:t>
        <w:br/>
        <w:t>months prior to a Change of Control and ending on the date that is twelve (12) months following the Change of Control.</w:t>
      </w:r>
    </w:p>
    <w:p>
      <w:pPr>
        <w:pStyle w:val="TextBody"/>
        <w:bidi w:val="0"/>
        <w:spacing w:before="115" w:after="283"/>
        <w:jc w:val="both"/>
        <w:rPr>
          <w:rFonts w:ascii="Times New Roman" w:hAnsi="Times New Roman"/>
          <w:sz w:val="20"/>
        </w:rPr>
      </w:pPr>
      <w:r>
        <w:rPr>
          <w:rFonts w:ascii="Tahoma;sans-serif" w:hAnsi="Tahoma;sans-serif"/>
          <w:color w:val="000000"/>
          <w:sz w:val="19"/>
        </w:rPr>
        <w:t>2.6. “</w:t>
      </w:r>
      <w:r>
        <w:rPr>
          <w:rFonts w:ascii="Tahoma;sans-serif" w:hAnsi="Tahoma;sans-serif"/>
          <w:b/>
          <w:color w:val="000000"/>
          <w:sz w:val="19"/>
        </w:rPr>
        <w:t>Code</w:t>
      </w:r>
      <w:r>
        <w:rPr>
          <w:rFonts w:ascii="Times New Roman" w:hAnsi="Times New Roman"/>
          <w:color w:val="000000"/>
          <w:sz w:val="20"/>
        </w:rPr>
        <w:t xml:space="preserve">” </w:t>
      </w:r>
      <w:r>
        <w:rPr>
          <w:rFonts w:ascii="Tahoma;sans-serif" w:hAnsi="Tahoma;sans-serif"/>
          <w:color w:val="000000"/>
          <w:sz w:val="19"/>
        </w:rPr>
        <w:t xml:space="preserve">means the Internal Revenue Code of 1986, as amended. Reference </w:t>
        <w:br/>
        <w:t>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116" w:after="283"/>
        <w:jc w:val="both"/>
        <w:rPr>
          <w:rFonts w:ascii="Times New Roman" w:hAnsi="Times New Roman"/>
          <w:sz w:val="20"/>
        </w:rPr>
      </w:pPr>
      <w:r>
        <w:rPr>
          <w:rFonts w:ascii="Tahoma;sans-serif" w:hAnsi="Tahoma;sans-serif"/>
          <w:color w:val="000000"/>
          <w:sz w:val="19"/>
        </w:rPr>
        <w:t>2.7. “</w:t>
      </w:r>
      <w:r>
        <w:rPr>
          <w:rFonts w:ascii="Tahoma;sans-serif" w:hAnsi="Tahoma;sans-serif"/>
          <w:b/>
          <w:color w:val="000000"/>
          <w:sz w:val="19"/>
        </w:rPr>
        <w:t>Company</w:t>
      </w:r>
      <w:r>
        <w:rPr>
          <w:rFonts w:ascii="Times New Roman" w:hAnsi="Times New Roman"/>
          <w:color w:val="000000"/>
          <w:sz w:val="20"/>
        </w:rPr>
        <w:t xml:space="preserve">” </w:t>
      </w:r>
      <w:r>
        <w:rPr>
          <w:rFonts w:ascii="Tahoma;sans-serif" w:hAnsi="Tahoma;sans-serif"/>
          <w:color w:val="000000"/>
          <w:sz w:val="19"/>
        </w:rPr>
        <w:t xml:space="preserve">means Standard BioTools Inc. and any successor that assumes </w:t>
        <w:br/>
        <w:t>the obligations of the Company under the Plan by way of merger, acquisition, consolidation or other transaction.</w:t>
      </w:r>
    </w:p>
    <w:p>
      <w:pPr>
        <w:pStyle w:val="TextBody"/>
        <w:bidi w:val="0"/>
        <w:spacing w:before="121" w:after="283"/>
        <w:jc w:val="both"/>
        <w:rPr>
          <w:rFonts w:ascii="Times New Roman" w:hAnsi="Times New Roman"/>
          <w:sz w:val="20"/>
        </w:rPr>
      </w:pPr>
      <w:r>
        <w:rPr>
          <w:rFonts w:ascii="Tahoma;sans-serif" w:hAnsi="Tahoma;sans-serif"/>
          <w:color w:val="000000"/>
          <w:sz w:val="19"/>
        </w:rPr>
        <w:t>2.8. “</w:t>
      </w:r>
      <w:r>
        <w:rPr>
          <w:rFonts w:ascii="Tahoma;sans-serif" w:hAnsi="Tahoma;sans-serif"/>
          <w:b/>
          <w:color w:val="000000"/>
          <w:sz w:val="19"/>
        </w:rPr>
        <w:t>Disability</w:t>
      </w:r>
      <w:r>
        <w:rPr>
          <w:rFonts w:ascii="Times New Roman" w:hAnsi="Times New Roman"/>
          <w:color w:val="000000"/>
          <w:sz w:val="20"/>
        </w:rPr>
        <w:t xml:space="preserve">” </w:t>
      </w:r>
      <w:r>
        <w:rPr>
          <w:rFonts w:ascii="Tahoma;sans-serif" w:hAnsi="Tahoma;sans-serif"/>
          <w:color w:val="000000"/>
          <w:sz w:val="19"/>
        </w:rPr>
        <w:t xml:space="preserve">means that Participant has been unable to perform his or her </w:t>
        <w:br/>
        <w:t>Company duties as the result of Participant’s incapacity due to physical or mental illness, and such inability, at least twenty-six (26) weeks after its commencement, is determined to be total and permanent by a physician selected by the Company or its insurers and acceptable to Participant or Participant’s legal representative (such agreement as to acceptability not to be unreasonably withheld). Termination resulting from Disability may only be effected after at least 30 days’ written notice by the Company of its intention to terminate Participant’s employment. In the event that Participant resumes the performance of substantially all of his or her duties hereunder before the termination of employment becomes effective, the notice of intent to terminate will automatically be deemed to have been revoked.</w:t>
      </w:r>
    </w:p>
    <w:p>
      <w:pPr>
        <w:pStyle w:val="TextBody"/>
        <w:bidi w:val="0"/>
        <w:spacing w:before="117" w:after="283"/>
        <w:jc w:val="both"/>
        <w:rPr>
          <w:rFonts w:ascii="Times New Roman" w:hAnsi="Times New Roman"/>
          <w:sz w:val="20"/>
        </w:rPr>
      </w:pPr>
      <w:r>
        <w:rPr>
          <w:rFonts w:ascii="Tahoma;sans-serif" w:hAnsi="Tahoma;sans-serif"/>
          <w:color w:val="000000"/>
          <w:sz w:val="19"/>
        </w:rPr>
        <w:t>2.9. “</w:t>
      </w:r>
      <w:r>
        <w:rPr>
          <w:rFonts w:ascii="Tahoma;sans-serif" w:hAnsi="Tahoma;sans-serif"/>
          <w:b/>
          <w:color w:val="000000"/>
          <w:sz w:val="19"/>
        </w:rPr>
        <w:t>Effective Date</w:t>
      </w:r>
      <w:r>
        <w:rPr>
          <w:rFonts w:ascii="Times New Roman" w:hAnsi="Times New Roman"/>
          <w:color w:val="000000"/>
          <w:sz w:val="20"/>
        </w:rPr>
        <w:t xml:space="preserve">” </w:t>
      </w:r>
      <w:r>
        <w:rPr>
          <w:rFonts w:ascii="Tahoma;sans-serif" w:hAnsi="Tahoma;sans-serif"/>
          <w:color w:val="000000"/>
          <w:sz w:val="19"/>
        </w:rPr>
        <w:t xml:space="preserve">means May 21, 2026, which is the date this Plan was </w:t>
        <w:br/>
        <w:t>deemed effective by the Human Capital Committee of the Board.</w:t>
      </w:r>
    </w:p>
    <w:p>
      <w:pPr>
        <w:pStyle w:val="TextBody"/>
        <w:bidi w:val="0"/>
        <w:spacing w:before="110" w:after="283"/>
        <w:jc w:val="both"/>
        <w:rPr>
          <w:rFonts w:ascii="Times New Roman" w:hAnsi="Times New Roman"/>
          <w:sz w:val="20"/>
        </w:rPr>
      </w:pPr>
      <w:r>
        <w:rPr>
          <w:rFonts w:ascii="Tahoma;sans-serif" w:hAnsi="Tahoma;sans-serif"/>
          <w:color w:val="000000"/>
          <w:sz w:val="19"/>
        </w:rPr>
        <w:t>2.10. “</w:t>
      </w:r>
      <w:r>
        <w:rPr>
          <w:rFonts w:ascii="Tahoma;sans-serif" w:hAnsi="Tahoma;sans-serif"/>
          <w:b/>
          <w:color w:val="000000"/>
          <w:sz w:val="19"/>
        </w:rPr>
        <w:t>Exchange Act</w:t>
      </w:r>
      <w:r>
        <w:rPr>
          <w:rFonts w:ascii="Times New Roman" w:hAnsi="Times New Roman"/>
          <w:color w:val="000000"/>
          <w:sz w:val="20"/>
        </w:rPr>
        <w:t xml:space="preserve">” </w:t>
      </w:r>
      <w:r>
        <w:rPr>
          <w:rFonts w:ascii="Tahoma;sans-serif" w:hAnsi="Tahoma;sans-serif"/>
          <w:color w:val="000000"/>
          <w:sz w:val="19"/>
        </w:rPr>
        <w:t xml:space="preserve">means the U.S. Securities Exchange Act of 1934, as </w:t>
        <w:br/>
        <w:t>amended.</w:t>
      </w:r>
    </w:p>
    <w:p>
      <w:pPr>
        <w:pStyle w:val="TextBody"/>
        <w:bidi w:val="0"/>
        <w:spacing w:before="659"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 - 3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01" w:after="283"/>
        <w:jc w:val="both"/>
        <w:rPr>
          <w:rFonts w:ascii="Times New Roman" w:hAnsi="Times New Roman"/>
          <w:sz w:val="20"/>
        </w:rPr>
      </w:pPr>
      <w:r>
        <w:rPr>
          <w:rFonts w:ascii="Tahoma;sans-serif" w:hAnsi="Tahoma;sans-serif"/>
          <w:color w:val="000000"/>
          <w:sz w:val="19"/>
        </w:rPr>
        <w:t>2.11. “</w:t>
      </w:r>
      <w:r>
        <w:rPr>
          <w:rFonts w:ascii="Tahoma;sans-serif" w:hAnsi="Tahoma;sans-serif"/>
          <w:b/>
          <w:color w:val="000000"/>
          <w:sz w:val="19"/>
        </w:rPr>
        <w:t>Equity Awards</w:t>
      </w:r>
      <w:r>
        <w:rPr>
          <w:rFonts w:ascii="Times New Roman" w:hAnsi="Times New Roman"/>
          <w:color w:val="000000"/>
          <w:sz w:val="20"/>
        </w:rPr>
        <w:t xml:space="preserve">” </w:t>
      </w:r>
      <w:r>
        <w:rPr>
          <w:rFonts w:ascii="Tahoma;sans-serif" w:hAnsi="Tahoma;sans-serif"/>
          <w:color w:val="000000"/>
          <w:sz w:val="19"/>
        </w:rPr>
        <w:t xml:space="preserve">means a Participant’s outstanding stock options, stock </w:t>
        <w:br/>
        <w:t>appreciation rights, restricted stock, restricted stock units, performance shares, performance stock units, and any other Company equity compensation awards.</w:t>
      </w:r>
    </w:p>
    <w:p>
      <w:pPr>
        <w:pStyle w:val="TextBody"/>
        <w:bidi w:val="0"/>
        <w:spacing w:before="118" w:after="283"/>
        <w:jc w:val="both"/>
        <w:rPr>
          <w:rFonts w:ascii="Times New Roman" w:hAnsi="Times New Roman"/>
          <w:sz w:val="20"/>
        </w:rPr>
      </w:pPr>
      <w:r>
        <w:rPr>
          <w:rFonts w:ascii="Tahoma;sans-serif" w:hAnsi="Tahoma;sans-serif"/>
          <w:color w:val="000000"/>
          <w:sz w:val="19"/>
        </w:rPr>
        <w:t>2.12. “</w:t>
      </w:r>
      <w:r>
        <w:rPr>
          <w:rFonts w:ascii="Tahoma;sans-serif" w:hAnsi="Tahoma;sans-serif"/>
          <w:b/>
          <w:color w:val="000000"/>
          <w:sz w:val="19"/>
        </w:rPr>
        <w:t>Good Reason</w:t>
      </w:r>
      <w:r>
        <w:rPr>
          <w:rFonts w:ascii="Times New Roman" w:hAnsi="Times New Roman"/>
          <w:color w:val="000000"/>
          <w:sz w:val="20"/>
        </w:rPr>
        <w:t xml:space="preserve">” </w:t>
      </w:r>
      <w:r>
        <w:rPr>
          <w:rFonts w:ascii="Tahoma;sans-serif" w:hAnsi="Tahoma;sans-serif"/>
          <w:color w:val="000000"/>
          <w:sz w:val="19"/>
        </w:rPr>
        <w:t xml:space="preserve">has the meaning set forth in the Participant’s Participation </w:t>
        <w:br/>
        <w:t>Agreement.</w:t>
      </w:r>
    </w:p>
    <w:p>
      <w:pPr>
        <w:pStyle w:val="TextBody"/>
        <w:bidi w:val="0"/>
        <w:spacing w:before="114" w:after="283"/>
        <w:jc w:val="both"/>
        <w:rPr>
          <w:rFonts w:ascii="Times New Roman" w:hAnsi="Times New Roman"/>
          <w:sz w:val="20"/>
        </w:rPr>
      </w:pPr>
      <w:r>
        <w:rPr>
          <w:rFonts w:ascii="Tahoma;sans-serif" w:hAnsi="Tahoma;sans-serif"/>
          <w:color w:val="000000"/>
          <w:sz w:val="19"/>
        </w:rPr>
        <w:t>2.13. “</w:t>
      </w:r>
      <w:r>
        <w:rPr>
          <w:rFonts w:ascii="Tahoma;sans-serif" w:hAnsi="Tahoma;sans-serif"/>
          <w:b/>
          <w:color w:val="000000"/>
          <w:sz w:val="19"/>
        </w:rPr>
        <w:t>Involuntary Termination</w:t>
      </w:r>
      <w:r>
        <w:rPr>
          <w:rFonts w:ascii="Times New Roman" w:hAnsi="Times New Roman"/>
          <w:color w:val="000000"/>
          <w:sz w:val="20"/>
        </w:rPr>
        <w:t xml:space="preserve">” </w:t>
      </w:r>
      <w:r>
        <w:rPr>
          <w:rFonts w:ascii="Tahoma;sans-serif" w:hAnsi="Tahoma;sans-serif"/>
          <w:color w:val="000000"/>
          <w:sz w:val="19"/>
        </w:rPr>
        <w:t xml:space="preserve">means a Non-COC Involuntary Termination or </w:t>
        <w:br/>
        <w:t>a COC Involuntary Termination, in each case, under the circumstances described in Section 4 or Section 5, as applicable.</w:t>
      </w:r>
    </w:p>
    <w:p>
      <w:pPr>
        <w:pStyle w:val="TextBody"/>
        <w:bidi w:val="0"/>
        <w:spacing w:before="115" w:after="283"/>
        <w:jc w:val="both"/>
        <w:rPr>
          <w:rFonts w:ascii="Times New Roman" w:hAnsi="Times New Roman"/>
          <w:sz w:val="20"/>
        </w:rPr>
      </w:pPr>
      <w:r>
        <w:rPr>
          <w:rFonts w:ascii="Tahoma;sans-serif" w:hAnsi="Tahoma;sans-serif"/>
          <w:color w:val="000000"/>
          <w:sz w:val="19"/>
        </w:rPr>
        <w:t>2.14. “</w:t>
      </w:r>
      <w:r>
        <w:rPr>
          <w:rFonts w:ascii="Tahoma;sans-serif" w:hAnsi="Tahoma;sans-serif"/>
          <w:b/>
          <w:color w:val="000000"/>
          <w:sz w:val="19"/>
        </w:rPr>
        <w:t>Participant</w:t>
      </w:r>
      <w:r>
        <w:rPr>
          <w:rFonts w:ascii="Times New Roman" w:hAnsi="Times New Roman"/>
          <w:color w:val="000000"/>
          <w:sz w:val="20"/>
        </w:rPr>
        <w:t xml:space="preserve">” </w:t>
      </w:r>
      <w:r>
        <w:rPr>
          <w:rFonts w:ascii="Tahoma;sans-serif" w:hAnsi="Tahoma;sans-serif"/>
          <w:color w:val="000000"/>
          <w:sz w:val="19"/>
        </w:rPr>
        <w:t xml:space="preserve">means an employee of the Company or of any parent or </w:t>
        <w:br/>
        <w:t>subsidiary of the Company who (a) has been designated by the Administrator to participate in the Plan and (b) has timely and properly executed and delivered a Participation Agreement to the Company.</w:t>
      </w:r>
    </w:p>
    <w:p>
      <w:pPr>
        <w:pStyle w:val="TextBody"/>
        <w:bidi w:val="0"/>
        <w:spacing w:before="112" w:after="283"/>
        <w:jc w:val="both"/>
        <w:rPr>
          <w:rFonts w:ascii="Times New Roman" w:hAnsi="Times New Roman"/>
          <w:sz w:val="20"/>
        </w:rPr>
      </w:pPr>
      <w:r>
        <w:rPr>
          <w:rFonts w:ascii="Tahoma;sans-serif" w:hAnsi="Tahoma;sans-serif"/>
          <w:color w:val="000000"/>
          <w:sz w:val="19"/>
        </w:rPr>
        <w:t>2.15. “</w:t>
      </w:r>
      <w:r>
        <w:rPr>
          <w:rFonts w:ascii="Tahoma;sans-serif" w:hAnsi="Tahoma;sans-serif"/>
          <w:b/>
          <w:color w:val="000000"/>
          <w:sz w:val="19"/>
        </w:rPr>
        <w:t>Participation Agreement</w:t>
      </w:r>
      <w:r>
        <w:rPr>
          <w:rFonts w:ascii="Times New Roman" w:hAnsi="Times New Roman"/>
          <w:color w:val="000000"/>
          <w:sz w:val="20"/>
        </w:rPr>
        <w:t xml:space="preserve">” </w:t>
      </w:r>
      <w:r>
        <w:rPr>
          <w:rFonts w:ascii="Tahoma;sans-serif" w:hAnsi="Tahoma;sans-serif"/>
          <w:color w:val="000000"/>
          <w:sz w:val="19"/>
        </w:rPr>
        <w:t xml:space="preserve">means the individual agreement (as will be </w:t>
        <w:br/>
        <w:t xml:space="preserve">provided in separate cover as </w:t>
      </w:r>
      <w:r>
        <w:rPr>
          <w:rFonts w:ascii="Tahoma;sans-serif" w:hAnsi="Tahoma;sans-serif"/>
          <w:color w:val="000000"/>
          <w:sz w:val="19"/>
          <w:u w:val="single"/>
        </w:rPr>
        <w:t>Appendix A</w:t>
      </w:r>
      <w:r>
        <w:rPr>
          <w:rFonts w:ascii="Tahoma;sans-serif" w:hAnsi="Tahoma;sans-serif"/>
          <w:color w:val="000000"/>
          <w:sz w:val="19"/>
        </w:rPr>
        <w:t>) provided by the Administrator to a Participant under the Plan, which has been signed and accepted by the Participant.</w:t>
      </w:r>
    </w:p>
    <w:p>
      <w:pPr>
        <w:pStyle w:val="TextBody"/>
        <w:bidi w:val="0"/>
        <w:spacing w:before="113" w:after="283"/>
        <w:jc w:val="both"/>
        <w:rPr>
          <w:rFonts w:ascii="Times New Roman" w:hAnsi="Times New Roman"/>
          <w:sz w:val="20"/>
        </w:rPr>
      </w:pPr>
      <w:r>
        <w:rPr>
          <w:rFonts w:ascii="Tahoma;sans-serif" w:hAnsi="Tahoma;sans-serif"/>
          <w:color w:val="000000"/>
          <w:sz w:val="19"/>
        </w:rPr>
        <w:t>2.16. “</w:t>
      </w:r>
      <w:r>
        <w:rPr>
          <w:rFonts w:ascii="Tahoma;sans-serif" w:hAnsi="Tahoma;sans-serif"/>
          <w:b/>
          <w:color w:val="000000"/>
          <w:sz w:val="19"/>
        </w:rPr>
        <w:t>Plan</w:t>
      </w:r>
      <w:r>
        <w:rPr>
          <w:rFonts w:ascii="Times New Roman" w:hAnsi="Times New Roman"/>
          <w:color w:val="000000"/>
          <w:sz w:val="20"/>
        </w:rPr>
        <w:t xml:space="preserve">” </w:t>
      </w:r>
      <w:r>
        <w:rPr>
          <w:rFonts w:ascii="Tahoma;sans-serif" w:hAnsi="Tahoma;sans-serif"/>
          <w:color w:val="000000"/>
          <w:sz w:val="19"/>
        </w:rPr>
        <w:t xml:space="preserve">means the Standard BioTools Inc. 2023 Change of Control and </w:t>
        <w:br/>
        <w:t>Severance Plan as amended and restated and set forth in this document and as hereafter amended from time to time.</w:t>
      </w:r>
    </w:p>
    <w:p>
      <w:pPr>
        <w:pStyle w:val="TextBody"/>
        <w:bidi w:val="0"/>
        <w:spacing w:before="120" w:after="283"/>
        <w:jc w:val="both"/>
        <w:rPr>
          <w:rFonts w:ascii="Times New Roman" w:hAnsi="Times New Roman"/>
          <w:sz w:val="20"/>
        </w:rPr>
      </w:pPr>
      <w:r>
        <w:rPr>
          <w:rFonts w:ascii="Tahoma;sans-serif" w:hAnsi="Tahoma;sans-serif"/>
          <w:color w:val="000000"/>
          <w:sz w:val="19"/>
        </w:rPr>
        <w:t>2.17. “</w:t>
      </w:r>
      <w:r>
        <w:rPr>
          <w:rFonts w:ascii="Tahoma;sans-serif" w:hAnsi="Tahoma;sans-serif"/>
          <w:b/>
          <w:color w:val="000000"/>
          <w:sz w:val="19"/>
        </w:rPr>
        <w:t>Section 409A</w:t>
      </w:r>
      <w:r>
        <w:rPr>
          <w:rFonts w:ascii="Times New Roman" w:hAnsi="Times New Roman"/>
          <w:color w:val="000000"/>
          <w:sz w:val="20"/>
        </w:rPr>
        <w:t xml:space="preserve">” </w:t>
      </w:r>
      <w:r>
        <w:rPr>
          <w:rFonts w:ascii="Tahoma;sans-serif" w:hAnsi="Tahoma;sans-serif"/>
          <w:color w:val="000000"/>
          <w:sz w:val="19"/>
        </w:rPr>
        <w:t xml:space="preserve">means Section 409A of the Code and the final regulations </w:t>
        <w:br/>
        <w:t>and any guidance promulgated thereunder.</w:t>
      </w:r>
    </w:p>
    <w:p>
      <w:pPr>
        <w:pStyle w:val="TextBody"/>
        <w:bidi w:val="0"/>
        <w:spacing w:before="123" w:after="283"/>
        <w:jc w:val="both"/>
        <w:rPr>
          <w:rFonts w:ascii="Times New Roman" w:hAnsi="Times New Roman"/>
          <w:sz w:val="20"/>
        </w:rPr>
      </w:pPr>
      <w:r>
        <w:rPr>
          <w:rFonts w:ascii="Tahoma;sans-serif" w:hAnsi="Tahoma;sans-serif"/>
          <w:color w:val="000000"/>
          <w:sz w:val="19"/>
        </w:rPr>
        <w:t>2.18. “</w:t>
      </w:r>
      <w:r>
        <w:rPr>
          <w:rFonts w:ascii="Tahoma;sans-serif" w:hAnsi="Tahoma;sans-serif"/>
          <w:b/>
          <w:color w:val="000000"/>
          <w:sz w:val="19"/>
        </w:rPr>
        <w:t>Section 409A Limit</w:t>
      </w:r>
      <w:r>
        <w:rPr>
          <w:rFonts w:ascii="Times New Roman" w:hAnsi="Times New Roman"/>
          <w:color w:val="000000"/>
          <w:sz w:val="20"/>
        </w:rPr>
        <w:t xml:space="preserve">” </w:t>
      </w:r>
      <w:r>
        <w:rPr>
          <w:rFonts w:ascii="Tahoma;sans-serif" w:hAnsi="Tahoma;sans-serif"/>
          <w:color w:val="000000"/>
          <w:sz w:val="19"/>
        </w:rPr>
        <w:t xml:space="preserve">means two (2) times the lesser of: (i) the Participant’s </w:t>
        <w:br/>
        <w:t>annualized compensation based upon the annual rate of pay paid to the Participant during the taxable year preceding the taxable year of the Participant’s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the Participant’s employment is terminated.</w:t>
      </w:r>
    </w:p>
    <w:p>
      <w:pPr>
        <w:pStyle w:val="TextBody"/>
        <w:bidi w:val="0"/>
        <w:spacing w:before="112" w:after="283"/>
        <w:jc w:val="both"/>
        <w:rPr>
          <w:rFonts w:ascii="Times New Roman" w:hAnsi="Times New Roman"/>
          <w:sz w:val="20"/>
        </w:rPr>
      </w:pPr>
      <w:r>
        <w:rPr>
          <w:rFonts w:ascii="Tahoma;sans-serif" w:hAnsi="Tahoma;sans-serif"/>
          <w:color w:val="000000"/>
          <w:sz w:val="19"/>
        </w:rPr>
        <w:t>2.19. “</w:t>
      </w:r>
      <w:r>
        <w:rPr>
          <w:rFonts w:ascii="Tahoma;sans-serif" w:hAnsi="Tahoma;sans-serif"/>
          <w:b/>
          <w:color w:val="000000"/>
          <w:sz w:val="19"/>
        </w:rPr>
        <w:t>Severance Benefits</w:t>
      </w:r>
      <w:r>
        <w:rPr>
          <w:rFonts w:ascii="Times New Roman" w:hAnsi="Times New Roman"/>
          <w:color w:val="000000"/>
          <w:sz w:val="20"/>
        </w:rPr>
        <w:t xml:space="preserve">” </w:t>
      </w:r>
      <w:r>
        <w:rPr>
          <w:rFonts w:ascii="Tahoma;sans-serif" w:hAnsi="Tahoma;sans-serif"/>
          <w:color w:val="000000"/>
          <w:sz w:val="19"/>
        </w:rPr>
        <w:t xml:space="preserve">means the compensation and other benefits that the </w:t>
        <w:br/>
        <w:t>Participant will be provided in the circumstances described in Section 4 or Section 5 of the Plan, as applicable.</w:t>
      </w:r>
    </w:p>
    <w:p>
      <w:pPr>
        <w:pStyle w:val="TextBody"/>
        <w:bidi w:val="0"/>
        <w:spacing w:before="112" w:after="283"/>
        <w:jc w:val="both"/>
        <w:rPr>
          <w:rFonts w:ascii="Tahoma" w:hAnsi="Tahoma"/>
          <w:b/>
          <w:color w:val="000000"/>
          <w:sz w:val="19"/>
        </w:rPr>
      </w:pPr>
      <w:r>
        <w:rPr>
          <w:rFonts w:ascii="Tahoma" w:hAnsi="Tahoma"/>
          <w:b/>
          <w:color w:val="000000"/>
          <w:sz w:val="19"/>
        </w:rPr>
        <w:t>3.</w:t>
      </w:r>
    </w:p>
    <w:p>
      <w:pPr>
        <w:pStyle w:val="TextBody"/>
        <w:bidi w:val="0"/>
        <w:spacing w:before="112" w:after="283"/>
        <w:jc w:val="both"/>
        <w:rPr/>
      </w:pPr>
      <w:r>
        <w:rPr>
          <w:rFonts w:ascii="Tahoma;sans-serif" w:hAnsi="Tahoma;sans-serif"/>
          <w:b/>
          <w:color w:val="000000"/>
          <w:sz w:val="19"/>
        </w:rPr>
        <w:t>Eligibility for Severance Benefits</w:t>
      </w:r>
      <w:r>
        <w:rPr>
          <w:rFonts w:ascii="Tahoma;sans-serif" w:hAnsi="Tahoma;sans-serif"/>
          <w:color w:val="000000"/>
          <w:sz w:val="19"/>
        </w:rPr>
        <w:t>. An individual is eligible for Severance Benefits under the Plan, as described in Section 4 or Section 5, as applicable, only if he or she experiences an Involuntary Termination.</w:t>
      </w:r>
    </w:p>
    <w:p>
      <w:pPr>
        <w:pStyle w:val="TextBody"/>
        <w:bidi w:val="0"/>
        <w:spacing w:before="113" w:after="283"/>
        <w:jc w:val="both"/>
        <w:rPr>
          <w:rFonts w:ascii="Tahoma" w:hAnsi="Tahoma"/>
          <w:b/>
          <w:color w:val="000000"/>
          <w:sz w:val="19"/>
        </w:rPr>
      </w:pPr>
      <w:r>
        <w:rPr>
          <w:rFonts w:ascii="Tahoma" w:hAnsi="Tahoma"/>
          <w:b/>
          <w:color w:val="000000"/>
          <w:sz w:val="19"/>
        </w:rPr>
        <w:t>4.</w:t>
      </w:r>
    </w:p>
    <w:p>
      <w:pPr>
        <w:pStyle w:val="TextBody"/>
        <w:bidi w:val="0"/>
        <w:spacing w:before="113" w:after="283"/>
        <w:jc w:val="both"/>
        <w:rPr/>
      </w:pPr>
      <w:r>
        <w:rPr>
          <w:rFonts w:ascii="Tahoma;sans-serif" w:hAnsi="Tahoma;sans-serif"/>
          <w:b/>
          <w:color w:val="000000"/>
          <w:sz w:val="19"/>
        </w:rPr>
        <w:t>Involuntary Termination Outside the Change of Control Period</w:t>
      </w:r>
      <w:r>
        <w:rPr>
          <w:rFonts w:ascii="Tahoma;sans-serif" w:hAnsi="Tahoma;sans-serif"/>
          <w:color w:val="000000"/>
          <w:sz w:val="19"/>
        </w:rPr>
        <w:t>. If, outside of the Change of Control Period, the Company (or any parent or subsidiary of the Company) terminates the Participant’s employment for a reason other than for Cause, the Participant’s death or Disability (a “</w:t>
      </w:r>
      <w:r>
        <w:rPr>
          <w:rFonts w:ascii="Tahoma;sans-serif" w:hAnsi="Tahoma;sans-serif"/>
          <w:b/>
          <w:color w:val="000000"/>
          <w:sz w:val="19"/>
        </w:rPr>
        <w:t>Non-COC Involuntary Termination</w:t>
      </w:r>
      <w:r>
        <w:rPr>
          <w:color w:val="000000"/>
        </w:rPr>
        <w:t>”</w:t>
      </w:r>
      <w:r>
        <w:rPr>
          <w:rFonts w:ascii="Tahoma;sans-serif" w:hAnsi="Tahoma;sans-serif"/>
          <w:color w:val="000000"/>
          <w:sz w:val="19"/>
        </w:rPr>
        <w:t>), subject to the Participant’s compliance with Section 7, the Participant will receive the following Severance Benefits:</w:t>
      </w:r>
    </w:p>
    <w:p>
      <w:pPr>
        <w:pStyle w:val="TextBody"/>
        <w:bidi w:val="0"/>
        <w:spacing w:before="720"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 - 4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95" w:after="283"/>
        <w:jc w:val="both"/>
        <w:rPr>
          <w:rFonts w:ascii="Tahoma;sans-serif" w:hAnsi="Tahoma;sans-serif"/>
          <w:color w:val="000000"/>
          <w:sz w:val="19"/>
        </w:rPr>
      </w:pPr>
      <w:r>
        <w:rPr>
          <w:rFonts w:ascii="Tahoma;sans-serif" w:hAnsi="Tahoma;sans-serif"/>
          <w:color w:val="000000"/>
          <w:sz w:val="19"/>
        </w:rPr>
        <w:t xml:space="preserve">4.1. Cash Severance Benefits. Continued payments of cash severance and/or </w:t>
        <w:br/>
        <w:t>a bonus payment for the periods set forth in the Participant’s Participation Agreement;</w:t>
      </w:r>
    </w:p>
    <w:p>
      <w:pPr>
        <w:pStyle w:val="TextBody"/>
        <w:bidi w:val="0"/>
        <w:spacing w:before="99" w:after="283"/>
        <w:jc w:val="both"/>
        <w:rPr>
          <w:rFonts w:ascii="Times New Roman" w:hAnsi="Times New Roman"/>
          <w:sz w:val="20"/>
        </w:rPr>
      </w:pPr>
      <w:r>
        <w:rPr>
          <w:rFonts w:ascii="Tahoma;sans-serif" w:hAnsi="Tahoma;sans-serif"/>
          <w:color w:val="000000"/>
          <w:sz w:val="19"/>
        </w:rPr>
        <w:t xml:space="preserve">4.2. Continued Medical Benefits. If the Participant and any spouse and/or </w:t>
        <w:br/>
        <w:t>other dependents of the Participant (“</w:t>
      </w:r>
      <w:r>
        <w:rPr>
          <w:rFonts w:ascii="Tahoma;sans-serif" w:hAnsi="Tahoma;sans-serif"/>
          <w:b/>
          <w:i/>
          <w:color w:val="000000"/>
          <w:sz w:val="19"/>
        </w:rPr>
        <w:t>Family Members</w:t>
      </w:r>
      <w:r>
        <w:rPr>
          <w:rFonts w:ascii="Times New Roman" w:hAnsi="Times New Roman"/>
          <w:color w:val="000000"/>
          <w:sz w:val="20"/>
        </w:rPr>
        <w:t>”</w:t>
      </w:r>
      <w:r>
        <w:rPr>
          <w:rFonts w:ascii="Tahoma;sans-serif" w:hAnsi="Tahoma;sans-serif"/>
          <w:color w:val="000000"/>
          <w:sz w:val="19"/>
        </w:rPr>
        <w:t>) have coverage on the date of the Participant’s Involuntary Termination under a group health plan sponsored by the Company, the Company will pay on behalf of Participant the total applicable premium cost for continued group health plan coverage under the Consolidated Omnibus Budget Reconciliation Act of 1985, as amended (“</w:t>
      </w:r>
      <w:r>
        <w:rPr>
          <w:rFonts w:ascii="Tahoma;sans-serif" w:hAnsi="Tahoma;sans-serif"/>
          <w:b/>
          <w:i/>
          <w:color w:val="000000"/>
          <w:sz w:val="19"/>
        </w:rPr>
        <w:t>COBRA</w:t>
      </w:r>
      <w:r>
        <w:rPr>
          <w:rFonts w:ascii="Times New Roman" w:hAnsi="Times New Roman"/>
          <w:color w:val="000000"/>
          <w:sz w:val="20"/>
        </w:rPr>
        <w:t>”</w:t>
      </w:r>
      <w:r>
        <w:rPr>
          <w:rFonts w:ascii="Tahoma;sans-serif" w:hAnsi="Tahoma;sans-serif"/>
          <w:color w:val="000000"/>
          <w:sz w:val="19"/>
        </w:rPr>
        <w:t>) during the period of time following the Participant’s employment termination, as set forth in the Participant’s Participation Agreement, provided that the Participant validly elects and is eligible to continue coverage under COBRA for the Participant and any such Family Members; and</w:t>
      </w:r>
    </w:p>
    <w:p>
      <w:pPr>
        <w:pStyle w:val="TextBody"/>
        <w:bidi w:val="0"/>
        <w:spacing w:before="112" w:after="283"/>
        <w:jc w:val="both"/>
        <w:rPr>
          <w:rFonts w:ascii="Tahoma;sans-serif" w:hAnsi="Tahoma;sans-serif"/>
          <w:color w:val="000000"/>
          <w:sz w:val="19"/>
        </w:rPr>
      </w:pPr>
      <w:r>
        <w:rPr>
          <w:rFonts w:ascii="Tahoma;sans-serif" w:hAnsi="Tahoma;sans-serif"/>
          <w:color w:val="000000"/>
          <w:sz w:val="19"/>
        </w:rPr>
        <w:t xml:space="preserve">4.3. Outplacement Services. Reasonable outplacement services in accordance </w:t>
        <w:br/>
        <w:t>with any applicable Company policy in effect as of the Participant’s Non-COC Involuntary Termination (or if no such policy is in effect, as determined by the Company, in its sole discretion).</w:t>
      </w:r>
    </w:p>
    <w:p>
      <w:pPr>
        <w:pStyle w:val="TextBody"/>
        <w:bidi w:val="0"/>
        <w:spacing w:before="104" w:after="283"/>
        <w:jc w:val="both"/>
        <w:rPr>
          <w:rFonts w:ascii="Times New Roman" w:hAnsi="Times New Roman"/>
          <w:sz w:val="20"/>
        </w:rPr>
      </w:pPr>
      <w:r>
        <w:rPr>
          <w:rFonts w:ascii="Tahoma;sans-serif" w:hAnsi="Tahoma;sans-serif"/>
          <w:color w:val="000000"/>
          <w:sz w:val="19"/>
        </w:rPr>
        <w:t xml:space="preserve">5. Involuntary Termination During the Change of Control Period. If, during the </w:t>
        <w:br/>
        <w:t>Change of Control Period, (i) a Participant terminates his or her employment with the Company (or any parent or subsidiary of the Company) for Good Reason, or (ii) the Company (or any parent or subsidiary of the Company) terminates the Participant’s employment for a reason other than Cause or the Participant’s death or Disability (a “</w:t>
      </w:r>
      <w:r>
        <w:rPr>
          <w:rFonts w:ascii="Tahoma;sans-serif" w:hAnsi="Tahoma;sans-serif"/>
          <w:b/>
          <w:i/>
          <w:color w:val="000000"/>
          <w:sz w:val="19"/>
        </w:rPr>
        <w:t>COC Involuntary Termination</w:t>
      </w:r>
      <w:r>
        <w:rPr>
          <w:rFonts w:ascii="Times New Roman" w:hAnsi="Times New Roman"/>
          <w:color w:val="000000"/>
          <w:sz w:val="20"/>
        </w:rPr>
        <w:t>”</w:t>
      </w:r>
      <w:r>
        <w:rPr>
          <w:rFonts w:ascii="Tahoma;sans-serif" w:hAnsi="Tahoma;sans-serif"/>
          <w:color w:val="000000"/>
          <w:sz w:val="19"/>
        </w:rPr>
        <w:t>), then, in each case, subject to the Participant’s compliance with Section 7, the Participant will receive the following Severance Benefits:</w:t>
      </w:r>
    </w:p>
    <w:p>
      <w:pPr>
        <w:pStyle w:val="TextBody"/>
        <w:bidi w:val="0"/>
        <w:spacing w:before="111" w:after="283"/>
        <w:jc w:val="both"/>
        <w:rPr>
          <w:rFonts w:ascii="Tahoma;sans-serif" w:hAnsi="Tahoma;sans-serif"/>
          <w:color w:val="000000"/>
          <w:sz w:val="19"/>
        </w:rPr>
      </w:pPr>
      <w:r>
        <w:rPr>
          <w:rFonts w:ascii="Tahoma;sans-serif" w:hAnsi="Tahoma;sans-serif"/>
          <w:color w:val="000000"/>
          <w:sz w:val="19"/>
        </w:rPr>
        <w:t xml:space="preserve">5.1. Cash Severance Benefits. A lump-sum payment of cash severance and/or </w:t>
        <w:br/>
        <w:t>bonus equal to the amount set forth in the Participant’s Participation Agreement;</w:t>
      </w:r>
    </w:p>
    <w:p>
      <w:pPr>
        <w:pStyle w:val="TextBody"/>
        <w:bidi w:val="0"/>
        <w:spacing w:before="107" w:after="283"/>
        <w:jc w:val="both"/>
        <w:rPr>
          <w:rFonts w:ascii="Tahoma;sans-serif" w:hAnsi="Tahoma;sans-serif"/>
          <w:color w:val="000000"/>
          <w:sz w:val="19"/>
        </w:rPr>
      </w:pPr>
      <w:r>
        <w:rPr>
          <w:rFonts w:ascii="Tahoma;sans-serif" w:hAnsi="Tahoma;sans-serif"/>
          <w:color w:val="000000"/>
          <w:sz w:val="19"/>
        </w:rPr>
        <w:t xml:space="preserve">5.2. Equity Award Vesting Acceleration Benefit. The Participant’s Equity </w:t>
        <w:br/>
        <w:t>Awards will accelerate and vest to the amount set forth in the Participant’s Participation Agreement, as applicable;</w:t>
      </w:r>
    </w:p>
    <w:p>
      <w:pPr>
        <w:pStyle w:val="TextBody"/>
        <w:bidi w:val="0"/>
        <w:spacing w:before="103" w:after="283"/>
        <w:jc w:val="both"/>
        <w:rPr>
          <w:rFonts w:ascii="Tahoma;sans-serif" w:hAnsi="Tahoma;sans-serif"/>
          <w:color w:val="000000"/>
          <w:sz w:val="19"/>
        </w:rPr>
      </w:pPr>
      <w:r>
        <w:rPr>
          <w:rFonts w:ascii="Tahoma;sans-serif" w:hAnsi="Tahoma;sans-serif"/>
          <w:color w:val="000000"/>
          <w:sz w:val="19"/>
        </w:rPr>
        <w:t xml:space="preserve">5.3. Continued Medical Benefits. If the Participant, and any Family Member(s) </w:t>
        <w:br/>
        <w:t>has/have coverage on the date of the Participant’s Involuntary Termination under a group health plan sponsored by the Company, the Company will pay on behalf of Participant the total applicable premium cost for continued group health plan coverage under the COBRA during the period of time following the Participant’s employment termination, as set forth in the Participant’s Participation Agreement, provided that the Participant validly elects and is eligible to continue coverage under COBRA for the Participant and his or her Family Members; and</w:t>
      </w:r>
    </w:p>
    <w:p>
      <w:pPr>
        <w:pStyle w:val="TextBody"/>
        <w:bidi w:val="0"/>
        <w:spacing w:before="108" w:after="283"/>
        <w:jc w:val="both"/>
        <w:rPr>
          <w:rFonts w:ascii="Tahoma;sans-serif" w:hAnsi="Tahoma;sans-serif"/>
          <w:color w:val="000000"/>
          <w:sz w:val="19"/>
        </w:rPr>
      </w:pPr>
      <w:r>
        <w:rPr>
          <w:rFonts w:ascii="Tahoma;sans-serif" w:hAnsi="Tahoma;sans-serif"/>
          <w:color w:val="000000"/>
          <w:sz w:val="19"/>
        </w:rPr>
        <w:t xml:space="preserve">5.4. Outplacement Services. Reasonable outplacement services in accordance </w:t>
        <w:br/>
        <w:t>with any applicable Company policy in effect as of the Participant’s COC Involuntary Termination (or if no such policy is in effect, as determined by the Company, in its sole discretion); provided, however, that such outplacement services shall be in no case less than the outplacement services provided under any applicable Company policy in effect immediately prior to the applicable Change of Control.</w:t>
      </w:r>
    </w:p>
    <w:p>
      <w:pPr>
        <w:pStyle w:val="TextBody"/>
        <w:bidi w:val="0"/>
        <w:spacing w:before="720"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 - 5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01" w:after="283"/>
        <w:jc w:val="both"/>
        <w:rPr>
          <w:rFonts w:ascii="Times New Roman" w:hAnsi="Times New Roman"/>
          <w:sz w:val="20"/>
        </w:rPr>
      </w:pPr>
      <w:r>
        <w:rPr>
          <w:rFonts w:ascii="Tahoma;sans-serif" w:hAnsi="Tahoma;sans-serif"/>
          <w:color w:val="000000"/>
          <w:sz w:val="19"/>
        </w:rPr>
        <w:t xml:space="preserve">6. </w:t>
      </w:r>
      <w:r>
        <w:rPr>
          <w:rFonts w:ascii="Tahoma;sans-serif" w:hAnsi="Tahoma;sans-serif"/>
          <w:b/>
          <w:color w:val="000000"/>
          <w:sz w:val="19"/>
        </w:rPr>
        <w:t>Limitation on Payments</w:t>
      </w:r>
      <w:r>
        <w:rPr>
          <w:rFonts w:ascii="Tahoma;sans-serif" w:hAnsi="Tahoma;sans-serif"/>
          <w:color w:val="000000"/>
          <w:sz w:val="19"/>
        </w:rPr>
        <w:t>. In the event that the severance and other benefits provided for in this Plan or otherwise (“280G Payments”) payable to a Participant (i) constitute “parachute payments” within the meaning of Section 280G of the Code, and (ii) but for this Section 6, would be subject to the excise tax imposed by Section 4999 of the Code, then the 280G Payments will be either:</w:t>
      </w:r>
    </w:p>
    <w:p>
      <w:pPr>
        <w:pStyle w:val="TextBody"/>
        <w:bidi w:val="0"/>
        <w:spacing w:before="29" w:after="283"/>
        <w:jc w:val="left"/>
        <w:rPr>
          <w:rFonts w:ascii="Tahoma;sans-serif" w:hAnsi="Tahoma;sans-serif"/>
          <w:color w:val="000000"/>
          <w:sz w:val="19"/>
        </w:rPr>
      </w:pPr>
      <w:r>
        <w:rPr>
          <w:rFonts w:ascii="Tahoma;sans-serif" w:hAnsi="Tahoma;sans-serif"/>
          <w:color w:val="000000"/>
          <w:sz w:val="19"/>
        </w:rPr>
        <w:t>6.1. delivered in full, or</w:t>
      </w:r>
    </w:p>
    <w:p>
      <w:pPr>
        <w:pStyle w:val="TextBody"/>
        <w:bidi w:val="0"/>
        <w:jc w:val="both"/>
        <w:rPr>
          <w:rFonts w:ascii="Tahoma;sans-serif" w:hAnsi="Tahoma;sans-serif"/>
          <w:color w:val="000000"/>
          <w:sz w:val="19"/>
        </w:rPr>
      </w:pPr>
      <w:r>
        <w:rPr>
          <w:rFonts w:ascii="Tahoma;sans-serif" w:hAnsi="Tahoma;sans-serif"/>
          <w:color w:val="000000"/>
          <w:sz w:val="19"/>
        </w:rPr>
        <w:t>6.2. delivered as to such lesser extent as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the Participant on an after-tax basis, of the greatest amount of benefits, notwithstanding that all or some portion of such benefits may be taxable under Section 4999. If a reduction in severance and other benefits constituting “parachute payments” is necessary so that benefits are delivered to a lesser extent, reduction will occur in the following order: (a) cancellation of awards granted “contingent on a change in ownership or control” (within the meaning of Code Section 280G); (b) a pro rata reduction of (i) cash payments that are subject to Section 409A as deferred compensation and (ii) cash payments not subject to Section 409A; (c) a pro rata reduction of (i) employee benefits that are subject to Section 409A as deferred compensation and (ii) employee benefits not subject to Section 409A; and (d) a pro rata cancellation of (i) accelerated vesting equity awards that are subject to Section 409A as deferred compensation and (ii) equity awards not subject to Section 409A. In the event that acceleration of vesting of equity awards is to be cancelled, such acceleration of vesting will be cancelled in the reverse order of the date of grant of the Participant’s equity awards. Notwithstanding the foregoing, to the extent the Company submits any payment or benefit payable to the Participant under this Plan or otherwise to the Company’s stockholders for approval in accordance with Treasury Regulation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the Participant and in the order prescribed by this Section 6.</w:t>
      </w:r>
    </w:p>
    <w:p>
      <w:pPr>
        <w:pStyle w:val="TextBody"/>
        <w:bidi w:val="0"/>
        <w:spacing w:before="123" w:after="283"/>
        <w:jc w:val="both"/>
        <w:rPr>
          <w:rFonts w:ascii="Tahoma;sans-serif" w:hAnsi="Tahoma;sans-serif"/>
          <w:color w:val="000000"/>
          <w:sz w:val="19"/>
        </w:rPr>
      </w:pPr>
      <w:r>
        <w:rPr>
          <w:rFonts w:ascii="Tahoma;sans-serif" w:hAnsi="Tahoma;sans-serif"/>
          <w:color w:val="000000"/>
          <w:sz w:val="19"/>
        </w:rPr>
        <w:t>Unless the Participant and the Company otherwise agree in writing, any determination required under this Section 6 will be made in writing by the Company’s independent public accountants immediately prior to the Change of Control or such other person or entity to which the parties mutually agree (the “Firm”), whose determination will be conclusive and binding upon the Participant and the Company. For purposes of making the calculations required by this Section 6 the Firm may make reasonable assumptions and approximations concerning applicable taxes and may rely on reasonable, good faith interpretations concerning the application of Sections 280G and 4999 of the Code. The Participant and the Company will furnish to the Firm such information and documents as the Firm may reasonably request in order to make a determination under this Section 6. The Company will bear all costs the Firm may incur in connection with any calculations contemplated by this Section 6.</w:t>
      </w:r>
    </w:p>
    <w:p>
      <w:pPr>
        <w:pStyle w:val="TextBody"/>
        <w:bidi w:val="0"/>
        <w:spacing w:before="720"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 - 6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12" w:after="283"/>
        <w:jc w:val="left"/>
        <w:rPr>
          <w:rFonts w:ascii="Tahoma" w:hAnsi="Tahoma"/>
          <w:b/>
          <w:color w:val="000000"/>
          <w:sz w:val="19"/>
        </w:rPr>
      </w:pPr>
      <w:r>
        <w:rPr>
          <w:rFonts w:ascii="Tahoma" w:hAnsi="Tahoma"/>
          <w:b/>
          <w:color w:val="000000"/>
          <w:sz w:val="19"/>
        </w:rPr>
        <w:t>7.</w:t>
      </w:r>
    </w:p>
    <w:p>
      <w:pPr>
        <w:pStyle w:val="TextBody"/>
        <w:bidi w:val="0"/>
        <w:spacing w:before="212" w:after="283"/>
        <w:jc w:val="left"/>
        <w:rPr/>
      </w:pPr>
      <w:r>
        <w:rPr>
          <w:rFonts w:ascii="Tahoma;sans-serif" w:hAnsi="Tahoma;sans-serif"/>
          <w:b/>
          <w:color w:val="000000"/>
          <w:sz w:val="19"/>
        </w:rPr>
        <w:t>Conditions to Receipt of Severance</w:t>
      </w:r>
      <w:r>
        <w:rPr>
          <w:rFonts w:ascii="Tahoma;sans-serif" w:hAnsi="Tahoma;sans-serif"/>
          <w:color w:val="000000"/>
          <w:sz w:val="19"/>
        </w:rPr>
        <w:t>.</w:t>
      </w:r>
    </w:p>
    <w:p>
      <w:pPr>
        <w:pStyle w:val="TextBody"/>
        <w:bidi w:val="0"/>
        <w:jc w:val="both"/>
        <w:rPr>
          <w:rFonts w:ascii="Times New Roman" w:hAnsi="Times New Roman"/>
          <w:sz w:val="20"/>
        </w:rPr>
      </w:pPr>
      <w:r>
        <w:rPr>
          <w:rFonts w:ascii="Tahoma;sans-serif" w:hAnsi="Tahoma;sans-serif"/>
          <w:color w:val="000000"/>
          <w:sz w:val="19"/>
        </w:rPr>
        <w:t xml:space="preserve">7.1. </w:t>
      </w:r>
      <w:r>
        <w:rPr>
          <w:rFonts w:ascii="Tahoma;sans-serif" w:hAnsi="Tahoma;sans-serif"/>
          <w:b/>
          <w:color w:val="000000"/>
          <w:sz w:val="19"/>
        </w:rPr>
        <w:t>Release Agreement</w:t>
      </w:r>
      <w:r>
        <w:rPr>
          <w:rFonts w:ascii="Tahoma;sans-serif" w:hAnsi="Tahoma;sans-serif"/>
          <w:color w:val="000000"/>
          <w:sz w:val="19"/>
        </w:rPr>
        <w:t xml:space="preserve">. As a condition to receiving the Severance Benefits </w:t>
        <w:br/>
        <w:t xml:space="preserve">under this Plan, each Participant will be required to sign and not revoke a separation and release of claims agreement in substantially the form attached this Plan as </w:t>
      </w:r>
      <w:r>
        <w:rPr>
          <w:rFonts w:ascii="Tahoma;sans-serif" w:hAnsi="Tahoma;sans-serif"/>
          <w:color w:val="000000"/>
          <w:sz w:val="19"/>
          <w:u w:val="single"/>
        </w:rPr>
        <w:t>Appendix B</w:t>
      </w:r>
      <w:r>
        <w:rPr>
          <w:rFonts w:ascii="Times New Roman" w:hAnsi="Times New Roman"/>
          <w:color w:val="000000"/>
          <w:sz w:val="20"/>
        </w:rPr>
        <w:t xml:space="preserve"> </w:t>
      </w:r>
      <w:r>
        <w:rPr>
          <w:rFonts w:ascii="Tahoma;sans-serif" w:hAnsi="Tahoma;sans-serif"/>
          <w:color w:val="000000"/>
          <w:sz w:val="19"/>
        </w:rPr>
        <w:t>(the “</w:t>
      </w:r>
      <w:r>
        <w:rPr>
          <w:rFonts w:ascii="Arial" w:hAnsi="Arial"/>
          <w:b/>
          <w:i/>
          <w:color w:val="000000"/>
          <w:sz w:val="20"/>
        </w:rPr>
        <w:t>Release</w:t>
      </w:r>
      <w:r>
        <w:rPr>
          <w:rFonts w:ascii="Times New Roman" w:hAnsi="Times New Roman"/>
          <w:color w:val="000000"/>
          <w:sz w:val="20"/>
        </w:rPr>
        <w:t>”</w:t>
      </w:r>
      <w:r>
        <w:rPr>
          <w:rFonts w:ascii="Tahoma;sans-serif" w:hAnsi="Tahoma;sans-serif"/>
          <w:color w:val="000000"/>
          <w:sz w:val="19"/>
        </w:rPr>
        <w:t>). In all cases, the Release must become effective and irrevocable no later than the 60th day following the Participant’s Involuntary Termination (the “</w:t>
      </w:r>
      <w:r>
        <w:rPr>
          <w:rFonts w:ascii="Arial" w:hAnsi="Arial"/>
          <w:b/>
          <w:i/>
          <w:color w:val="000000"/>
          <w:sz w:val="20"/>
        </w:rPr>
        <w:t>Release Deadline Date</w:t>
      </w:r>
      <w:r>
        <w:rPr>
          <w:rFonts w:ascii="Times New Roman" w:hAnsi="Times New Roman"/>
          <w:color w:val="000000"/>
          <w:sz w:val="20"/>
        </w:rPr>
        <w:t>”</w:t>
      </w:r>
      <w:r>
        <w:rPr>
          <w:rFonts w:ascii="Tahoma;sans-serif" w:hAnsi="Tahoma;sans-serif"/>
          <w:color w:val="000000"/>
          <w:sz w:val="19"/>
        </w:rPr>
        <w:t>). If the Release does not become effective and irrevocable by the Release Deadline Date, the Participant will forfeit any right to the Severance Benefits. In no event will the Severance Benefits be paid or provided until the Release becomes effective and irrevocable.</w:t>
      </w:r>
    </w:p>
    <w:p>
      <w:pPr>
        <w:pStyle w:val="TextBody"/>
        <w:bidi w:val="0"/>
        <w:spacing w:before="114" w:after="283"/>
        <w:jc w:val="both"/>
        <w:rPr>
          <w:rFonts w:ascii="Times New Roman" w:hAnsi="Times New Roman"/>
          <w:sz w:val="20"/>
        </w:rPr>
      </w:pPr>
      <w:r>
        <w:rPr>
          <w:rFonts w:ascii="Tahoma;sans-serif" w:hAnsi="Tahoma;sans-serif"/>
          <w:color w:val="000000"/>
          <w:sz w:val="19"/>
        </w:rPr>
        <w:t xml:space="preserve">7.2. </w:t>
      </w:r>
      <w:r>
        <w:rPr>
          <w:rFonts w:ascii="Tahoma;sans-serif" w:hAnsi="Tahoma;sans-serif"/>
          <w:b/>
          <w:color w:val="000000"/>
          <w:sz w:val="19"/>
        </w:rPr>
        <w:t>Other Requirements</w:t>
      </w:r>
      <w:r>
        <w:rPr>
          <w:rFonts w:ascii="Tahoma;sans-serif" w:hAnsi="Tahoma;sans-serif"/>
          <w:color w:val="000000"/>
          <w:sz w:val="19"/>
        </w:rPr>
        <w:t xml:space="preserve">. A Participant’s receipt of Severance Benefits will be </w:t>
        <w:br/>
        <w:t>subject to the Participant continuing to comply with the provisions of this Section 7 and the terms of any confidentiality, proprietary information and inventions agreement and such other appropriate agreement between the Participant and the Company. Severance Benefits under this Plan will terminate immediately for a Participant if the Participant, at any time, violates any such agreement and/or the provisions of this Section 7.</w:t>
      </w:r>
    </w:p>
    <w:p>
      <w:pPr>
        <w:pStyle w:val="TextBody"/>
        <w:bidi w:val="0"/>
        <w:spacing w:before="107" w:after="283"/>
        <w:jc w:val="both"/>
        <w:rPr>
          <w:rFonts w:ascii="Tahoma" w:hAnsi="Tahoma"/>
          <w:b/>
          <w:color w:val="000000"/>
          <w:sz w:val="19"/>
        </w:rPr>
      </w:pPr>
      <w:r>
        <w:rPr>
          <w:rFonts w:ascii="Tahoma" w:hAnsi="Tahoma"/>
          <w:b/>
          <w:color w:val="000000"/>
          <w:sz w:val="19"/>
        </w:rPr>
        <w:t>8.</w:t>
      </w:r>
    </w:p>
    <w:p>
      <w:pPr>
        <w:pStyle w:val="TextBody"/>
        <w:bidi w:val="0"/>
        <w:spacing w:before="107" w:after="283"/>
        <w:jc w:val="both"/>
        <w:rPr/>
      </w:pPr>
      <w:r>
        <w:rPr>
          <w:rFonts w:ascii="Tahoma;sans-serif" w:hAnsi="Tahoma;sans-serif"/>
          <w:b/>
          <w:color w:val="000000"/>
          <w:sz w:val="19"/>
        </w:rPr>
        <w:t>Timing of Severance Benefits</w:t>
      </w:r>
      <w:r>
        <w:rPr>
          <w:rFonts w:ascii="Tahoma;sans-serif" w:hAnsi="Tahoma;sans-serif"/>
          <w:color w:val="000000"/>
          <w:sz w:val="19"/>
        </w:rPr>
        <w:t>. Provided that the Release becomes effective and irrevocable by the Release Deadline Date and subject to Section 10, the Severance Benefits will be paid (or in the case of Severance Benefits scheduled to be paid installments, will commence) on the first Company payroll date following the Release Deadline Date (such payment date, the “</w:t>
      </w:r>
      <w:r>
        <w:rPr>
          <w:rFonts w:ascii="Arial" w:hAnsi="Arial"/>
          <w:b/>
          <w:i/>
          <w:color w:val="000000"/>
          <w:sz w:val="20"/>
        </w:rPr>
        <w:t>Severance Start Date</w:t>
      </w:r>
      <w:r>
        <w:rPr>
          <w:color w:val="000000"/>
        </w:rPr>
        <w:t>”</w:t>
      </w:r>
      <w:r>
        <w:rPr>
          <w:rFonts w:ascii="Tahoma;sans-serif" w:hAnsi="Tahoma;sans-serif"/>
          <w:color w:val="000000"/>
          <w:sz w:val="19"/>
        </w:rPr>
        <w:t>), and any severance payments or benefits otherwise payable to the Participant during the period immediately following the Participant’s termination of employment with the Company through the Severance Start Date will be paid in a lump sum to the Participant on the Severance Start Date, with any remaining payments to be made as provided in this Plan.</w:t>
      </w:r>
    </w:p>
    <w:p>
      <w:pPr>
        <w:pStyle w:val="TextBody"/>
        <w:bidi w:val="0"/>
        <w:spacing w:before="115" w:after="283"/>
        <w:jc w:val="both"/>
        <w:rPr>
          <w:rFonts w:ascii="Tahoma" w:hAnsi="Tahoma"/>
          <w:b/>
          <w:color w:val="000000"/>
          <w:sz w:val="19"/>
        </w:rPr>
      </w:pPr>
      <w:r>
        <w:rPr>
          <w:rFonts w:ascii="Tahoma" w:hAnsi="Tahoma"/>
          <w:b/>
          <w:color w:val="000000"/>
          <w:sz w:val="19"/>
        </w:rPr>
        <w:t>9.</w:t>
      </w:r>
    </w:p>
    <w:p>
      <w:pPr>
        <w:pStyle w:val="TextBody"/>
        <w:bidi w:val="0"/>
        <w:spacing w:before="115" w:after="283"/>
        <w:jc w:val="both"/>
        <w:rPr/>
      </w:pPr>
      <w:r>
        <w:rPr>
          <w:rFonts w:ascii="Tahoma;sans-serif" w:hAnsi="Tahoma;sans-serif"/>
          <w:b/>
          <w:color w:val="000000"/>
          <w:sz w:val="19"/>
        </w:rPr>
        <w:t>Exclusive Benefit</w:t>
      </w:r>
      <w:r>
        <w:rPr>
          <w:rFonts w:ascii="Tahoma;sans-serif" w:hAnsi="Tahoma;sans-serif"/>
          <w:color w:val="000000"/>
          <w:sz w:val="19"/>
        </w:rPr>
        <w:t>. The benefits provided under this Plan shall be the exclusive benefit for a Participant related to termination of employment and/or change in control and shall supersede and replace any severance and/or change in control benefits set forth in any offer letter, employment agreement and/or severance agreement, including without limitation the Prior Plan and the Plan as originally adopted. For the avoidance of doubt, if a Participant was otherwise eligible to participate in any other Company severance plan (whether or not subject to ERISA), then participation in this Plan will supersede and replace eligibility in such other plan.</w:t>
      </w:r>
    </w:p>
    <w:p>
      <w:pPr>
        <w:pStyle w:val="TextBody"/>
        <w:bidi w:val="0"/>
        <w:spacing w:before="24" w:after="283"/>
        <w:jc w:val="both"/>
        <w:rPr>
          <w:rFonts w:ascii="Tahoma" w:hAnsi="Tahoma"/>
          <w:b/>
          <w:color w:val="000000"/>
          <w:sz w:val="19"/>
        </w:rPr>
      </w:pPr>
      <w:r>
        <w:rPr>
          <w:rFonts w:ascii="Tahoma" w:hAnsi="Tahoma"/>
          <w:b/>
          <w:color w:val="000000"/>
          <w:sz w:val="19"/>
        </w:rPr>
        <w:t>10.</w:t>
      </w:r>
    </w:p>
    <w:p>
      <w:pPr>
        <w:pStyle w:val="TextBody"/>
        <w:bidi w:val="0"/>
        <w:spacing w:before="24" w:after="283"/>
        <w:jc w:val="both"/>
        <w:rPr/>
      </w:pPr>
      <w:r>
        <w:rPr>
          <w:rFonts w:ascii="Tahoma;sans-serif" w:hAnsi="Tahoma;sans-serif"/>
          <w:b/>
          <w:color w:val="000000"/>
          <w:sz w:val="19"/>
        </w:rPr>
        <w:t>Section 409A</w:t>
      </w:r>
      <w:r>
        <w:rPr>
          <w:rFonts w:ascii="Tahoma;sans-serif" w:hAnsi="Tahoma;sans-serif"/>
          <w:color w:val="000000"/>
          <w:sz w:val="19"/>
        </w:rPr>
        <w:t>.</w:t>
      </w:r>
    </w:p>
    <w:p>
      <w:pPr>
        <w:pStyle w:val="TextBody"/>
        <w:bidi w:val="0"/>
        <w:jc w:val="both"/>
        <w:rPr>
          <w:rFonts w:ascii="Times New Roman" w:hAnsi="Times New Roman"/>
          <w:sz w:val="20"/>
        </w:rPr>
      </w:pPr>
      <w:r>
        <w:rPr>
          <w:rFonts w:ascii="Tahoma;sans-serif" w:hAnsi="Tahoma;sans-serif"/>
          <w:color w:val="000000"/>
          <w:sz w:val="19"/>
        </w:rPr>
        <w:t xml:space="preserve">10.1. Notwithstanding anything to the contrary in this Plan, no severance </w:t>
        <w:br/>
        <w:t>payments or benefits to be paid or provided to a Participant, if any, under this Plan that, when considered together with any other severance payments or separation benefits, are considered deferred compensation under Section 409A (together, the “</w:t>
      </w:r>
      <w:r>
        <w:rPr>
          <w:rFonts w:ascii="Arial" w:hAnsi="Arial"/>
          <w:b/>
          <w:i/>
          <w:color w:val="000000"/>
          <w:sz w:val="20"/>
        </w:rPr>
        <w:t>Deferred Payments</w:t>
      </w:r>
      <w:r>
        <w:rPr>
          <w:rFonts w:ascii="Times New Roman" w:hAnsi="Times New Roman"/>
          <w:color w:val="000000"/>
          <w:sz w:val="20"/>
        </w:rPr>
        <w:t>”</w:t>
      </w:r>
      <w:r>
        <w:rPr>
          <w:rFonts w:ascii="Tahoma;sans-serif" w:hAnsi="Tahoma;sans-serif"/>
          <w:color w:val="000000"/>
          <w:sz w:val="19"/>
        </w:rPr>
        <w:t>) will be paid or provided until the Participant has a “separation from service” within the meaning of Section 409A. Similarly, no severance payable to a Participant, if any, under this Plan that otherwise would be exempt from Section 409A pursuant to Treasury Regulation Section 1.409A 1(b)(9) will be payable until the Participant has a “separation from service” within the meaning of Section 409A.</w:t>
      </w:r>
    </w:p>
    <w:p>
      <w:pPr>
        <w:pStyle w:val="TextBody"/>
        <w:bidi w:val="0"/>
        <w:spacing w:before="720"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 - 7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98" w:after="283"/>
        <w:jc w:val="both"/>
        <w:rPr>
          <w:rFonts w:ascii="Tahoma;sans-serif" w:hAnsi="Tahoma;sans-serif"/>
          <w:color w:val="000000"/>
          <w:sz w:val="19"/>
        </w:rPr>
      </w:pPr>
      <w:r>
        <w:rPr>
          <w:rFonts w:ascii="Tahoma;sans-serif" w:hAnsi="Tahoma;sans-serif"/>
          <w:color w:val="000000"/>
          <w:sz w:val="19"/>
        </w:rPr>
        <w:t xml:space="preserve">10.2. It is intended that none of the severance payments or benefits under this </w:t>
        <w:br/>
        <w:t>Plan will constitute Deferred Payments but rather will be exempt from Section 409A as a payment that would fall within the “short-term deferral period” as described in Section 10.3 below or resulting from an involuntary separation from service as described in Section 10.4 below. In no event will a Participant have discretion to determine the taxable year of payment of any Deferred Payment.</w:t>
      </w:r>
    </w:p>
    <w:p>
      <w:pPr>
        <w:pStyle w:val="TextBody"/>
        <w:bidi w:val="0"/>
        <w:spacing w:before="112" w:after="283"/>
        <w:jc w:val="both"/>
        <w:rPr>
          <w:rFonts w:ascii="Tahoma;sans-serif" w:hAnsi="Tahoma;sans-serif"/>
          <w:color w:val="000000"/>
          <w:sz w:val="19"/>
        </w:rPr>
      </w:pPr>
      <w:r>
        <w:rPr>
          <w:rFonts w:ascii="Tahoma;sans-serif" w:hAnsi="Tahoma;sans-serif"/>
          <w:color w:val="000000"/>
          <w:sz w:val="19"/>
        </w:rPr>
        <w:t>10.3. Notwithstanding anything to the contrary in this Plan or in any Participation Agreement, if a Participant is a “specified employee” within the meaning of Section 409A at the time of the Participant’s separation from service (other than due to death), then the Deferred Payments, if any, that are payable within the first six (6) months following the Participant’s separation from service, will become payable on the date six (6) months and one (1) day following the date of the Participant’s separation from service. All subsequent Deferred Payments, if any, will be payable in accordance with the payment schedule applicable to each payment or benefit. Notwithstanding anything herein to the contrary, in the event of the Participant’s death following the Participant’s separation from service, but before the six-month anniversary of the separation from service, then any payments delayed in accordance with this paragraph will be payable in a lump sum as soon as administratively practicable after the date of the Participant’s death and all other Deferred Payments will be payable in accordance with the payment schedule applicable to each payment or benefit. Each payment and benefit payable under this Plan is intended to constitute a separate payment under Section 1.409A-2(b)(2) of the Treasury Regulations.</w:t>
      </w:r>
    </w:p>
    <w:p>
      <w:pPr>
        <w:pStyle w:val="TextBody"/>
        <w:bidi w:val="0"/>
        <w:spacing w:before="105" w:after="283"/>
        <w:jc w:val="both"/>
        <w:rPr>
          <w:rFonts w:ascii="Tahoma;sans-serif" w:hAnsi="Tahoma;sans-serif"/>
          <w:color w:val="000000"/>
          <w:sz w:val="19"/>
        </w:rPr>
      </w:pPr>
      <w:r>
        <w:rPr>
          <w:rFonts w:ascii="Tahoma;sans-serif" w:hAnsi="Tahoma;sans-serif"/>
          <w:color w:val="000000"/>
          <w:sz w:val="19"/>
        </w:rPr>
        <w:t xml:space="preserve">10.4. Any amount paid under this Plan that satisfies the requirements of the </w:t>
        <w:br/>
        <w:t>“short-term deferral” rule set forth in Section 1.409A-1(b)(4) of the Treasury Regulations will not constitute Deferred Payments for purposes of Section 10 above.</w:t>
      </w:r>
    </w:p>
    <w:p>
      <w:pPr>
        <w:pStyle w:val="TextBody"/>
        <w:bidi w:val="0"/>
        <w:spacing w:before="116" w:after="283"/>
        <w:jc w:val="both"/>
        <w:rPr>
          <w:rFonts w:ascii="Tahoma;sans-serif" w:hAnsi="Tahoma;sans-serif"/>
          <w:color w:val="000000"/>
          <w:sz w:val="19"/>
        </w:rPr>
      </w:pPr>
      <w:r>
        <w:rPr>
          <w:rFonts w:ascii="Tahoma;sans-serif" w:hAnsi="Tahoma;sans-serif"/>
          <w:color w:val="000000"/>
          <w:sz w:val="19"/>
        </w:rPr>
        <w:t xml:space="preserve">10.5. Any amount paid under this Plan that qualifies as a payment made as a </w:t>
        <w:br/>
        <w:t>result of an involuntary separation from service pursuant to Section 1.409A-1(b)(9)(iii) of the Treasury Regulations that does not exceed the Section 409A Limit will not constitute Deferred Payments for purposes of Section 10 above.</w:t>
      </w:r>
    </w:p>
    <w:p>
      <w:pPr>
        <w:pStyle w:val="TextBody"/>
        <w:bidi w:val="0"/>
        <w:spacing w:before="110" w:after="283"/>
        <w:jc w:val="both"/>
        <w:rPr>
          <w:rFonts w:ascii="Tahoma;sans-serif" w:hAnsi="Tahoma;sans-serif"/>
          <w:color w:val="000000"/>
          <w:sz w:val="19"/>
        </w:rPr>
      </w:pPr>
      <w:r>
        <w:rPr>
          <w:rFonts w:ascii="Tahoma;sans-serif" w:hAnsi="Tahoma;sans-serif"/>
          <w:color w:val="000000"/>
          <w:sz w:val="19"/>
        </w:rPr>
        <w:t>10.6. The foregoing provisions are intended to comply with or be exempt from the requirements of Section 409A so that none of the payments and benefits to be provided under the Plan will be subject to the additional tax imposed under Section 409A, and any ambiguities herein will be interpreted to so comply or be exempt. Notwithstanding anything to the contrary in the Plan, including but not limited to Sections 12 and 15, the Company reserves the right to amend the Plan as it deems necessary or advisable, in its sole discretion and without the consent of the Participants, to comply with Section 409A or to avoid income recognition under Section 409A prior to the actual payment of benefits under the Plan or imposition of any additional tax. In no event will the Company reimburse a Participant for any taxes that may be imposed on the Participant as result of Section 409A.</w:t>
      </w:r>
    </w:p>
    <w:p>
      <w:pPr>
        <w:pStyle w:val="TextBody"/>
        <w:bidi w:val="0"/>
        <w:spacing w:before="115" w:after="283"/>
        <w:jc w:val="both"/>
        <w:rPr>
          <w:rFonts w:ascii="Times New Roman" w:hAnsi="Times New Roman"/>
          <w:sz w:val="20"/>
        </w:rPr>
      </w:pPr>
      <w:r>
        <w:rPr>
          <w:rFonts w:ascii="Tahoma;sans-serif" w:hAnsi="Tahoma;sans-serif"/>
          <w:color w:val="000000"/>
          <w:sz w:val="19"/>
        </w:rPr>
        <w:t xml:space="preserve">11. </w:t>
      </w:r>
      <w:r>
        <w:rPr>
          <w:rFonts w:ascii="Tahoma;sans-serif" w:hAnsi="Tahoma;sans-serif"/>
          <w:b/>
          <w:color w:val="000000"/>
          <w:sz w:val="19"/>
        </w:rPr>
        <w:t>Withholdings</w:t>
      </w:r>
      <w:r>
        <w:rPr>
          <w:rFonts w:ascii="Tahoma;sans-serif" w:hAnsi="Tahoma;sans-serif"/>
          <w:color w:val="000000"/>
          <w:sz w:val="19"/>
        </w:rPr>
        <w:t xml:space="preserve">. The Company will withhold from any payments or benefits under </w:t>
        <w:br/>
        <w:t>the Plan all applicable U.S. federal, state, local and non-U.S. taxes required to be withheld and any other required payroll deductions.</w:t>
      </w:r>
    </w:p>
    <w:p>
      <w:pPr>
        <w:pStyle w:val="TextBody"/>
        <w:bidi w:val="0"/>
        <w:spacing w:before="720"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 - 8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06" w:after="283"/>
        <w:jc w:val="both"/>
        <w:rPr>
          <w:rFonts w:ascii="Tahoma" w:hAnsi="Tahoma"/>
          <w:b/>
          <w:color w:val="000000"/>
          <w:sz w:val="19"/>
        </w:rPr>
      </w:pPr>
      <w:r>
        <w:rPr>
          <w:rFonts w:ascii="Tahoma" w:hAnsi="Tahoma"/>
          <w:b/>
          <w:color w:val="000000"/>
          <w:sz w:val="19"/>
        </w:rPr>
        <w:t>12.</w:t>
      </w:r>
    </w:p>
    <w:p>
      <w:pPr>
        <w:pStyle w:val="TextBody"/>
        <w:bidi w:val="0"/>
        <w:spacing w:before="306" w:after="283"/>
        <w:jc w:val="both"/>
        <w:rPr/>
      </w:pPr>
      <w:r>
        <w:rPr>
          <w:rFonts w:ascii="Tahoma;sans-serif" w:hAnsi="Tahoma;sans-serif"/>
          <w:b/>
          <w:color w:val="000000"/>
          <w:sz w:val="19"/>
        </w:rPr>
        <w:t>Administration</w:t>
      </w:r>
      <w:r>
        <w:rPr>
          <w:rFonts w:ascii="Tahoma;sans-serif" w:hAnsi="Tahoma;sans-serif"/>
          <w:color w:val="000000"/>
          <w:sz w:val="19"/>
        </w:rPr>
        <w:t xml:space="preserve">. The Plan will be administered and interpreted by the Administrator (in its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In accordance with Section 2.1, the Administrator (a) may, in its sole discretion and on such terms and conditions as it may provide, further delegate in writing to one or more officers of the Company all or any portion of its authority or responsibility with respect to the Plan, and (b) has the authority to act for the Company (in a non-fiduciary capacity) as to any matter pertaining to the Plan; </w:t>
      </w:r>
      <w:r>
        <w:rPr>
          <w:rFonts w:ascii="Arial" w:hAnsi="Arial"/>
          <w:i/>
          <w:color w:val="000000"/>
          <w:sz w:val="20"/>
        </w:rPr>
        <w:t>provided, however</w:t>
      </w:r>
      <w:r>
        <w:rPr>
          <w:rFonts w:ascii="Tahoma;sans-serif" w:hAnsi="Tahoma;sans-serif"/>
          <w:color w:val="000000"/>
          <w:sz w:val="19"/>
        </w:rPr>
        <w:t>, that any Plan amendment or termination or any other action that reasonably could be expected to increase materially the cost of the Plan must be approved by the Board.</w:t>
      </w:r>
    </w:p>
    <w:p>
      <w:pPr>
        <w:pStyle w:val="TextBody"/>
        <w:bidi w:val="0"/>
        <w:spacing w:before="118" w:after="283"/>
        <w:jc w:val="both"/>
        <w:rPr>
          <w:rFonts w:ascii="Tahoma" w:hAnsi="Tahoma"/>
          <w:b/>
          <w:color w:val="000000"/>
          <w:sz w:val="19"/>
        </w:rPr>
      </w:pPr>
      <w:r>
        <w:rPr>
          <w:rFonts w:ascii="Tahoma" w:hAnsi="Tahoma"/>
          <w:b/>
          <w:color w:val="000000"/>
          <w:sz w:val="19"/>
        </w:rPr>
        <w:t>13.</w:t>
      </w:r>
    </w:p>
    <w:p>
      <w:pPr>
        <w:pStyle w:val="TextBody"/>
        <w:bidi w:val="0"/>
        <w:spacing w:before="118" w:after="283"/>
        <w:jc w:val="both"/>
        <w:rPr/>
      </w:pPr>
      <w:r>
        <w:rPr>
          <w:rFonts w:ascii="Tahoma;sans-serif" w:hAnsi="Tahoma;sans-serif"/>
          <w:b/>
          <w:color w:val="000000"/>
          <w:sz w:val="19"/>
        </w:rPr>
        <w:t>Eligibility to Participate</w:t>
      </w:r>
      <w:r>
        <w:rPr>
          <w:rFonts w:ascii="Tahoma;sans-serif" w:hAnsi="Tahoma;sans-serif"/>
          <w:color w:val="000000"/>
          <w:sz w:val="19"/>
        </w:rPr>
        <w:t>. To the extent that the Administrator has delegated administrative authority or responsibility to one or more officers of the Company in accordance with Sections 2.1 and 12, each such officer will not be excluded from participating in the Plan if otherwise eligible, but he or she is not entitled to act upon or make determinations regarding any matters pertaining specifically to his or her own benefit or eligibility under the Plan. The Administrator will act upon and make determinations regarding any matters pertaining specifically to the benefit or eligibility of each such officer under the Plan.</w:t>
      </w:r>
    </w:p>
    <w:p>
      <w:pPr>
        <w:pStyle w:val="TextBody"/>
        <w:bidi w:val="0"/>
        <w:spacing w:before="123" w:after="283"/>
        <w:jc w:val="both"/>
        <w:rPr>
          <w:rFonts w:ascii="Tahoma" w:hAnsi="Tahoma"/>
          <w:b/>
          <w:color w:val="000000"/>
          <w:sz w:val="19"/>
        </w:rPr>
      </w:pPr>
      <w:r>
        <w:rPr>
          <w:rFonts w:ascii="Tahoma" w:hAnsi="Tahoma"/>
          <w:b/>
          <w:color w:val="000000"/>
          <w:sz w:val="19"/>
        </w:rPr>
        <w:t>14.</w:t>
      </w:r>
    </w:p>
    <w:p>
      <w:pPr>
        <w:pStyle w:val="TextBody"/>
        <w:bidi w:val="0"/>
        <w:spacing w:before="123" w:after="283"/>
        <w:jc w:val="both"/>
        <w:rPr/>
      </w:pPr>
      <w:r>
        <w:rPr>
          <w:rFonts w:ascii="Tahoma;sans-serif" w:hAnsi="Tahoma;sans-serif"/>
          <w:b/>
          <w:color w:val="000000"/>
          <w:sz w:val="19"/>
        </w:rPr>
        <w:t>Term</w:t>
      </w:r>
      <w:r>
        <w:rPr>
          <w:rFonts w:ascii="Tahoma;sans-serif" w:hAnsi="Tahoma;sans-serif"/>
          <w:color w:val="000000"/>
          <w:sz w:val="19"/>
        </w:rPr>
        <w:t>. This Plan will have a term commencing on the Effective Date and expiring on August 4, 2028 (the “</w:t>
      </w:r>
      <w:r>
        <w:rPr>
          <w:rFonts w:ascii="Arial" w:hAnsi="Arial"/>
          <w:b/>
          <w:i/>
          <w:color w:val="000000"/>
          <w:sz w:val="20"/>
        </w:rPr>
        <w:t>Initial Term</w:t>
      </w:r>
      <w:r>
        <w:rPr>
          <w:color w:val="000000"/>
        </w:rPr>
        <w:t>”</w:t>
      </w:r>
      <w:r>
        <w:rPr>
          <w:rFonts w:ascii="Tahoma;sans-serif" w:hAnsi="Tahoma;sans-serif"/>
          <w:color w:val="000000"/>
          <w:sz w:val="19"/>
        </w:rPr>
        <w:t>) and shall, thereafter, automatically renew for successive one-year periods (each a “</w:t>
      </w:r>
      <w:r>
        <w:rPr>
          <w:rFonts w:ascii="Arial" w:hAnsi="Arial"/>
          <w:b/>
          <w:i/>
          <w:color w:val="000000"/>
          <w:sz w:val="20"/>
        </w:rPr>
        <w:t>Renewal Term</w:t>
      </w:r>
      <w:r>
        <w:rPr>
          <w:color w:val="000000"/>
        </w:rPr>
        <w:t xml:space="preserve">” </w:t>
      </w:r>
      <w:r>
        <w:rPr>
          <w:rFonts w:ascii="Tahoma;sans-serif" w:hAnsi="Tahoma;sans-serif"/>
          <w:color w:val="000000"/>
          <w:sz w:val="19"/>
        </w:rPr>
        <w:t>and, collectively with the Initial Term, the “</w:t>
      </w:r>
      <w:r>
        <w:rPr>
          <w:rFonts w:ascii="Arial" w:hAnsi="Arial"/>
          <w:b/>
          <w:i/>
          <w:color w:val="000000"/>
          <w:sz w:val="20"/>
        </w:rPr>
        <w:t>Term</w:t>
      </w:r>
      <w:r>
        <w:rPr>
          <w:color w:val="000000"/>
        </w:rPr>
        <w:t>”</w:t>
      </w:r>
      <w:r>
        <w:rPr>
          <w:rFonts w:ascii="Tahoma;sans-serif" w:hAnsi="Tahoma;sans-serif"/>
          <w:color w:val="000000"/>
          <w:sz w:val="19"/>
        </w:rPr>
        <w:t>) unless, upon the decision of the Administrator, the Company notifies the Participants who remain eligible for benefits under this Plan of the Plan’s nonrenewal at least twelve (12) months prior to the commencement of such Renewal Term, in which case such Renewal Term will be canceled and the Plan will expire on the anniversary of Initial Term or the relevant Renewal Term, as applicable. If a Change of Control occurs, the Term will extend automatically through the date that is twelve (12) months following the effective date of the Change of Control. If a Participant becomes entitled to benefits during the Term, the Plan will not terminate with respect to such Participant until all of the obligations of the Company and such Participant with respect to this Plan have been satisfied.</w:t>
      </w:r>
    </w:p>
    <w:p>
      <w:pPr>
        <w:pStyle w:val="TextBody"/>
        <w:bidi w:val="0"/>
        <w:spacing w:before="122" w:after="283"/>
        <w:jc w:val="both"/>
        <w:rPr>
          <w:rFonts w:ascii="Tahoma" w:hAnsi="Tahoma"/>
          <w:b/>
          <w:color w:val="000000"/>
          <w:sz w:val="19"/>
        </w:rPr>
      </w:pPr>
      <w:r>
        <w:rPr>
          <w:rFonts w:ascii="Tahoma" w:hAnsi="Tahoma"/>
          <w:b/>
          <w:color w:val="000000"/>
          <w:sz w:val="19"/>
        </w:rPr>
        <w:t>15.</w:t>
      </w:r>
    </w:p>
    <w:p>
      <w:pPr>
        <w:pStyle w:val="TextBody"/>
        <w:bidi w:val="0"/>
        <w:spacing w:before="122" w:after="283"/>
        <w:jc w:val="both"/>
        <w:rPr/>
      </w:pPr>
      <w:r>
        <w:rPr>
          <w:rFonts w:ascii="Tahoma;sans-serif" w:hAnsi="Tahoma;sans-serif"/>
          <w:b/>
          <w:color w:val="000000"/>
          <w:sz w:val="19"/>
        </w:rPr>
        <w:t>Amendment or Termination</w:t>
      </w:r>
      <w:r>
        <w:rPr>
          <w:rFonts w:ascii="Tahoma;sans-serif" w:hAnsi="Tahoma;sans-serif"/>
          <w:color w:val="000000"/>
          <w:sz w:val="19"/>
        </w:rPr>
        <w:t>. The Company, by action of the Administrator, reserves the right to amend or terminate the Plan at any time, without advance notice to any Participant and without regard to the effect of the amendment or termination on any individual; provided, however, that during the Term, the Company may not, without a Participant’s written consent, amend or terminate the Plan in any way, nor take any other action, that (i) prevents that Participant from becoming eligible for the Severance Benefits under the Plan, or (ii) reduces or alters to the detriment of the Participant the Severance Benefits payable, or potentially payable, to a Participant under the Plan (including, without limitation, imposing additional conditions). Any amendment or termination of the Plan will be in writing. Any action of the Company in amending or terminating the Plan will be taken in a non-fiduciary capacity.</w:t>
      </w:r>
    </w:p>
    <w:p>
      <w:pPr>
        <w:pStyle w:val="TextBody"/>
        <w:bidi w:val="0"/>
        <w:spacing w:before="720"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 - 9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12" w:after="283"/>
        <w:jc w:val="left"/>
        <w:rPr>
          <w:rFonts w:ascii="Tahoma" w:hAnsi="Tahoma"/>
          <w:b/>
          <w:color w:val="000000"/>
          <w:sz w:val="19"/>
        </w:rPr>
      </w:pPr>
      <w:r>
        <w:rPr>
          <w:rFonts w:ascii="Tahoma" w:hAnsi="Tahoma"/>
          <w:b/>
          <w:color w:val="000000"/>
          <w:sz w:val="19"/>
        </w:rPr>
        <w:t>16.</w:t>
      </w:r>
    </w:p>
    <w:p>
      <w:pPr>
        <w:pStyle w:val="TextBody"/>
        <w:bidi w:val="0"/>
        <w:spacing w:before="212" w:after="283"/>
        <w:jc w:val="left"/>
        <w:rPr/>
      </w:pPr>
      <w:r>
        <w:rPr>
          <w:rFonts w:ascii="Tahoma;sans-serif" w:hAnsi="Tahoma;sans-serif"/>
          <w:b/>
          <w:color w:val="000000"/>
          <w:sz w:val="19"/>
        </w:rPr>
        <w:t>Claims and Appeals</w:t>
      </w:r>
      <w:r>
        <w:rPr>
          <w:rFonts w:ascii="Tahoma;sans-serif" w:hAnsi="Tahoma;sans-serif"/>
          <w:color w:val="000000"/>
          <w:sz w:val="19"/>
        </w:rPr>
        <w:t>.</w:t>
      </w:r>
    </w:p>
    <w:p>
      <w:pPr>
        <w:pStyle w:val="TextBody"/>
        <w:bidi w:val="0"/>
        <w:jc w:val="both"/>
        <w:rPr>
          <w:rFonts w:ascii="Times New Roman" w:hAnsi="Times New Roman"/>
          <w:sz w:val="20"/>
        </w:rPr>
      </w:pPr>
      <w:r>
        <w:rPr>
          <w:rFonts w:ascii="Tahoma;sans-serif" w:hAnsi="Tahoma;sans-serif"/>
          <w:color w:val="000000"/>
          <w:sz w:val="19"/>
        </w:rPr>
        <w:t xml:space="preserve">16.1. </w:t>
      </w:r>
      <w:r>
        <w:rPr>
          <w:rFonts w:ascii="Tahoma;sans-serif" w:hAnsi="Tahoma;sans-serif"/>
          <w:b/>
          <w:color w:val="000000"/>
          <w:sz w:val="19"/>
        </w:rPr>
        <w:t>Claims Procedure</w:t>
      </w:r>
      <w:r>
        <w:rPr>
          <w:rFonts w:ascii="Tahoma;sans-serif" w:hAnsi="Tahoma;sans-serif"/>
          <w:color w:val="000000"/>
          <w:sz w:val="19"/>
        </w:rPr>
        <w:t>. Any employee or other person who believes he or she is entitled to any payment under the Plan may submit a claim in writing to the Administrator within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an explanation of why such material or information is necessary, and the Plan’s procedures for appealing the denial, including a statement of the claimant’s right to bring a civil action under Section 502(a) of ERISA following an adverse benefit determination on review. The denial notice will be provided within 90 days after the claim is received. If special circumstances require an extension of time for processing the claim (up to 90 days from the end of the initial 90-day period), written notice of the extension will be given prior to the end of the initial 90-day period. This notice of extension will indicate the special circumstances requiring the extension of time and the date by which the Administrator expects to render its decision on the claim.</w:t>
      </w:r>
    </w:p>
    <w:p>
      <w:pPr>
        <w:pStyle w:val="TextBody"/>
        <w:bidi w:val="0"/>
        <w:spacing w:before="107" w:after="283"/>
        <w:jc w:val="both"/>
        <w:rPr>
          <w:rFonts w:ascii="Times New Roman" w:hAnsi="Times New Roman"/>
          <w:sz w:val="20"/>
        </w:rPr>
      </w:pPr>
      <w:r>
        <w:rPr>
          <w:rFonts w:ascii="Tahoma;sans-serif" w:hAnsi="Tahoma;sans-serif"/>
          <w:color w:val="000000"/>
          <w:sz w:val="19"/>
        </w:rPr>
        <w:t xml:space="preserve">16.2. </w:t>
      </w:r>
      <w:r>
        <w:rPr>
          <w:rFonts w:ascii="Tahoma;sans-serif" w:hAnsi="Tahoma;sans-serif"/>
          <w:b/>
          <w:color w:val="000000"/>
          <w:sz w:val="19"/>
        </w:rPr>
        <w:t>Appeal Procedure</w:t>
      </w:r>
      <w:r>
        <w:rPr>
          <w:rFonts w:ascii="Tahoma;sans-serif" w:hAnsi="Tahoma;sans-serif"/>
          <w:color w:val="000000"/>
          <w:sz w:val="19"/>
        </w:rPr>
        <w:t>. If the claimant’s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shall be provided the opportunity to submit written comments, documents, records, and other information relating to the claim for benefits. The claimant (or representative) has the right to review and obtain copies of all documents and other information relevant to the claim, upon request and at no charge, and to submit issues and comments in writing. The Administrator will provide written notice of its decision on review within 60 days after it receives a review request. If additional time (up to 60 days from the end of the initial period) is needed to review the request, the claimant (or representative) will be given written notice of the reason for the delay. This notice of extension will indicate the special circumstances requiring the extension of time and the date by which the Administrator expects to render its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 within two (2) years after completing the Plan’s claims and appeal procedures. Any action shall be resolved exclusively through binding arbitration in accordance with the terms and procedures of the Participant’s Mutual Arbitration Agreement.</w:t>
      </w:r>
    </w:p>
    <w:p>
      <w:pPr>
        <w:pStyle w:val="TextBody"/>
        <w:bidi w:val="0"/>
        <w:spacing w:before="112" w:after="283"/>
        <w:jc w:val="both"/>
        <w:rPr>
          <w:rFonts w:ascii="Tahoma" w:hAnsi="Tahoma"/>
          <w:b/>
          <w:color w:val="000000"/>
          <w:sz w:val="19"/>
        </w:rPr>
      </w:pPr>
      <w:r>
        <w:rPr>
          <w:rFonts w:ascii="Tahoma" w:hAnsi="Tahoma"/>
          <w:b/>
          <w:color w:val="000000"/>
          <w:sz w:val="19"/>
        </w:rPr>
        <w:t>17.</w:t>
      </w:r>
    </w:p>
    <w:p>
      <w:pPr>
        <w:pStyle w:val="TextBody"/>
        <w:bidi w:val="0"/>
        <w:spacing w:before="112" w:after="283"/>
        <w:jc w:val="both"/>
        <w:rPr/>
      </w:pPr>
      <w:r>
        <w:rPr>
          <w:rFonts w:ascii="Tahoma;sans-serif" w:hAnsi="Tahoma;sans-serif"/>
          <w:b/>
          <w:color w:val="000000"/>
          <w:sz w:val="19"/>
        </w:rPr>
        <w:t>Attorneys’ Fees</w:t>
      </w:r>
      <w:r>
        <w:rPr>
          <w:rFonts w:ascii="Tahoma;sans-serif" w:hAnsi="Tahoma;sans-serif"/>
          <w:color w:val="000000"/>
          <w:sz w:val="19"/>
        </w:rPr>
        <w:t>. The parties shall each bear their own expenses, legal fees and other fees incurred in connection with this Plan.</w:t>
      </w:r>
    </w:p>
    <w:p>
      <w:pPr>
        <w:pStyle w:val="TextBody"/>
        <w:bidi w:val="0"/>
        <w:spacing w:before="110" w:after="283"/>
        <w:jc w:val="both"/>
        <w:rPr>
          <w:rFonts w:ascii="Tahoma" w:hAnsi="Tahoma"/>
          <w:b/>
          <w:color w:val="000000"/>
          <w:sz w:val="19"/>
        </w:rPr>
      </w:pPr>
      <w:r>
        <w:rPr>
          <w:rFonts w:ascii="Tahoma" w:hAnsi="Tahoma"/>
          <w:b/>
          <w:color w:val="000000"/>
          <w:sz w:val="19"/>
        </w:rPr>
        <w:t>18.</w:t>
      </w:r>
    </w:p>
    <w:p>
      <w:pPr>
        <w:pStyle w:val="TextBody"/>
        <w:bidi w:val="0"/>
        <w:spacing w:before="110" w:after="283"/>
        <w:jc w:val="both"/>
        <w:rPr/>
      </w:pPr>
      <w:r>
        <w:rPr>
          <w:rFonts w:ascii="Tahoma;sans-serif" w:hAnsi="Tahoma;sans-serif"/>
          <w:b/>
          <w:color w:val="000000"/>
          <w:sz w:val="19"/>
        </w:rPr>
        <w:t>Source of Payments</w:t>
      </w:r>
      <w:r>
        <w:rPr>
          <w:rFonts w:ascii="Tahoma;sans-serif" w:hAnsi="Tahoma;sans-serif"/>
          <w:color w:val="000000"/>
          <w:sz w:val="19"/>
        </w:rPr>
        <w:t>. All payments under the Plan will be paid from the general funds of the Company; no separate fund will be established under the Plan, and the Plan will have</w:t>
      </w:r>
    </w:p>
    <w:p>
      <w:pPr>
        <w:pStyle w:val="TextBody"/>
        <w:bidi w:val="0"/>
        <w:spacing w:before="615"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 - 10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00" w:after="283"/>
        <w:jc w:val="both"/>
        <w:rPr>
          <w:rFonts w:ascii="Tahoma;sans-serif" w:hAnsi="Tahoma;sans-serif"/>
          <w:color w:val="000000"/>
          <w:sz w:val="19"/>
        </w:rPr>
      </w:pPr>
      <w:r>
        <w:rPr>
          <w:rFonts w:ascii="Tahoma;sans-serif" w:hAnsi="Tahoma;sans-serif"/>
          <w:color w:val="000000"/>
          <w:sz w:val="19"/>
        </w:rPr>
        <w:t>no assets. No right of any person to receive any payment under the Plan will be any greater than the right of any other general unsecured creditor of the Company.</w:t>
      </w:r>
    </w:p>
    <w:p>
      <w:pPr>
        <w:pStyle w:val="TextBody"/>
        <w:bidi w:val="0"/>
        <w:spacing w:before="107" w:after="283"/>
        <w:jc w:val="both"/>
        <w:rPr>
          <w:rFonts w:ascii="Tahoma" w:hAnsi="Tahoma"/>
          <w:b/>
          <w:color w:val="000000"/>
          <w:sz w:val="19"/>
        </w:rPr>
      </w:pPr>
      <w:r>
        <w:rPr>
          <w:rFonts w:ascii="Tahoma" w:hAnsi="Tahoma"/>
          <w:b/>
          <w:color w:val="000000"/>
          <w:sz w:val="19"/>
        </w:rPr>
        <w:t>19.</w:t>
      </w:r>
    </w:p>
    <w:p>
      <w:pPr>
        <w:pStyle w:val="TextBody"/>
        <w:bidi w:val="0"/>
        <w:spacing w:before="107" w:after="283"/>
        <w:jc w:val="both"/>
        <w:rPr/>
      </w:pPr>
      <w:r>
        <w:rPr>
          <w:rFonts w:ascii="Tahoma;sans-serif" w:hAnsi="Tahoma;sans-serif"/>
          <w:b/>
          <w:color w:val="000000"/>
          <w:sz w:val="19"/>
        </w:rPr>
        <w:t>Inalienability</w:t>
      </w:r>
      <w:r>
        <w:rPr>
          <w:rFonts w:ascii="Tahoma;sans-serif" w:hAnsi="Tahoma;sans-serif"/>
          <w:color w:val="000000"/>
          <w:sz w:val="19"/>
        </w:rPr>
        <w:t>. In no event may any current or former employee of the Company or any of its subsidiaries or affiliates sell, transfer, anticipate, assign or otherwise dispose of any right or interest under the Plan. At no time will any such right or interest be subject to the claims of creditors nor liable to attachment, execution or other legal process.</w:t>
      </w:r>
    </w:p>
    <w:p>
      <w:pPr>
        <w:pStyle w:val="TextBody"/>
        <w:bidi w:val="0"/>
        <w:spacing w:before="104" w:after="283"/>
        <w:jc w:val="both"/>
        <w:rPr>
          <w:rFonts w:ascii="Tahoma" w:hAnsi="Tahoma"/>
          <w:b/>
          <w:color w:val="000000"/>
          <w:sz w:val="19"/>
        </w:rPr>
      </w:pPr>
      <w:r>
        <w:rPr>
          <w:rFonts w:ascii="Tahoma" w:hAnsi="Tahoma"/>
          <w:b/>
          <w:color w:val="000000"/>
          <w:sz w:val="19"/>
        </w:rPr>
        <w:t>20.</w:t>
      </w:r>
    </w:p>
    <w:p>
      <w:pPr>
        <w:pStyle w:val="TextBody"/>
        <w:bidi w:val="0"/>
        <w:spacing w:before="104" w:after="283"/>
        <w:jc w:val="both"/>
        <w:rPr/>
      </w:pPr>
      <w:r>
        <w:rPr>
          <w:rFonts w:ascii="Tahoma;sans-serif" w:hAnsi="Tahoma;sans-serif"/>
          <w:b/>
          <w:color w:val="000000"/>
          <w:sz w:val="19"/>
        </w:rPr>
        <w:t>No Enlargement of Employment Rights</w:t>
      </w:r>
      <w:r>
        <w:rPr>
          <w:rFonts w:ascii="Tahoma;sans-serif" w:hAnsi="Tahoma;sans-serif"/>
          <w:color w:val="000000"/>
          <w:sz w:val="19"/>
        </w:rPr>
        <w:t xml:space="preserve">. Neither the establishment or </w:t>
        <w:br/>
        <w:t>maintenance or amendment of the Plan, nor the making of any benefit payment hereunder, will be construed to confer upon any individual any right to continue to be an employee of the Company. The Company expressly reserves the right to discharge any of its employees at any time, with or without cause. However, as described in the Plan, a Participant may be entitled to benefits under the Plan depending upon the circumstances of his or her termination of employment.</w:t>
      </w:r>
    </w:p>
    <w:p>
      <w:pPr>
        <w:pStyle w:val="TextBody"/>
        <w:bidi w:val="0"/>
        <w:spacing w:before="104" w:after="283"/>
        <w:jc w:val="both"/>
        <w:rPr>
          <w:rFonts w:ascii="Tahoma" w:hAnsi="Tahoma"/>
          <w:b/>
          <w:color w:val="000000"/>
          <w:sz w:val="19"/>
        </w:rPr>
      </w:pPr>
      <w:r>
        <w:rPr>
          <w:rFonts w:ascii="Tahoma" w:hAnsi="Tahoma"/>
          <w:b/>
          <w:color w:val="000000"/>
          <w:sz w:val="19"/>
        </w:rPr>
        <w:t>21.</w:t>
      </w:r>
    </w:p>
    <w:p>
      <w:pPr>
        <w:pStyle w:val="TextBody"/>
        <w:bidi w:val="0"/>
        <w:spacing w:before="104" w:after="283"/>
        <w:jc w:val="both"/>
        <w:rPr/>
      </w:pPr>
      <w:r>
        <w:rPr>
          <w:rFonts w:ascii="Tahoma;sans-serif" w:hAnsi="Tahoma;sans-serif"/>
          <w:b/>
          <w:color w:val="000000"/>
          <w:sz w:val="19"/>
        </w:rPr>
        <w:t>Successors</w:t>
      </w:r>
      <w:r>
        <w:rPr>
          <w:rFonts w:ascii="Tahoma;sans-serif" w:hAnsi="Tahoma;sans-serif"/>
          <w:color w:val="000000"/>
          <w:sz w:val="19"/>
        </w:rPr>
        <w:t xml:space="preserve">. Any successor to the Company of all or substantially all of the </w:t>
        <w:br/>
        <w:t>Company’s business and/or assets (whether direct or indirect and whether by purchase, merger, consolidation, liquidation or other transaction)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pStyle w:val="TextBody"/>
        <w:bidi w:val="0"/>
        <w:spacing w:before="106" w:after="283"/>
        <w:jc w:val="both"/>
        <w:rPr>
          <w:rFonts w:ascii="Tahoma" w:hAnsi="Tahoma"/>
          <w:b/>
          <w:color w:val="000000"/>
          <w:sz w:val="19"/>
        </w:rPr>
      </w:pPr>
      <w:r>
        <w:rPr>
          <w:rFonts w:ascii="Tahoma" w:hAnsi="Tahoma"/>
          <w:b/>
          <w:color w:val="000000"/>
          <w:sz w:val="19"/>
        </w:rPr>
        <w:t>22.</w:t>
      </w:r>
    </w:p>
    <w:p>
      <w:pPr>
        <w:pStyle w:val="TextBody"/>
        <w:bidi w:val="0"/>
        <w:spacing w:before="106" w:after="283"/>
        <w:jc w:val="both"/>
        <w:rPr/>
      </w:pPr>
      <w:r>
        <w:rPr>
          <w:rFonts w:ascii="Tahoma;sans-serif" w:hAnsi="Tahoma;sans-serif"/>
          <w:b/>
          <w:color w:val="000000"/>
          <w:sz w:val="19"/>
        </w:rPr>
        <w:t>Applicable Law</w:t>
      </w:r>
      <w:r>
        <w:rPr>
          <w:rFonts w:ascii="Tahoma;sans-serif" w:hAnsi="Tahoma;sans-serif"/>
          <w:color w:val="000000"/>
          <w:sz w:val="19"/>
        </w:rPr>
        <w:t>. The provisions of the Plan will be construed, administered and enforced in accordance with ERISA and, to the extent applicable, the internal substantive laws of the state of California (but not its conflict of laws provisions).</w:t>
      </w:r>
    </w:p>
    <w:p>
      <w:pPr>
        <w:pStyle w:val="TextBody"/>
        <w:bidi w:val="0"/>
        <w:spacing w:before="112" w:after="283"/>
        <w:jc w:val="both"/>
        <w:rPr>
          <w:rFonts w:ascii="Tahoma" w:hAnsi="Tahoma"/>
          <w:b/>
          <w:color w:val="000000"/>
          <w:sz w:val="19"/>
        </w:rPr>
      </w:pPr>
      <w:r>
        <w:rPr>
          <w:rFonts w:ascii="Tahoma" w:hAnsi="Tahoma"/>
          <w:b/>
          <w:color w:val="000000"/>
          <w:sz w:val="19"/>
        </w:rPr>
        <w:t>23.</w:t>
      </w:r>
    </w:p>
    <w:p>
      <w:pPr>
        <w:pStyle w:val="TextBody"/>
        <w:bidi w:val="0"/>
        <w:spacing w:before="112" w:after="283"/>
        <w:jc w:val="both"/>
        <w:rPr/>
      </w:pPr>
      <w:r>
        <w:rPr>
          <w:rFonts w:ascii="Tahoma;sans-serif" w:hAnsi="Tahoma;sans-serif"/>
          <w:b/>
          <w:color w:val="000000"/>
          <w:sz w:val="19"/>
        </w:rPr>
        <w:t>Severability</w:t>
      </w:r>
      <w:r>
        <w:rPr>
          <w:rFonts w:ascii="Tahoma;sans-serif" w:hAnsi="Tahoma;sans-serif"/>
          <w:color w:val="000000"/>
          <w:sz w:val="19"/>
        </w:rPr>
        <w:t xml:space="preserve">. If any provision of the Plan is held invalid or unenforceable, its </w:t>
        <w:br/>
        <w:t>invalidity or unenforceability will not affect any other provision of the Plan, and the Plan will be construed and enforced as if such provision had not been included.</w:t>
      </w:r>
    </w:p>
    <w:p>
      <w:pPr>
        <w:pStyle w:val="TextBody"/>
        <w:bidi w:val="0"/>
        <w:spacing w:before="111" w:after="283"/>
        <w:jc w:val="both"/>
        <w:rPr>
          <w:rFonts w:ascii="Tahoma" w:hAnsi="Tahoma"/>
          <w:b/>
          <w:color w:val="000000"/>
          <w:sz w:val="19"/>
        </w:rPr>
      </w:pPr>
      <w:r>
        <w:rPr>
          <w:rFonts w:ascii="Tahoma" w:hAnsi="Tahoma"/>
          <w:b/>
          <w:color w:val="000000"/>
          <w:sz w:val="19"/>
        </w:rPr>
        <w:t>24.</w:t>
      </w:r>
    </w:p>
    <w:p>
      <w:pPr>
        <w:pStyle w:val="TextBody"/>
        <w:bidi w:val="0"/>
        <w:spacing w:before="111" w:after="283"/>
        <w:jc w:val="both"/>
        <w:rPr/>
      </w:pPr>
      <w:r>
        <w:rPr>
          <w:rFonts w:ascii="Tahoma;sans-serif" w:hAnsi="Tahoma;sans-serif"/>
          <w:b/>
          <w:color w:val="000000"/>
          <w:sz w:val="19"/>
        </w:rPr>
        <w:t>Headings</w:t>
      </w:r>
      <w:r>
        <w:rPr>
          <w:rFonts w:ascii="Tahoma;sans-serif" w:hAnsi="Tahoma;sans-serif"/>
          <w:color w:val="000000"/>
          <w:sz w:val="19"/>
        </w:rPr>
        <w:t>. Headings in this Plan document are for purposes of reference only and will not limit or otherwise affect the meaning hereof.</w:t>
      </w:r>
    </w:p>
    <w:p>
      <w:pPr>
        <w:pStyle w:val="TextBody"/>
        <w:bidi w:val="0"/>
        <w:spacing w:before="99" w:after="283"/>
        <w:jc w:val="both"/>
        <w:rPr>
          <w:rFonts w:ascii="Tahoma" w:hAnsi="Tahoma"/>
          <w:b/>
          <w:color w:val="000000"/>
          <w:sz w:val="19"/>
        </w:rPr>
      </w:pPr>
      <w:r>
        <w:rPr>
          <w:rFonts w:ascii="Tahoma" w:hAnsi="Tahoma"/>
          <w:b/>
          <w:color w:val="000000"/>
          <w:sz w:val="19"/>
        </w:rPr>
        <w:t>25.</w:t>
      </w:r>
    </w:p>
    <w:p>
      <w:pPr>
        <w:pStyle w:val="TextBody"/>
        <w:bidi w:val="0"/>
        <w:spacing w:before="99" w:after="283"/>
        <w:jc w:val="both"/>
        <w:rPr/>
      </w:pPr>
      <w:r>
        <w:rPr>
          <w:rFonts w:ascii="Tahoma;sans-serif" w:hAnsi="Tahoma;sans-serif"/>
          <w:b/>
          <w:color w:val="000000"/>
          <w:sz w:val="19"/>
        </w:rPr>
        <w:t>Indemnification</w:t>
      </w:r>
      <w:r>
        <w:rPr>
          <w:rFonts w:ascii="Tahoma;sans-serif" w:hAnsi="Tahoma;sans-serif"/>
          <w:color w:val="000000"/>
          <w:sz w:val="19"/>
        </w:rPr>
        <w:t>. The Company hereby agrees to indemnify and hold harmless the officers and employees of the Company, and the members of its Board, from all losses, claims, costs or other liabilities arising from their acts or omissions in connection with the administration, amendment or termination of the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pStyle w:val="TextBody"/>
        <w:bidi w:val="0"/>
        <w:jc w:val="center"/>
        <w:rPr>
          <w:rFonts w:ascii="Times New Roman" w:hAnsi="Times New Roman"/>
          <w:color w:val="000000"/>
          <w:sz w:val="22"/>
        </w:rPr>
      </w:pPr>
      <w:r>
        <w:rPr>
          <w:rFonts w:ascii="Times New Roman" w:hAnsi="Times New Roman"/>
          <w:color w:val="000000"/>
          <w:sz w:val="22"/>
        </w:rPr>
        <w:t>A - 11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11" w:after="283"/>
        <w:jc w:val="left"/>
        <w:rPr>
          <w:rFonts w:ascii="Tahoma" w:hAnsi="Tahoma"/>
          <w:b/>
          <w:color w:val="000000"/>
          <w:sz w:val="19"/>
        </w:rPr>
      </w:pPr>
      <w:r>
        <w:rPr>
          <w:rFonts w:ascii="Tahoma" w:hAnsi="Tahoma"/>
          <w:b/>
          <w:color w:val="000000"/>
          <w:sz w:val="19"/>
        </w:rPr>
        <w:t>26.</w:t>
      </w:r>
    </w:p>
    <w:p>
      <w:pPr>
        <w:pStyle w:val="TextBody"/>
        <w:bidi w:val="0"/>
        <w:spacing w:before="211" w:after="283"/>
        <w:jc w:val="left"/>
        <w:rPr/>
      </w:pPr>
      <w:r>
        <w:rPr>
          <w:rFonts w:ascii="Tahoma;sans-serif" w:hAnsi="Tahoma;sans-serif"/>
          <w:b/>
          <w:color w:val="000000"/>
          <w:sz w:val="19"/>
        </w:rPr>
        <w:t>Additional Information</w:t>
      </w:r>
      <w:r>
        <w:rPr>
          <w:rFonts w:ascii="Tahoma;sans-serif" w:hAnsi="Tahoma;sans-serif"/>
          <w:color w:val="000000"/>
          <w:sz w:val="19"/>
        </w:rPr>
        <w:t>.</w:t>
      </w:r>
    </w:p>
    <w:p>
      <w:pPr>
        <w:pStyle w:val="TextBody"/>
        <w:bidi w:val="0"/>
        <w:jc w:val="both"/>
        <w:rPr>
          <w:rFonts w:ascii="Times New Roman" w:hAnsi="Times New Roman"/>
          <w:sz w:val="20"/>
        </w:rPr>
      </w:pPr>
      <w:r>
        <w:rPr>
          <w:rFonts w:ascii="Tahoma;sans-serif" w:hAnsi="Tahoma;sans-serif"/>
          <w:b/>
          <w:color w:val="000000"/>
          <w:sz w:val="19"/>
        </w:rPr>
        <w:t>Plan Name</w:t>
      </w:r>
      <w:r>
        <w:rPr>
          <w:rFonts w:ascii="Tahoma;sans-serif" w:hAnsi="Tahoma;sans-serif"/>
          <w:color w:val="000000"/>
          <w:sz w:val="19"/>
        </w:rPr>
        <w:t>: Standard BioTools Inc. 2023 Change of Control and Severance Plan</w:t>
      </w:r>
    </w:p>
    <w:p>
      <w:pPr>
        <w:pStyle w:val="TextBody"/>
        <w:bidi w:val="0"/>
        <w:spacing w:before="108" w:after="283"/>
        <w:jc w:val="left"/>
        <w:rPr>
          <w:rFonts w:ascii="Times New Roman" w:hAnsi="Times New Roman"/>
          <w:sz w:val="20"/>
        </w:rPr>
      </w:pPr>
      <w:r>
        <w:rPr>
          <w:rFonts w:ascii="Tahoma;sans-serif" w:hAnsi="Tahoma;sans-serif"/>
          <w:b/>
          <w:color w:val="000000"/>
          <w:sz w:val="19"/>
        </w:rPr>
        <w:t>Plan Sponsor</w:t>
      </w:r>
      <w:r>
        <w:rPr>
          <w:rFonts w:ascii="Tahoma;sans-serif" w:hAnsi="Tahoma;sans-serif"/>
          <w:color w:val="000000"/>
          <w:sz w:val="19"/>
        </w:rPr>
        <w:t xml:space="preserve">: Standard BioTools Inc. </w:t>
        <w:br/>
        <w:t>c/o Chief Human Resources Officer</w:t>
        <w:br/>
        <w:t>50 Milk Street, 10</w:t>
      </w:r>
      <w:r>
        <w:rPr>
          <w:rFonts w:ascii="Verdana;sans-serif" w:hAnsi="Verdana;sans-serif"/>
          <w:color w:val="000000"/>
          <w:sz w:val="13"/>
        </w:rPr>
        <w:t>th</w:t>
      </w:r>
      <w:r>
        <w:rPr>
          <w:rFonts w:ascii="Times New Roman" w:hAnsi="Times New Roman"/>
          <w:color w:val="000000"/>
          <w:sz w:val="20"/>
        </w:rPr>
        <w:t xml:space="preserve"> </w:t>
      </w:r>
      <w:r>
        <w:rPr>
          <w:rFonts w:ascii="Tahoma;sans-serif" w:hAnsi="Tahoma;sans-serif"/>
          <w:color w:val="000000"/>
          <w:sz w:val="19"/>
        </w:rPr>
        <w:t xml:space="preserve">Floor </w:t>
        <w:br/>
        <w:t>Boston, MA 02109</w:t>
      </w:r>
    </w:p>
    <w:p>
      <w:pPr>
        <w:pStyle w:val="TextBody"/>
        <w:bidi w:val="0"/>
        <w:spacing w:before="25" w:after="283"/>
        <w:jc w:val="left"/>
        <w:rPr>
          <w:rFonts w:ascii="Times New Roman" w:hAnsi="Times New Roman"/>
          <w:sz w:val="20"/>
        </w:rPr>
      </w:pPr>
      <w:r>
        <w:rPr>
          <w:rFonts w:ascii="Tahoma;sans-serif" w:hAnsi="Tahoma;sans-serif"/>
          <w:b/>
          <w:color w:val="000000"/>
          <w:sz w:val="19"/>
        </w:rPr>
        <w:t>Identification Numbers</w:t>
      </w:r>
      <w:r>
        <w:rPr>
          <w:rFonts w:ascii="Tahoma;sans-serif" w:hAnsi="Tahoma;sans-serif"/>
          <w:color w:val="000000"/>
          <w:sz w:val="19"/>
        </w:rPr>
        <w:t xml:space="preserve">: </w:t>
      </w:r>
      <w:r>
        <w:rPr>
          <w:rFonts w:ascii="Tahoma;sans-serif" w:hAnsi="Tahoma;sans-serif"/>
          <w:b/>
          <w:color w:val="000000"/>
          <w:sz w:val="19"/>
        </w:rPr>
        <w:t>EIN</w:t>
      </w:r>
      <w:r>
        <w:rPr>
          <w:rFonts w:ascii="Tahoma;sans-serif" w:hAnsi="Tahoma;sans-serif"/>
          <w:color w:val="000000"/>
          <w:sz w:val="19"/>
        </w:rPr>
        <w:t>: 77-0513190</w:t>
      </w:r>
    </w:p>
    <w:p>
      <w:pPr>
        <w:pStyle w:val="TextBody"/>
        <w:bidi w:val="0"/>
        <w:spacing w:before="1" w:after="283"/>
        <w:jc w:val="left"/>
        <w:rPr>
          <w:rFonts w:ascii="Times New Roman" w:hAnsi="Times New Roman"/>
          <w:sz w:val="20"/>
        </w:rPr>
      </w:pPr>
      <w:r>
        <w:rPr>
          <w:rFonts w:ascii="Tahoma;sans-serif" w:hAnsi="Tahoma;sans-serif"/>
          <w:b/>
          <w:color w:val="000000"/>
          <w:sz w:val="19"/>
        </w:rPr>
        <w:t>PLAN</w:t>
      </w:r>
      <w:r>
        <w:rPr>
          <w:rFonts w:ascii="Tahoma;sans-serif" w:hAnsi="Tahoma;sans-serif"/>
          <w:color w:val="000000"/>
          <w:sz w:val="19"/>
        </w:rPr>
        <w:t>: 502</w:t>
      </w:r>
    </w:p>
    <w:p>
      <w:pPr>
        <w:pStyle w:val="TextBody"/>
        <w:bidi w:val="0"/>
        <w:spacing w:before="1" w:after="283"/>
        <w:jc w:val="left"/>
        <w:rPr>
          <w:rFonts w:ascii="Times New Roman" w:hAnsi="Times New Roman"/>
          <w:sz w:val="20"/>
        </w:rPr>
      </w:pPr>
      <w:r>
        <w:rPr>
          <w:rFonts w:ascii="Tahoma;sans-serif" w:hAnsi="Tahoma;sans-serif"/>
          <w:b/>
          <w:color w:val="000000"/>
          <w:sz w:val="19"/>
        </w:rPr>
        <w:t>Plan Year</w:t>
      </w:r>
      <w:r>
        <w:rPr>
          <w:rFonts w:ascii="Tahoma;sans-serif" w:hAnsi="Tahoma;sans-serif"/>
          <w:color w:val="000000"/>
          <w:sz w:val="19"/>
        </w:rPr>
        <w:t>: Company’s fiscal year</w:t>
      </w:r>
    </w:p>
    <w:p>
      <w:pPr>
        <w:pStyle w:val="TextBody"/>
        <w:bidi w:val="0"/>
        <w:spacing w:before="1" w:after="283"/>
        <w:jc w:val="left"/>
        <w:rPr>
          <w:rFonts w:ascii="Times New Roman" w:hAnsi="Times New Roman"/>
          <w:sz w:val="20"/>
        </w:rPr>
      </w:pPr>
      <w:r>
        <w:rPr>
          <w:rFonts w:ascii="Tahoma;sans-serif" w:hAnsi="Tahoma;sans-serif"/>
          <w:b/>
          <w:color w:val="000000"/>
          <w:sz w:val="19"/>
        </w:rPr>
        <w:t>Plan Administrator</w:t>
      </w:r>
      <w:r>
        <w:rPr>
          <w:rFonts w:ascii="Tahoma;sans-serif" w:hAnsi="Tahoma;sans-serif"/>
          <w:color w:val="000000"/>
          <w:sz w:val="19"/>
        </w:rPr>
        <w:t>: Human Capital Committee</w:t>
      </w:r>
    </w:p>
    <w:p>
      <w:pPr>
        <w:pStyle w:val="TextBody"/>
        <w:bidi w:val="0"/>
        <w:spacing w:before="1" w:after="283"/>
        <w:jc w:val="left"/>
        <w:rPr>
          <w:rFonts w:ascii="Tahoma;sans-serif" w:hAnsi="Tahoma;sans-serif"/>
          <w:color w:val="000000"/>
          <w:sz w:val="19"/>
        </w:rPr>
      </w:pPr>
      <w:r>
        <w:rPr>
          <w:rFonts w:ascii="Tahoma;sans-serif" w:hAnsi="Tahoma;sans-serif"/>
          <w:color w:val="000000"/>
          <w:sz w:val="19"/>
        </w:rPr>
        <w:t>Attention: Administrator of the Standard BioTools Inc. 2023</w:t>
      </w:r>
    </w:p>
    <w:p>
      <w:pPr>
        <w:pStyle w:val="TextBody"/>
        <w:bidi w:val="0"/>
        <w:spacing w:before="1" w:after="283"/>
        <w:jc w:val="left"/>
        <w:rPr>
          <w:rFonts w:ascii="Tahoma;sans-serif" w:hAnsi="Tahoma;sans-serif"/>
          <w:color w:val="000000"/>
          <w:sz w:val="19"/>
        </w:rPr>
      </w:pPr>
      <w:r>
        <w:rPr>
          <w:rFonts w:ascii="Tahoma;sans-serif" w:hAnsi="Tahoma;sans-serif"/>
          <w:color w:val="000000"/>
          <w:sz w:val="19"/>
        </w:rPr>
        <w:t>Change of Control and Severance Plan</w:t>
      </w:r>
    </w:p>
    <w:p>
      <w:pPr>
        <w:pStyle w:val="TextBody"/>
        <w:bidi w:val="0"/>
        <w:spacing w:before="1" w:after="283"/>
        <w:jc w:val="left"/>
        <w:rPr>
          <w:rFonts w:ascii="Times New Roman" w:hAnsi="Times New Roman"/>
          <w:sz w:val="20"/>
        </w:rPr>
      </w:pPr>
      <w:r>
        <w:rPr>
          <w:rFonts w:ascii="Tahoma;sans-serif" w:hAnsi="Tahoma;sans-serif"/>
          <w:color w:val="000000"/>
          <w:sz w:val="19"/>
        </w:rPr>
        <w:t>50 Milk Street, 10</w:t>
      </w:r>
      <w:r>
        <w:rPr>
          <w:rFonts w:ascii="Verdana;sans-serif" w:hAnsi="Verdana;sans-serif"/>
          <w:color w:val="000000"/>
          <w:sz w:val="13"/>
        </w:rPr>
        <w:t>th</w:t>
      </w:r>
      <w:r>
        <w:rPr>
          <w:rFonts w:ascii="Times New Roman" w:hAnsi="Times New Roman"/>
          <w:color w:val="000000"/>
          <w:sz w:val="20"/>
        </w:rPr>
        <w:t xml:space="preserve"> </w:t>
      </w:r>
      <w:r>
        <w:rPr>
          <w:rFonts w:ascii="Tahoma;sans-serif" w:hAnsi="Tahoma;sans-serif"/>
          <w:color w:val="000000"/>
          <w:sz w:val="19"/>
        </w:rPr>
        <w:t>Floor</w:t>
      </w:r>
    </w:p>
    <w:p>
      <w:pPr>
        <w:pStyle w:val="TextBody"/>
        <w:bidi w:val="0"/>
        <w:spacing w:before="1" w:after="283"/>
        <w:jc w:val="left"/>
        <w:rPr>
          <w:rFonts w:ascii="Tahoma;sans-serif" w:hAnsi="Tahoma;sans-serif"/>
          <w:color w:val="000000"/>
          <w:sz w:val="19"/>
        </w:rPr>
      </w:pPr>
      <w:r>
        <w:rPr>
          <w:rFonts w:ascii="Tahoma;sans-serif" w:hAnsi="Tahoma;sans-serif"/>
          <w:color w:val="000000"/>
          <w:sz w:val="19"/>
        </w:rPr>
        <w:t>Boston, MA 02109</w:t>
      </w:r>
    </w:p>
    <w:p>
      <w:pPr>
        <w:pStyle w:val="TextBody"/>
        <w:bidi w:val="0"/>
        <w:spacing w:before="1" w:after="283"/>
        <w:jc w:val="left"/>
        <w:rPr>
          <w:rFonts w:ascii="Tahoma;sans-serif" w:hAnsi="Tahoma;sans-serif"/>
          <w:color w:val="000000"/>
          <w:sz w:val="19"/>
        </w:rPr>
      </w:pPr>
      <w:r>
        <w:rPr>
          <w:rFonts w:ascii="Tahoma;sans-serif" w:hAnsi="Tahoma;sans-serif"/>
          <w:color w:val="000000"/>
          <w:sz w:val="19"/>
        </w:rPr>
        <w:t>650-266-6000</w:t>
      </w:r>
    </w:p>
    <w:p>
      <w:pPr>
        <w:pStyle w:val="TextBody"/>
        <w:bidi w:val="0"/>
        <w:jc w:val="left"/>
        <w:rPr>
          <w:rFonts w:ascii="Tahoma;sans-serif" w:hAnsi="Tahoma;sans-serif"/>
          <w:b/>
          <w:color w:val="000000"/>
          <w:sz w:val="19"/>
        </w:rPr>
      </w:pPr>
      <w:r>
        <w:rPr>
          <w:rFonts w:ascii="Tahoma;sans-serif" w:hAnsi="Tahoma;sans-serif"/>
          <w:b/>
          <w:color w:val="000000"/>
          <w:sz w:val="19"/>
        </w:rPr>
        <w:t>Agent for Service of</w:t>
      </w:r>
    </w:p>
    <w:p>
      <w:pPr>
        <w:pStyle w:val="TextBody"/>
        <w:bidi w:val="0"/>
        <w:spacing w:before="1" w:after="283"/>
        <w:jc w:val="left"/>
        <w:rPr>
          <w:rFonts w:ascii="Times New Roman" w:hAnsi="Times New Roman"/>
          <w:sz w:val="20"/>
        </w:rPr>
      </w:pPr>
      <w:r>
        <w:rPr>
          <w:rFonts w:ascii="Tahoma;sans-serif" w:hAnsi="Tahoma;sans-serif"/>
          <w:b/>
          <w:color w:val="000000"/>
          <w:sz w:val="19"/>
        </w:rPr>
        <w:t>Legal Process</w:t>
      </w:r>
      <w:r>
        <w:rPr>
          <w:rFonts w:ascii="Tahoma;sans-serif" w:hAnsi="Tahoma;sans-serif"/>
          <w:color w:val="000000"/>
          <w:sz w:val="19"/>
        </w:rPr>
        <w:t>: Standard BioTools Inc.</w:t>
      </w:r>
    </w:p>
    <w:p>
      <w:pPr>
        <w:pStyle w:val="TextBody"/>
        <w:bidi w:val="0"/>
        <w:spacing w:before="1" w:after="283"/>
        <w:jc w:val="left"/>
        <w:rPr>
          <w:rFonts w:ascii="Tahoma;sans-serif" w:hAnsi="Tahoma;sans-serif"/>
          <w:color w:val="000000"/>
          <w:sz w:val="19"/>
        </w:rPr>
      </w:pPr>
      <w:r>
        <w:rPr>
          <w:rFonts w:ascii="Tahoma;sans-serif" w:hAnsi="Tahoma;sans-serif"/>
          <w:color w:val="000000"/>
          <w:sz w:val="19"/>
        </w:rPr>
        <w:t>Attention: Chief Human Resources Officer</w:t>
      </w:r>
    </w:p>
    <w:p>
      <w:pPr>
        <w:pStyle w:val="TextBody"/>
        <w:bidi w:val="0"/>
        <w:spacing w:before="1" w:after="283"/>
        <w:jc w:val="left"/>
        <w:rPr>
          <w:rFonts w:ascii="Tahoma;sans-serif" w:hAnsi="Tahoma;sans-serif"/>
          <w:color w:val="000000"/>
          <w:sz w:val="19"/>
        </w:rPr>
      </w:pPr>
      <w:r>
        <w:rPr>
          <w:rFonts w:ascii="Tahoma;sans-serif" w:hAnsi="Tahoma;sans-serif"/>
          <w:color w:val="000000"/>
          <w:sz w:val="19"/>
        </w:rPr>
        <w:t>2023 Change of Control and Severance Plan</w:t>
      </w:r>
    </w:p>
    <w:p>
      <w:pPr>
        <w:pStyle w:val="TextBody"/>
        <w:bidi w:val="0"/>
        <w:spacing w:before="1" w:after="283"/>
        <w:jc w:val="left"/>
        <w:rPr>
          <w:rFonts w:ascii="Times New Roman" w:hAnsi="Times New Roman"/>
          <w:sz w:val="20"/>
        </w:rPr>
      </w:pPr>
      <w:r>
        <w:rPr>
          <w:rFonts w:ascii="Tahoma;sans-serif" w:hAnsi="Tahoma;sans-serif"/>
          <w:color w:val="000000"/>
          <w:sz w:val="19"/>
        </w:rPr>
        <w:t>50 Milk Street, 10</w:t>
      </w:r>
      <w:r>
        <w:rPr>
          <w:rFonts w:ascii="Verdana;sans-serif" w:hAnsi="Verdana;sans-serif"/>
          <w:color w:val="000000"/>
          <w:sz w:val="13"/>
        </w:rPr>
        <w:t>th</w:t>
      </w:r>
      <w:r>
        <w:rPr>
          <w:rFonts w:ascii="Times New Roman" w:hAnsi="Times New Roman"/>
          <w:color w:val="000000"/>
          <w:sz w:val="20"/>
        </w:rPr>
        <w:t xml:space="preserve"> </w:t>
      </w:r>
      <w:r>
        <w:rPr>
          <w:rFonts w:ascii="Tahoma;sans-serif" w:hAnsi="Tahoma;sans-serif"/>
          <w:color w:val="000000"/>
          <w:sz w:val="19"/>
        </w:rPr>
        <w:t>Floor</w:t>
      </w:r>
    </w:p>
    <w:p>
      <w:pPr>
        <w:pStyle w:val="TextBody"/>
        <w:bidi w:val="0"/>
        <w:spacing w:before="1" w:after="283"/>
        <w:jc w:val="left"/>
        <w:rPr>
          <w:rFonts w:ascii="Tahoma;sans-serif" w:hAnsi="Tahoma;sans-serif"/>
          <w:color w:val="000000"/>
          <w:sz w:val="19"/>
        </w:rPr>
      </w:pPr>
      <w:r>
        <w:rPr>
          <w:rFonts w:ascii="Tahoma;sans-serif" w:hAnsi="Tahoma;sans-serif"/>
          <w:color w:val="000000"/>
          <w:sz w:val="19"/>
        </w:rPr>
        <w:t>Boston, MA 02109</w:t>
      </w:r>
    </w:p>
    <w:p>
      <w:pPr>
        <w:pStyle w:val="TextBody"/>
        <w:bidi w:val="0"/>
        <w:spacing w:before="1" w:after="283"/>
        <w:jc w:val="left"/>
        <w:rPr>
          <w:rFonts w:ascii="Tahoma;sans-serif" w:hAnsi="Tahoma;sans-serif"/>
          <w:color w:val="000000"/>
          <w:sz w:val="19"/>
        </w:rPr>
      </w:pPr>
      <w:r>
        <w:rPr>
          <w:rFonts w:ascii="Tahoma;sans-serif" w:hAnsi="Tahoma;sans-serif"/>
          <w:color w:val="000000"/>
          <w:sz w:val="19"/>
        </w:rPr>
        <w:t>650-266-6000</w:t>
      </w:r>
    </w:p>
    <w:p>
      <w:pPr>
        <w:pStyle w:val="TextBody"/>
        <w:bidi w:val="0"/>
        <w:spacing w:before="1" w:after="283"/>
        <w:jc w:val="left"/>
        <w:rPr>
          <w:rFonts w:ascii="Tahoma;sans-serif" w:hAnsi="Tahoma;sans-serif"/>
          <w:color w:val="000000"/>
          <w:sz w:val="19"/>
        </w:rPr>
      </w:pPr>
      <w:r>
        <w:rPr>
          <w:rFonts w:ascii="Tahoma;sans-serif" w:hAnsi="Tahoma;sans-serif"/>
          <w:color w:val="000000"/>
          <w:sz w:val="19"/>
        </w:rPr>
        <w:t>Service of process also may be made upon the Administrator.</w:t>
      </w:r>
    </w:p>
    <w:p>
      <w:pPr>
        <w:pStyle w:val="TextBody"/>
        <w:bidi w:val="0"/>
        <w:spacing w:before="1" w:after="283"/>
        <w:jc w:val="left"/>
        <w:rPr>
          <w:rFonts w:ascii="Times New Roman" w:hAnsi="Times New Roman"/>
          <w:sz w:val="20"/>
        </w:rPr>
      </w:pPr>
      <w:r>
        <w:rPr>
          <w:rFonts w:ascii="Tahoma;sans-serif" w:hAnsi="Tahoma;sans-serif"/>
          <w:b/>
          <w:color w:val="000000"/>
          <w:sz w:val="19"/>
        </w:rPr>
        <w:t>Type of Plan</w:t>
      </w:r>
      <w:r>
        <w:rPr>
          <w:rFonts w:ascii="Tahoma;sans-serif" w:hAnsi="Tahoma;sans-serif"/>
          <w:color w:val="000000"/>
          <w:sz w:val="19"/>
        </w:rPr>
        <w:t>: Severance Plan/Employee Welfare Benefit Plan</w:t>
      </w:r>
    </w:p>
    <w:p>
      <w:pPr>
        <w:pStyle w:val="TextBody"/>
        <w:bidi w:val="0"/>
        <w:spacing w:before="1" w:after="283"/>
        <w:jc w:val="left"/>
        <w:rPr>
          <w:rFonts w:ascii="Times New Roman" w:hAnsi="Times New Roman"/>
          <w:sz w:val="20"/>
        </w:rPr>
      </w:pPr>
      <w:r>
        <w:rPr>
          <w:rFonts w:ascii="Tahoma;sans-serif" w:hAnsi="Tahoma;sans-serif"/>
          <w:b/>
          <w:color w:val="000000"/>
          <w:sz w:val="19"/>
        </w:rPr>
        <w:t>Plan Costs</w:t>
      </w:r>
      <w:r>
        <w:rPr>
          <w:rFonts w:ascii="Tahoma;sans-serif" w:hAnsi="Tahoma;sans-serif"/>
          <w:color w:val="000000"/>
          <w:sz w:val="19"/>
        </w:rPr>
        <w:t>: The cost of the Plan is paid by the Employer.</w:t>
      </w:r>
    </w:p>
    <w:p>
      <w:pPr>
        <w:pStyle w:val="TextBody"/>
        <w:bidi w:val="0"/>
        <w:spacing w:before="33" w:after="283"/>
        <w:jc w:val="left"/>
        <w:rPr>
          <w:rFonts w:ascii="Tahoma" w:hAnsi="Tahoma"/>
          <w:b/>
          <w:color w:val="000000"/>
          <w:sz w:val="19"/>
        </w:rPr>
      </w:pPr>
      <w:r>
        <w:rPr>
          <w:rFonts w:ascii="Tahoma" w:hAnsi="Tahoma"/>
          <w:b/>
          <w:color w:val="000000"/>
          <w:sz w:val="19"/>
        </w:rPr>
        <w:t>27.</w:t>
      </w:r>
    </w:p>
    <w:p>
      <w:pPr>
        <w:pStyle w:val="TextBody"/>
        <w:bidi w:val="0"/>
        <w:spacing w:before="33" w:after="283"/>
        <w:jc w:val="left"/>
        <w:rPr/>
      </w:pPr>
      <w:r>
        <w:rPr>
          <w:rFonts w:ascii="Tahoma;sans-serif" w:hAnsi="Tahoma;sans-serif"/>
          <w:b/>
          <w:color w:val="000000"/>
          <w:sz w:val="19"/>
        </w:rPr>
        <w:t>Statement of ERISA Rights</w:t>
      </w:r>
      <w:r>
        <w:rPr>
          <w:rFonts w:ascii="Tahoma;sans-serif" w:hAnsi="Tahoma;sans-serif"/>
          <w:color w:val="000000"/>
          <w:sz w:val="19"/>
        </w:rPr>
        <w:t>.</w:t>
      </w:r>
    </w:p>
    <w:p>
      <w:pPr>
        <w:pStyle w:val="TextBody"/>
        <w:bidi w:val="0"/>
        <w:spacing w:before="1" w:after="283"/>
        <w:jc w:val="center"/>
        <w:rPr>
          <w:rFonts w:ascii="Tahoma;sans-serif" w:hAnsi="Tahoma;sans-serif"/>
          <w:color w:val="000000"/>
          <w:sz w:val="19"/>
        </w:rPr>
      </w:pPr>
      <w:r>
        <w:rPr>
          <w:rFonts w:ascii="Tahoma;sans-serif" w:hAnsi="Tahoma;sans-serif"/>
          <w:color w:val="000000"/>
          <w:sz w:val="19"/>
        </w:rPr>
        <w:t>As a Participant under the Plan, you have certain rights and protections under ERISA:</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w:t>
      </w:r>
    </w:p>
    <w:p>
      <w:pPr>
        <w:pStyle w:val="TextBody"/>
        <w:bidi w:val="0"/>
        <w:spacing w:before="0" w:after="0"/>
        <w:jc w:val="both"/>
        <w:rPr>
          <w:rFonts w:ascii="Tahoma;sans-serif" w:hAnsi="Tahoma;sans-serif"/>
          <w:color w:val="000000"/>
          <w:sz w:val="19"/>
        </w:rPr>
      </w:pPr>
      <w:r>
        <w:rPr>
          <w:rFonts w:ascii="Tahoma;sans-serif" w:hAnsi="Tahoma;sans-serif"/>
          <w:color w:val="000000"/>
          <w:sz w:val="19"/>
        </w:rPr>
        <w:t>You may examine (without charge) all Plan documents, including any amendments and copies of all documents filed with the U.S. Department of Labor. These documents are available for your review in the Company’s Human Resources Department.</w:t>
      </w:r>
    </w:p>
    <w:p>
      <w:pPr>
        <w:pStyle w:val="TextBody"/>
        <w:bidi w:val="0"/>
        <w:spacing w:before="287" w:after="283"/>
        <w:jc w:val="both"/>
        <w:rPr>
          <w:rFonts w:ascii="Times New Roman" w:hAnsi="Times New Roman"/>
          <w:color w:val="000000"/>
          <w:sz w:val="19"/>
        </w:rPr>
      </w:pPr>
      <w:r>
        <w:rPr>
          <w:rFonts w:ascii="Times New Roman" w:hAnsi="Times New Roman"/>
          <w:color w:val="000000"/>
          <w:sz w:val="19"/>
        </w:rPr>
        <w:t>·</w:t>
      </w:r>
    </w:p>
    <w:p>
      <w:pPr>
        <w:pStyle w:val="TextBody"/>
        <w:bidi w:val="0"/>
        <w:spacing w:before="287" w:after="283"/>
        <w:jc w:val="both"/>
        <w:rPr>
          <w:rFonts w:ascii="Tahoma;sans-serif" w:hAnsi="Tahoma;sans-serif"/>
          <w:color w:val="000000"/>
          <w:sz w:val="19"/>
        </w:rPr>
      </w:pPr>
      <w:r>
        <w:rPr>
          <w:rFonts w:ascii="Tahoma;sans-serif" w:hAnsi="Tahoma;sans-serif"/>
          <w:color w:val="000000"/>
          <w:sz w:val="19"/>
        </w:rPr>
        <w:t>You may obtain copies of all Plan documents and other Plan information upon written request to the Administrator. A reasonable charge may be made for such copies.</w:t>
      </w:r>
    </w:p>
    <w:p>
      <w:pPr>
        <w:pStyle w:val="TextBody"/>
        <w:bidi w:val="0"/>
        <w:spacing w:before="108" w:after="283"/>
        <w:jc w:val="both"/>
        <w:rPr>
          <w:rFonts w:ascii="Tahoma;sans-serif" w:hAnsi="Tahoma;sans-serif"/>
          <w:color w:val="000000"/>
          <w:sz w:val="19"/>
        </w:rPr>
      </w:pPr>
      <w:r>
        <w:rPr>
          <w:rFonts w:ascii="Tahoma;sans-serif" w:hAnsi="Tahoma;sans-serif"/>
          <w:color w:val="000000"/>
          <w:sz w:val="19"/>
        </w:rPr>
        <w:t>In addition to creating rights for Participants, ERISA imposes duties upon the people who are responsible for the operation of the Plan. The people who operate the Plan (called “fiduciaries”) have a duty to do so prudently and in the interests of you and the other Participants. No one, including the Company or any other person, may fire you or otherwise discriminate against you</w:t>
      </w:r>
    </w:p>
    <w:p>
      <w:pPr>
        <w:pStyle w:val="TextBody"/>
        <w:bidi w:val="0"/>
        <w:jc w:val="center"/>
        <w:rPr>
          <w:rFonts w:ascii="Times New Roman" w:hAnsi="Times New Roman"/>
          <w:color w:val="000000"/>
          <w:sz w:val="22"/>
        </w:rPr>
      </w:pPr>
      <w:r>
        <w:rPr>
          <w:rFonts w:ascii="Times New Roman" w:hAnsi="Times New Roman"/>
          <w:color w:val="000000"/>
          <w:sz w:val="22"/>
        </w:rPr>
        <w:t>A - 12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04" w:after="283"/>
        <w:jc w:val="both"/>
        <w:rPr>
          <w:rFonts w:ascii="Tahoma;sans-serif" w:hAnsi="Tahoma;sans-serif"/>
          <w:color w:val="000000"/>
          <w:sz w:val="19"/>
        </w:rPr>
      </w:pPr>
      <w:r>
        <w:rPr>
          <w:rFonts w:ascii="Tahoma;sans-serif" w:hAnsi="Tahoma;sans-serif"/>
          <w:color w:val="000000"/>
          <w:sz w:val="19"/>
        </w:rPr>
        <w:t>in any way to prevent you from obtaining a benefit under the Plan or exercising your rights under ERISA. If your claim for payments or benefits under the Plan is denied, in whole or in part, you must receive a written explanation of the reason for the denial. You have the right to have the denial of your claim reviewed. (The claim review procedure is explained in Section 16 above.)</w:t>
      </w:r>
    </w:p>
    <w:p>
      <w:pPr>
        <w:pStyle w:val="TextBody"/>
        <w:bidi w:val="0"/>
        <w:spacing w:before="115" w:after="283"/>
        <w:jc w:val="both"/>
        <w:rPr>
          <w:rFonts w:ascii="Tahoma;sans-serif" w:hAnsi="Tahoma;sans-serif"/>
          <w:color w:val="000000"/>
          <w:sz w:val="19"/>
        </w:rPr>
      </w:pPr>
      <w:r>
        <w:rPr>
          <w:rFonts w:ascii="Tahoma;sans-serif" w:hAnsi="Tahoma;sans-serif"/>
          <w:color w:val="000000"/>
          <w:sz w:val="19"/>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w:t>
      </w:r>
    </w:p>
    <w:p>
      <w:pPr>
        <w:pStyle w:val="TextBody"/>
        <w:bidi w:val="0"/>
        <w:spacing w:before="118" w:after="283"/>
        <w:jc w:val="both"/>
        <w:rPr>
          <w:rFonts w:ascii="Tahoma;sans-serif" w:hAnsi="Tahoma;sans-serif"/>
          <w:color w:val="000000"/>
          <w:sz w:val="19"/>
        </w:rPr>
      </w:pPr>
      <w:r>
        <w:rPr>
          <w:rFonts w:ascii="Tahoma;sans-serif" w:hAnsi="Tahoma;sans-serif"/>
          <w:color w:val="000000"/>
          <w:sz w:val="19"/>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pStyle w:val="TextBody"/>
        <w:bidi w:val="0"/>
        <w:spacing w:before="115" w:after="720"/>
        <w:jc w:val="both"/>
        <w:rPr>
          <w:rFonts w:ascii="Tahoma;sans-serif" w:hAnsi="Tahoma;sans-serif"/>
          <w:color w:val="000000"/>
          <w:sz w:val="19"/>
        </w:rPr>
      </w:pPr>
      <w:r>
        <w:rPr>
          <w:rFonts w:ascii="Tahoma;sans-serif" w:hAnsi="Tahoma;sans-serif"/>
          <w:color w:val="000000"/>
          <w:sz w:val="19"/>
        </w:rPr>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pStyle w:val="TextBody"/>
        <w:bidi w:val="0"/>
        <w:jc w:val="center"/>
        <w:rPr>
          <w:rFonts w:ascii="Times New Roman" w:hAnsi="Times New Roman"/>
          <w:color w:val="000000"/>
          <w:sz w:val="22"/>
        </w:rPr>
      </w:pPr>
      <w:r>
        <w:rPr>
          <w:rFonts w:ascii="Times New Roman" w:hAnsi="Times New Roman"/>
          <w:color w:val="000000"/>
          <w:sz w:val="22"/>
        </w:rPr>
        <w:t>A - 13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 w:after="283"/>
        <w:jc w:val="right"/>
        <w:rPr>
          <w:rFonts w:ascii="Tahoma;sans-serif" w:hAnsi="Tahoma;sans-serif"/>
          <w:b/>
          <w:color w:val="000000"/>
          <w:sz w:val="19"/>
        </w:rPr>
      </w:pPr>
      <w:r>
        <w:rPr>
          <w:rFonts w:ascii="Tahoma;sans-serif" w:hAnsi="Tahoma;sans-serif"/>
          <w:b/>
          <w:color w:val="000000"/>
          <w:sz w:val="19"/>
        </w:rPr>
        <w:t>CEO Participation Agreement</w:t>
      </w:r>
    </w:p>
    <w:p>
      <w:pPr>
        <w:pStyle w:val="TextBody"/>
        <w:bidi w:val="0"/>
        <w:spacing w:before="162" w:after="283"/>
        <w:jc w:val="center"/>
        <w:rPr>
          <w:rFonts w:ascii="Times New Roman" w:hAnsi="Times New Roman"/>
          <w:sz w:val="20"/>
        </w:rPr>
      </w:pPr>
      <w:r>
        <w:rPr>
          <w:rFonts w:ascii="Tahoma;sans-serif" w:hAnsi="Tahoma;sans-serif"/>
          <w:b/>
          <w:color w:val="000000"/>
          <w:sz w:val="19"/>
          <w:u w:val="single"/>
        </w:rPr>
        <w:t>Appendix A</w:t>
      </w:r>
      <w:r>
        <w:rPr>
          <w:rFonts w:ascii="Times New Roman" w:hAnsi="Times New Roman"/>
          <w:color w:val="000000"/>
          <w:sz w:val="20"/>
        </w:rPr>
        <w:t xml:space="preserve"> </w:t>
      </w:r>
    </w:p>
    <w:p>
      <w:pPr>
        <w:pStyle w:val="TextBody"/>
        <w:bidi w:val="0"/>
        <w:spacing w:before="111" w:after="283"/>
        <w:jc w:val="both"/>
        <w:rPr>
          <w:rFonts w:ascii="Tahoma;sans-serif" w:hAnsi="Tahoma;sans-serif"/>
          <w:b/>
          <w:color w:val="000000"/>
          <w:sz w:val="19"/>
        </w:rPr>
      </w:pPr>
      <w:r>
        <w:rPr>
          <w:rFonts w:ascii="Tahoma;sans-serif" w:hAnsi="Tahoma;sans-serif"/>
          <w:b/>
          <w:color w:val="000000"/>
          <w:sz w:val="19"/>
        </w:rPr>
        <w:t>Standard BioTools Inc. 2023 Change of Control and Severance Plan (as amended and restated, May 21, 2026) Participation Agreement</w:t>
      </w:r>
    </w:p>
    <w:p>
      <w:pPr>
        <w:pStyle w:val="TextBody"/>
        <w:bidi w:val="0"/>
        <w:spacing w:before="115" w:after="283"/>
        <w:jc w:val="both"/>
        <w:rPr>
          <w:rFonts w:ascii="Times New Roman" w:hAnsi="Times New Roman"/>
          <w:sz w:val="20"/>
        </w:rPr>
      </w:pPr>
      <w:r>
        <w:rPr>
          <w:rFonts w:ascii="Tahoma;sans-serif" w:hAnsi="Tahoma;sans-serif"/>
          <w:color w:val="000000"/>
          <w:sz w:val="19"/>
        </w:rPr>
        <w:t>Standard BioTools Inc. (the “</w:t>
      </w:r>
      <w:r>
        <w:rPr>
          <w:rFonts w:ascii="Tahoma;sans-serif" w:hAnsi="Tahoma;sans-serif"/>
          <w:b/>
          <w:color w:val="000000"/>
          <w:sz w:val="19"/>
        </w:rPr>
        <w:t>Company</w:t>
      </w:r>
      <w:r>
        <w:rPr>
          <w:rFonts w:ascii="Times New Roman" w:hAnsi="Times New Roman"/>
          <w:color w:val="000000"/>
          <w:sz w:val="20"/>
        </w:rPr>
        <w:t>”</w:t>
      </w:r>
      <w:r>
        <w:rPr>
          <w:rFonts w:ascii="Tahoma;sans-serif" w:hAnsi="Tahoma;sans-serif"/>
          <w:color w:val="000000"/>
          <w:sz w:val="19"/>
        </w:rPr>
        <w:t>) is pleased to inform you that you have been selected to participate in the Company’s 2023 Change of Control and Severance Plan, as amended and restated (the “</w:t>
      </w:r>
      <w:r>
        <w:rPr>
          <w:rFonts w:ascii="Tahoma;sans-serif" w:hAnsi="Tahoma;sans-serif"/>
          <w:b/>
          <w:color w:val="000000"/>
          <w:sz w:val="19"/>
        </w:rPr>
        <w:t>Plan</w:t>
      </w:r>
      <w:r>
        <w:rPr>
          <w:rFonts w:ascii="Times New Roman" w:hAnsi="Times New Roman"/>
          <w:color w:val="000000"/>
          <w:sz w:val="20"/>
        </w:rPr>
        <w:t>”</w:t>
      </w:r>
      <w:r>
        <w:rPr>
          <w:rFonts w:ascii="Tahoma;sans-serif" w:hAnsi="Tahoma;sans-serif"/>
          <w:color w:val="000000"/>
          <w:sz w:val="19"/>
        </w:rPr>
        <w:t>) as a Participant.</w:t>
      </w:r>
    </w:p>
    <w:p>
      <w:pPr>
        <w:pStyle w:val="TextBody"/>
        <w:bidi w:val="0"/>
        <w:spacing w:before="110" w:after="283"/>
        <w:jc w:val="both"/>
        <w:rPr>
          <w:rFonts w:ascii="Tahoma;sans-serif" w:hAnsi="Tahoma;sans-serif"/>
          <w:color w:val="000000"/>
          <w:sz w:val="19"/>
        </w:rPr>
      </w:pPr>
      <w:r>
        <w:rPr>
          <w:rFonts w:ascii="Tahoma;sans-serif" w:hAnsi="Tahoma;sans-serif"/>
          <w:color w:val="000000"/>
          <w:sz w:val="19"/>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pStyle w:val="TextBody"/>
        <w:bidi w:val="0"/>
        <w:spacing w:before="113" w:after="283"/>
        <w:jc w:val="both"/>
        <w:rPr>
          <w:rFonts w:ascii="Tahoma;sans-serif" w:hAnsi="Tahoma;sans-serif"/>
          <w:color w:val="000000"/>
          <w:sz w:val="19"/>
        </w:rPr>
      </w:pPr>
      <w:r>
        <w:rPr>
          <w:rFonts w:ascii="Tahoma;sans-serif" w:hAnsi="Tahoma;sans-serif"/>
          <w:color w:val="000000"/>
          <w:sz w:val="19"/>
        </w:rPr>
        <w:t>In order to actually become a participant in the Plan, you must complete and sign this Participation Agreement.</w:t>
      </w:r>
    </w:p>
    <w:p>
      <w:pPr>
        <w:pStyle w:val="TextBody"/>
        <w:bidi w:val="0"/>
        <w:spacing w:before="166" w:after="283"/>
        <w:jc w:val="left"/>
        <w:rPr>
          <w:rFonts w:ascii="Tahoma;sans-serif" w:hAnsi="Tahoma;sans-serif"/>
          <w:b/>
          <w:color w:val="000000"/>
          <w:sz w:val="19"/>
        </w:rPr>
      </w:pPr>
      <w:r>
        <w:rPr>
          <w:rFonts w:ascii="Tahoma;sans-serif" w:hAnsi="Tahoma;sans-serif"/>
          <w:b/>
          <w:color w:val="000000"/>
          <w:sz w:val="19"/>
        </w:rPr>
        <w:t>Definition of “Good Reason”</w:t>
      </w:r>
    </w:p>
    <w:p>
      <w:pPr>
        <w:pStyle w:val="TextBody"/>
        <w:bidi w:val="0"/>
        <w:spacing w:before="108" w:after="283"/>
        <w:jc w:val="both"/>
        <w:rPr/>
      </w:pPr>
      <w:r>
        <w:rPr>
          <w:color w:val="000000"/>
        </w:rPr>
        <w:t>“</w:t>
      </w:r>
      <w:r>
        <w:rPr>
          <w:rFonts w:ascii="Tahoma;sans-serif" w:hAnsi="Tahoma;sans-serif"/>
          <w:b/>
          <w:color w:val="000000"/>
          <w:sz w:val="19"/>
        </w:rPr>
        <w:t>Good Reason</w:t>
      </w:r>
      <w:r>
        <w:rPr>
          <w:rFonts w:ascii="Times New Roman" w:hAnsi="Times New Roman"/>
          <w:color w:val="000000"/>
          <w:sz w:val="20"/>
        </w:rPr>
        <w:t xml:space="preserve">” </w:t>
      </w:r>
      <w:r>
        <w:rPr>
          <w:rFonts w:ascii="Tahoma;sans-serif" w:hAnsi="Tahoma;sans-serif"/>
          <w:color w:val="000000"/>
          <w:sz w:val="19"/>
        </w:rPr>
        <w:t>means the occurrence of one or more of the following events effected without your prior consent, provided you terminate your employment with the Company within six months following the initial existence of the “Good Reason” condition (discussed below): (i) the assignment to you of any duties or the reduction of your then-current duties, either of which results in a material diminution in your then-current position or responsibilities with the Company including, without limitation, any negative change in reporting hierarchy involving you or the person to whom you directly report; (ii) a material reduction by the Company in your then-current base salary; (iii) a material change in the geographic location at which you must perform services (for purposes of this Participation Agreement, your relocation to a facility or a location more than 50 miles from your then-present location shall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Company cure period of 30 days following the date of such notice.</w:t>
      </w:r>
    </w:p>
    <w:p>
      <w:pPr>
        <w:pStyle w:val="TextBody"/>
        <w:bidi w:val="0"/>
        <w:spacing w:before="550" w:after="283"/>
        <w:jc w:val="left"/>
        <w:rPr>
          <w:rFonts w:ascii="Tahoma;sans-serif" w:hAnsi="Tahoma;sans-serif"/>
          <w:b/>
          <w:color w:val="000000"/>
          <w:sz w:val="19"/>
        </w:rPr>
      </w:pPr>
      <w:r>
        <w:rPr>
          <w:rFonts w:ascii="Tahoma;sans-serif" w:hAnsi="Tahoma;sans-serif"/>
          <w:b/>
          <w:color w:val="000000"/>
          <w:sz w:val="19"/>
        </w:rPr>
        <w:t>Non-COC Involuntary Termination</w:t>
      </w:r>
    </w:p>
    <w:p>
      <w:pPr>
        <w:pStyle w:val="TextBody"/>
        <w:bidi w:val="0"/>
        <w:spacing w:before="108" w:after="283"/>
        <w:jc w:val="both"/>
        <w:rPr>
          <w:rFonts w:ascii="Tahoma;sans-serif" w:hAnsi="Tahoma;sans-serif"/>
          <w:color w:val="000000"/>
          <w:sz w:val="19"/>
        </w:rPr>
      </w:pPr>
      <w:r>
        <w:rPr>
          <w:rFonts w:ascii="Tahoma;sans-serif" w:hAnsi="Tahoma;sans-serif"/>
          <w:color w:val="000000"/>
          <w:sz w:val="19"/>
        </w:rPr>
        <w:t>If, outside of the Change of Control Period, you incur a Non-COC Involuntary Termination, then subject to the terms and conditions of the Plan, you will receive:</w:t>
      </w:r>
    </w:p>
    <w:p>
      <w:pPr>
        <w:pStyle w:val="TextBody"/>
        <w:bidi w:val="0"/>
        <w:spacing w:before="119" w:after="283"/>
        <w:jc w:val="both"/>
        <w:rPr>
          <w:rFonts w:ascii="Tahoma" w:hAnsi="Tahoma"/>
          <w:b/>
          <w:color w:val="000000"/>
          <w:sz w:val="19"/>
        </w:rPr>
      </w:pPr>
      <w:r>
        <w:rPr>
          <w:rFonts w:ascii="Tahoma" w:hAnsi="Tahoma"/>
          <w:b/>
          <w:color w:val="000000"/>
          <w:sz w:val="19"/>
        </w:rPr>
        <w:t>1.</w:t>
      </w:r>
    </w:p>
    <w:p>
      <w:pPr>
        <w:pStyle w:val="TextBody"/>
        <w:bidi w:val="0"/>
        <w:spacing w:before="119" w:after="283"/>
        <w:jc w:val="both"/>
        <w:rPr/>
      </w:pPr>
      <w:r>
        <w:rPr>
          <w:rFonts w:ascii="Tahoma;sans-serif" w:hAnsi="Tahoma;sans-serif"/>
          <w:b/>
          <w:color w:val="000000"/>
          <w:sz w:val="19"/>
        </w:rPr>
        <w:t>Cash Severance Benefits</w:t>
      </w:r>
      <w:r>
        <w:rPr>
          <w:rFonts w:ascii="Tahoma;sans-serif" w:hAnsi="Tahoma;sans-serif"/>
          <w:color w:val="000000"/>
          <w:sz w:val="19"/>
        </w:rPr>
        <w:t>. An aggregate amount equal to 200% of your annual base salary in effect as of the date of your Non-COC Involuntary Termination paid in equal installments over a period of 24 months following your termination date.</w:t>
      </w:r>
    </w:p>
    <w:p>
      <w:pPr>
        <w:pStyle w:val="TextBody"/>
        <w:bidi w:val="0"/>
        <w:spacing w:before="109" w:after="283"/>
        <w:jc w:val="both"/>
        <w:rPr>
          <w:rFonts w:ascii="Tahoma" w:hAnsi="Tahoma"/>
          <w:b/>
          <w:color w:val="000000"/>
          <w:sz w:val="19"/>
        </w:rPr>
      </w:pPr>
      <w:r>
        <w:rPr>
          <w:rFonts w:ascii="Tahoma" w:hAnsi="Tahoma"/>
          <w:b/>
          <w:color w:val="000000"/>
          <w:sz w:val="19"/>
        </w:rPr>
        <w:t>2.</w:t>
      </w:r>
    </w:p>
    <w:p>
      <w:pPr>
        <w:pStyle w:val="TextBody"/>
        <w:bidi w:val="0"/>
        <w:spacing w:before="109" w:after="283"/>
        <w:jc w:val="both"/>
        <w:rPr/>
      </w:pPr>
      <w:r>
        <w:rPr>
          <w:rFonts w:ascii="Tahoma;sans-serif" w:hAnsi="Tahoma;sans-serif"/>
          <w:b/>
          <w:color w:val="000000"/>
          <w:sz w:val="19"/>
        </w:rPr>
        <w:t>Continued Medical Benefits</w:t>
      </w:r>
      <w:r>
        <w:rPr>
          <w:rFonts w:ascii="Tahoma;sans-serif" w:hAnsi="Tahoma;sans-serif"/>
          <w:color w:val="000000"/>
          <w:sz w:val="19"/>
        </w:rPr>
        <w:t>. Payment by the Company of continued health coverage under COBRA for a period of 12 months following your termination of employment.</w:t>
      </w:r>
    </w:p>
    <w:p>
      <w:pPr>
        <w:pStyle w:val="TextBody"/>
        <w:bidi w:val="0"/>
        <w:spacing w:before="23" w:after="615"/>
        <w:jc w:val="both"/>
        <w:rPr>
          <w:rFonts w:ascii="Tahoma" w:hAnsi="Tahoma"/>
          <w:b/>
          <w:color w:val="000000"/>
          <w:sz w:val="19"/>
        </w:rPr>
      </w:pPr>
      <w:r>
        <w:rPr>
          <w:rFonts w:ascii="Tahoma" w:hAnsi="Tahoma"/>
          <w:b/>
          <w:color w:val="000000"/>
          <w:sz w:val="19"/>
        </w:rPr>
        <w:t>3.</w:t>
      </w:r>
    </w:p>
    <w:p>
      <w:pPr>
        <w:pStyle w:val="TextBody"/>
        <w:bidi w:val="0"/>
        <w:spacing w:before="23" w:after="615"/>
        <w:jc w:val="both"/>
        <w:rPr/>
      </w:pPr>
      <w:r>
        <w:rPr>
          <w:rFonts w:ascii="Tahoma;sans-serif" w:hAnsi="Tahoma;sans-serif"/>
          <w:b/>
          <w:color w:val="000000"/>
          <w:sz w:val="19"/>
        </w:rPr>
        <w:t>Outplacement Services</w:t>
      </w:r>
      <w:r>
        <w:rPr>
          <w:rFonts w:ascii="Tahoma;sans-serif" w:hAnsi="Tahoma;sans-serif"/>
          <w:color w:val="000000"/>
          <w:sz w:val="19"/>
        </w:rPr>
        <w:t>. Outplacement services as described in Section 4.3 of the Plan.</w:t>
      </w:r>
    </w:p>
    <w:p>
      <w:pPr>
        <w:pStyle w:val="TextBody"/>
        <w:bidi w:val="0"/>
        <w:spacing w:before="0" w:after="615"/>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 - 14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77" w:after="283"/>
        <w:jc w:val="left"/>
        <w:rPr>
          <w:rFonts w:ascii="Tahoma;sans-serif" w:hAnsi="Tahoma;sans-serif"/>
          <w:b/>
          <w:color w:val="000000"/>
          <w:sz w:val="19"/>
        </w:rPr>
      </w:pPr>
      <w:r>
        <w:rPr>
          <w:rFonts w:ascii="Tahoma;sans-serif" w:hAnsi="Tahoma;sans-serif"/>
          <w:b/>
          <w:color w:val="000000"/>
          <w:sz w:val="19"/>
        </w:rPr>
        <w:t>COC Involuntary Termination</w:t>
      </w:r>
    </w:p>
    <w:p>
      <w:pPr>
        <w:pStyle w:val="TextBody"/>
        <w:bidi w:val="0"/>
        <w:spacing w:before="111" w:after="283"/>
        <w:jc w:val="both"/>
        <w:rPr>
          <w:rFonts w:ascii="Tahoma;sans-serif" w:hAnsi="Tahoma;sans-serif"/>
          <w:color w:val="000000"/>
          <w:sz w:val="19"/>
        </w:rPr>
      </w:pPr>
      <w:r>
        <w:rPr>
          <w:rFonts w:ascii="Tahoma;sans-serif" w:hAnsi="Tahoma;sans-serif"/>
          <w:color w:val="000000"/>
          <w:sz w:val="19"/>
        </w:rPr>
        <w:t>If, during the Change of Control Period, you incur a COC Involuntary Termination, then subject to the terms and conditions of the Plan, you will receive:</w:t>
      </w:r>
    </w:p>
    <w:p>
      <w:pPr>
        <w:pStyle w:val="TextBody"/>
        <w:bidi w:val="0"/>
        <w:spacing w:before="28" w:after="283"/>
        <w:jc w:val="left"/>
        <w:rPr>
          <w:rFonts w:ascii="Times New Roman" w:hAnsi="Times New Roman"/>
          <w:sz w:val="20"/>
        </w:rPr>
      </w:pPr>
      <w:r>
        <w:rPr>
          <w:rFonts w:ascii="Tahoma;sans-serif" w:hAnsi="Tahoma;sans-serif"/>
          <w:b/>
          <w:color w:val="000000"/>
          <w:sz w:val="19"/>
        </w:rPr>
        <w:t>1. Cash Severance Benefits</w:t>
      </w:r>
      <w:r>
        <w:rPr>
          <w:rFonts w:ascii="Tahoma;sans-serif" w:hAnsi="Tahoma;sans-serif"/>
          <w:color w:val="000000"/>
          <w:sz w:val="19"/>
        </w:rPr>
        <w:t>.</w:t>
      </w:r>
    </w:p>
    <w:p>
      <w:pPr>
        <w:pStyle w:val="TextBody"/>
        <w:bidi w:val="0"/>
        <w:spacing w:before="0" w:after="0"/>
        <w:jc w:val="both"/>
        <w:rPr>
          <w:rFonts w:ascii="Tahoma" w:hAnsi="Tahoma"/>
          <w:color w:val="000000"/>
          <w:sz w:val="19"/>
        </w:rPr>
      </w:pPr>
      <w:r>
        <w:rPr>
          <w:rFonts w:ascii="Tahoma" w:hAnsi="Tahoma"/>
          <w:color w:val="000000"/>
          <w:sz w:val="19"/>
        </w:rPr>
        <w:t>a.</w:t>
      </w:r>
    </w:p>
    <w:p>
      <w:pPr>
        <w:pStyle w:val="TextBody"/>
        <w:bidi w:val="0"/>
        <w:spacing w:before="0" w:after="0"/>
        <w:jc w:val="both"/>
        <w:rPr>
          <w:rFonts w:ascii="Tahoma;sans-serif" w:hAnsi="Tahoma;sans-serif"/>
          <w:color w:val="000000"/>
          <w:sz w:val="19"/>
        </w:rPr>
      </w:pPr>
      <w:r>
        <w:rPr>
          <w:rFonts w:ascii="Tahoma;sans-serif" w:hAnsi="Tahoma;sans-serif"/>
          <w:color w:val="000000"/>
          <w:sz w:val="19"/>
        </w:rPr>
        <w:t>A lump-sum payment equal to 250% of the sum of (x) your annual base salary (as in effect immediately prior to the Change of Control or your COC Involuntary Termination, whichever is greater), plus (y) the greater of (A) your annual target bonus (as in effect immediately prior to the Change of Control or your COC Involuntary Termination, whichever is greater), or (B) the average of the annual bonuses actually paid to you with respect to the three (3) fiscal years preceding the year in which your COC Involuntary Termination occurs; provided, however, that if the annual bonus with respect to the most recently preceding fiscal year has not yet been paid, your annual target bonus will be used as the bonus for that year in calculating the average.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pStyle w:val="TextBody"/>
        <w:bidi w:val="0"/>
        <w:spacing w:before="116" w:after="283"/>
        <w:jc w:val="both"/>
        <w:rPr>
          <w:rFonts w:ascii="Tahoma" w:hAnsi="Tahoma"/>
          <w:color w:val="000000"/>
          <w:sz w:val="19"/>
        </w:rPr>
      </w:pPr>
      <w:r>
        <w:rPr>
          <w:rFonts w:ascii="Tahoma" w:hAnsi="Tahoma"/>
          <w:color w:val="000000"/>
          <w:sz w:val="19"/>
        </w:rPr>
        <w:t>b.</w:t>
      </w:r>
    </w:p>
    <w:p>
      <w:pPr>
        <w:pStyle w:val="TextBody"/>
        <w:bidi w:val="0"/>
        <w:spacing w:before="116" w:after="283"/>
        <w:jc w:val="both"/>
        <w:rPr>
          <w:rFonts w:ascii="Tahoma;sans-serif" w:hAnsi="Tahoma;sans-serif"/>
          <w:color w:val="000000"/>
          <w:sz w:val="19"/>
        </w:rPr>
      </w:pPr>
      <w:r>
        <w:rPr>
          <w:rFonts w:ascii="Tahoma;sans-serif" w:hAnsi="Tahoma;sans-serif"/>
          <w:color w:val="000000"/>
          <w:sz w:val="19"/>
        </w:rPr>
        <w:t>A lump sum amount equal to (i) your annual target bonus (as in effect immediately prior to the Change of Control or your COC Involuntary Termination, whichever is greater), multiplied by (ii) a fraction, the numerator of which is the number of days worked by you during the year in which the COC Involuntary Termination occurs and the denominator of which is 365.</w:t>
      </w:r>
    </w:p>
    <w:p>
      <w:pPr>
        <w:pStyle w:val="TextBody"/>
        <w:bidi w:val="0"/>
        <w:spacing w:before="115" w:after="283"/>
        <w:jc w:val="both"/>
        <w:rPr>
          <w:rFonts w:ascii="Times New Roman" w:hAnsi="Times New Roman"/>
          <w:sz w:val="20"/>
        </w:rPr>
      </w:pPr>
      <w:r>
        <w:rPr>
          <w:rFonts w:ascii="Tahoma;sans-serif" w:hAnsi="Tahoma;sans-serif"/>
          <w:b/>
          <w:color w:val="000000"/>
          <w:sz w:val="19"/>
        </w:rPr>
        <w:t>2. Continued Medical Benefits</w:t>
      </w:r>
      <w:r>
        <w:rPr>
          <w:rFonts w:ascii="Tahoma;sans-serif" w:hAnsi="Tahoma;sans-serif"/>
          <w:color w:val="000000"/>
          <w:sz w:val="19"/>
        </w:rPr>
        <w:t>. Payment by the Company of continued health coverage under COBRA (or, for any period after expiration of COBRA eligibility, reimbursement of health insurance monthly costs up the amount of the COBRA premium that would be payable if COBRA were available at such time) for a period of 30 months following your termination of employment.</w:t>
      </w:r>
    </w:p>
    <w:p>
      <w:pPr>
        <w:pStyle w:val="TextBody"/>
        <w:bidi w:val="0"/>
        <w:spacing w:before="122" w:after="283"/>
        <w:jc w:val="both"/>
        <w:rPr>
          <w:rFonts w:ascii="Times New Roman" w:hAnsi="Times New Roman"/>
          <w:sz w:val="20"/>
        </w:rPr>
      </w:pPr>
      <w:r>
        <w:rPr>
          <w:rFonts w:ascii="Tahoma;sans-serif" w:hAnsi="Tahoma;sans-serif"/>
          <w:b/>
          <w:color w:val="000000"/>
          <w:sz w:val="19"/>
        </w:rPr>
        <w:t>3. Equity Award Vesting Acceleration</w:t>
      </w:r>
      <w:r>
        <w:rPr>
          <w:rFonts w:ascii="Tahoma;sans-serif" w:hAnsi="Tahoma;sans-serif"/>
          <w:color w:val="000000"/>
          <w:sz w:val="19"/>
        </w:rPr>
        <w:t>. 100% of your then-outstanding and unvested Equity Awards will become vested in full. If, however, an 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issued to you as promptly as practicable and no more than 30 days after they become issuable (whether through the vesting acceleration alone or upon an exercise of options following such vesting acceleration). Notwithstanding the foregoing, to the extent that the payment or settlement of an Equity Award is subject to Section 409A, the Equity Award will be paid or settled in a manner that will meet the</w:t>
      </w:r>
    </w:p>
    <w:p>
      <w:pPr>
        <w:pStyle w:val="TextBody"/>
        <w:bidi w:val="0"/>
        <w:spacing w:before="663"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 - 15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9" w:after="283"/>
        <w:jc w:val="both"/>
        <w:rPr>
          <w:rFonts w:ascii="Tahoma;sans-serif" w:hAnsi="Tahoma;sans-serif"/>
          <w:color w:val="000000"/>
          <w:sz w:val="19"/>
        </w:rPr>
      </w:pPr>
      <w:r>
        <w:rPr>
          <w:rFonts w:ascii="Tahoma;sans-serif" w:hAnsi="Tahoma;sans-serif"/>
          <w:color w:val="000000"/>
          <w:sz w:val="19"/>
        </w:rPr>
        <w:t>requirements of Section 409A such that the payment or settlement will not be subject to the additional tax or interest applicable under Section 409A.</w:t>
      </w:r>
    </w:p>
    <w:p>
      <w:pPr>
        <w:pStyle w:val="TextBody"/>
        <w:bidi w:val="0"/>
        <w:spacing w:before="23" w:after="283"/>
        <w:jc w:val="center"/>
        <w:rPr>
          <w:rFonts w:ascii="Times New Roman" w:hAnsi="Times New Roman"/>
          <w:sz w:val="20"/>
        </w:rPr>
      </w:pPr>
      <w:r>
        <w:rPr>
          <w:rFonts w:ascii="Tahoma;sans-serif" w:hAnsi="Tahoma;sans-serif"/>
          <w:b/>
          <w:color w:val="000000"/>
          <w:sz w:val="19"/>
        </w:rPr>
        <w:t>4. Outplacement Services</w:t>
      </w:r>
      <w:r>
        <w:rPr>
          <w:rFonts w:ascii="Tahoma;sans-serif" w:hAnsi="Tahoma;sans-serif"/>
          <w:color w:val="000000"/>
          <w:sz w:val="19"/>
        </w:rPr>
        <w:t>. Outplacement services as described in Section 5.4 of the Plan.</w:t>
      </w:r>
    </w:p>
    <w:p>
      <w:pPr>
        <w:pStyle w:val="TextBody"/>
        <w:bidi w:val="0"/>
        <w:spacing w:before="23" w:after="283"/>
        <w:jc w:val="left"/>
        <w:rPr>
          <w:rFonts w:ascii="Tahoma;sans-serif" w:hAnsi="Tahoma;sans-serif"/>
          <w:b/>
          <w:color w:val="000000"/>
          <w:sz w:val="19"/>
        </w:rPr>
      </w:pPr>
      <w:r>
        <w:rPr>
          <w:rFonts w:ascii="Tahoma;sans-serif" w:hAnsi="Tahoma;sans-serif"/>
          <w:b/>
          <w:color w:val="000000"/>
          <w:sz w:val="19"/>
        </w:rPr>
        <w:t>Additional Benefits</w:t>
      </w:r>
    </w:p>
    <w:p>
      <w:pPr>
        <w:pStyle w:val="TextBody"/>
        <w:bidi w:val="0"/>
        <w:spacing w:before="112" w:after="283"/>
        <w:jc w:val="both"/>
        <w:rPr>
          <w:rFonts w:ascii="Tahoma;sans-serif" w:hAnsi="Tahoma;sans-serif"/>
          <w:color w:val="000000"/>
          <w:sz w:val="19"/>
        </w:rPr>
      </w:pPr>
      <w:r>
        <w:rPr>
          <w:rFonts w:ascii="Tahoma;sans-serif" w:hAnsi="Tahoma;sans-serif"/>
          <w:color w:val="000000"/>
          <w:sz w:val="19"/>
        </w:rPr>
        <w:t>In addition to the foregoing benefits, in addition to the Plan benefits described above, if, during the Change of Control Period, you incur a COC Involuntary Termination, then subject to the terms and conditions of the Plan, the Company will reimburse your reasonable attorneys’ fees incurred in connection with the review of the Release and any related separation agreements and documents, up to $8,000.</w:t>
      </w:r>
    </w:p>
    <w:p>
      <w:pPr>
        <w:pStyle w:val="TextBody"/>
        <w:bidi w:val="0"/>
        <w:spacing w:before="161" w:after="283"/>
        <w:jc w:val="left"/>
        <w:rPr>
          <w:rFonts w:ascii="Tahoma;sans-serif" w:hAnsi="Tahoma;sans-serif"/>
          <w:b/>
          <w:color w:val="000000"/>
          <w:sz w:val="19"/>
        </w:rPr>
      </w:pPr>
      <w:r>
        <w:rPr>
          <w:rFonts w:ascii="Tahoma;sans-serif" w:hAnsi="Tahoma;sans-serif"/>
          <w:b/>
          <w:color w:val="000000"/>
          <w:sz w:val="19"/>
        </w:rPr>
        <w:t>General Provisions</w:t>
      </w:r>
    </w:p>
    <w:p>
      <w:pPr>
        <w:pStyle w:val="TextBody"/>
        <w:bidi w:val="0"/>
        <w:spacing w:before="112" w:after="283"/>
        <w:jc w:val="both"/>
        <w:rPr>
          <w:rFonts w:ascii="Tahoma;sans-serif" w:hAnsi="Tahoma;sans-serif"/>
          <w:color w:val="000000"/>
          <w:sz w:val="19"/>
        </w:rPr>
      </w:pPr>
      <w:r>
        <w:rPr>
          <w:rFonts w:ascii="Tahoma;sans-serif" w:hAnsi="Tahoma;sans-serif"/>
          <w:color w:val="000000"/>
          <w:sz w:val="19"/>
        </w:rPr>
        <w:t>For clarity, any severance payments provided for herein that are based on annual base salary (and any reduction to base salary constituting “Good Reason”) shall be calculated without giving effect to any temporary reduction in base salary imposed by the Company or agreed to by you in connection with any global pandemic or comparable global or U.S. emergency that threatens the Company’s economic position.</w:t>
      </w:r>
    </w:p>
    <w:p>
      <w:pPr>
        <w:pStyle w:val="TextBody"/>
        <w:bidi w:val="0"/>
        <w:spacing w:before="110" w:after="283"/>
        <w:jc w:val="both"/>
        <w:rPr>
          <w:rFonts w:ascii="Tahoma;sans-serif" w:hAnsi="Tahoma;sans-serif"/>
          <w:color w:val="000000"/>
          <w:sz w:val="19"/>
        </w:rPr>
      </w:pPr>
      <w:r>
        <w:rPr>
          <w:rFonts w:ascii="Tahoma;sans-serif" w:hAnsi="Tahoma;sans-serif"/>
          <w:color w:val="000000"/>
          <w:sz w:val="19"/>
        </w:rPr>
        <w:t>In order to receive any Severance Benefits for which you otherwise become eligible under the Plan, you must sign and deliver to the Company the Release, which must have become effective and irrevocable within the requisite period set forth in the Plan.</w:t>
      </w:r>
    </w:p>
    <w:p>
      <w:pPr>
        <w:pStyle w:val="TextBody"/>
        <w:bidi w:val="0"/>
        <w:spacing w:before="720" w:after="720"/>
        <w:jc w:val="center"/>
        <w:rPr>
          <w:rFonts w:ascii="Arial" w:hAnsi="Arial"/>
          <w:i/>
          <w:color w:val="000000"/>
          <w:sz w:val="20"/>
        </w:rPr>
      </w:pPr>
      <w:r>
        <w:rPr>
          <w:rFonts w:ascii="Arial" w:hAnsi="Arial"/>
          <w:i/>
          <w:color w:val="000000"/>
          <w:sz w:val="20"/>
        </w:rPr>
        <w:t>[Remainder of This Page Intentionally Left Blank]</w:t>
      </w:r>
    </w:p>
    <w:p>
      <w:pPr>
        <w:pStyle w:val="TextBody"/>
        <w:bidi w:val="0"/>
        <w:jc w:val="center"/>
        <w:rPr>
          <w:rFonts w:ascii="Times New Roman" w:hAnsi="Times New Roman"/>
          <w:color w:val="000000"/>
          <w:sz w:val="22"/>
        </w:rPr>
      </w:pPr>
      <w:r>
        <w:rPr>
          <w:rFonts w:ascii="Times New Roman" w:hAnsi="Times New Roman"/>
          <w:color w:val="000000"/>
          <w:sz w:val="22"/>
        </w:rPr>
        <w:t>A - 16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58"/>
        <w:jc w:val="both"/>
        <w:rPr>
          <w:rFonts w:ascii="Tahoma;sans-serif" w:hAnsi="Tahoma;sans-serif"/>
          <w:color w:val="000000"/>
          <w:sz w:val="19"/>
        </w:rPr>
      </w:pPr>
      <w:r>
        <w:rPr>
          <w:rFonts w:ascii="Tahoma;sans-serif" w:hAnsi="Tahoma;sans-serif"/>
          <w:color w:val="000000"/>
          <w:sz w:val="19"/>
        </w:rPr>
        <w:t>By your signature below, you and the Company agree that your participation in the Plan is governed by this Participation Agreement and the provisions of the Plan. Your signature below confirms that: (1) you have received a copy of the 2023 Change of Control and Severance Plan and Summary Plan Description (as amended and restated); (2) you have carefully read this Participation Agreement and the 2023 Change of Control and Severance Plan and Summary Plan Description (as amended and restated); (3) decisions and determinations by the Administrator under the Plan will be final and binding on you and your successors; and (4) participation in the Plan and this Participation Agreement replaces in its entirety any severance and/or change of control provisions set forth in any offer letter, employment agreement and/or Equity Award agreement, including, but not limited to, the Prior Plan, the 2023 Change of Control and Severance Plan Participation Agreement with the Company dated July 27, 2023 and your Employment and Severance Agreement with the Company dated Jan 19, 2022.</w:t>
      </w:r>
    </w:p>
    <w:p>
      <w:pPr>
        <w:pStyle w:val="TextBody"/>
        <w:bidi w:val="0"/>
        <w:spacing w:before="0" w:after="158"/>
        <w:jc w:val="both"/>
        <w:rPr/>
      </w:pPr>
      <w:r>
        <w:rPr/>
        <w:t> </w:t>
      </w:r>
    </w:p>
    <w:tbl>
      <w:tblPr>
        <w:tblW w:w="5398" w:type="dxa"/>
        <w:jc w:val="left"/>
        <w:tblInd w:w="0" w:type="dxa"/>
        <w:tblLayout w:type="fixed"/>
        <w:tblCellMar>
          <w:top w:w="28" w:type="dxa"/>
          <w:left w:w="28" w:type="dxa"/>
          <w:bottom w:w="28" w:type="dxa"/>
          <w:right w:w="28" w:type="dxa"/>
        </w:tblCellMar>
      </w:tblPr>
      <w:tblGrid>
        <w:gridCol w:w="3391"/>
        <w:gridCol w:w="146"/>
        <w:gridCol w:w="186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STANDARD BIOTOOLS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PARTICIPANT</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r>
    </w:tbl>
    <w:p>
      <w:pPr>
        <w:pStyle w:val="TextBody"/>
        <w:bidi w:val="0"/>
        <w:jc w:val="left"/>
        <w:rPr/>
      </w:pPr>
      <w:r>
        <w:rPr/>
        <w:t> </w:t>
      </w:r>
    </w:p>
    <w:p>
      <w:pPr>
        <w:pStyle w:val="TextBody"/>
        <w:bidi w:val="0"/>
        <w:spacing w:before="449" w:after="720"/>
        <w:jc w:val="both"/>
        <w:rPr>
          <w:rFonts w:ascii="Tahoma;sans-serif" w:hAnsi="Tahoma;sans-serif"/>
          <w:color w:val="000000"/>
          <w:sz w:val="19"/>
        </w:rPr>
      </w:pPr>
      <w:r>
        <w:rPr>
          <w:rFonts w:ascii="Tahoma;sans-serif" w:hAnsi="Tahoma;sans-serif"/>
          <w:color w:val="000000"/>
          <w:sz w:val="19"/>
        </w:rPr>
        <w:t>Attachment: Standard BioTools Inc. 2023 Change of Control and Severance Plan and Summary Plan Description (as amended and restated).</w:t>
      </w:r>
    </w:p>
    <w:p>
      <w:pPr>
        <w:pStyle w:val="TextBody"/>
        <w:bidi w:val="0"/>
        <w:jc w:val="center"/>
        <w:rPr>
          <w:rFonts w:ascii="Tahoma;sans-serif" w:hAnsi="Tahoma;sans-serif"/>
          <w:i/>
          <w:color w:val="000000"/>
          <w:sz w:val="19"/>
        </w:rPr>
      </w:pPr>
      <w:r>
        <w:rPr>
          <w:rFonts w:ascii="Tahoma;sans-serif" w:hAnsi="Tahoma;sans-serif"/>
          <w:i/>
          <w:color w:val="000000"/>
          <w:sz w:val="19"/>
        </w:rPr>
        <w:t>[Signature Page to the Participation Agreement]</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 - 17</w:t>
      </w:r>
    </w:p>
    <w:p>
      <w:pPr>
        <w:pStyle w:val="HorizontalLine"/>
        <w:pBdr>
          <w:bottom w:val="double" w:sz="2" w:space="0" w:color="808080"/>
        </w:pBdr>
        <w:bidi w:val="0"/>
        <w:spacing w:before="0" w:after="283"/>
        <w:jc w:val="left"/>
        <w:rPr/>
      </w:pPr>
      <w:r>
        <w:rPr/>
      </w:r>
    </w:p>
    <w:p>
      <w:pPr>
        <w:pStyle w:val="TextBody"/>
        <w:bidi w:val="0"/>
        <w:jc w:val="left"/>
        <w:rPr/>
      </w:pPr>
      <w:bookmarkStart w:id="11" w:name="lab-ex10_5.htm"/>
      <w:bookmarkStart w:id="12" w:name="kslabex10_5"/>
      <w:bookmarkEnd w:id="11"/>
      <w:bookmarkEnd w:id="12"/>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10.5</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CEO Participation Agreement</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spacing w:before="0" w:after="240"/>
        <w:jc w:val="center"/>
        <w:rPr>
          <w:rFonts w:ascii="Times New Roman" w:hAnsi="Times New Roman"/>
          <w:sz w:val="20"/>
        </w:rPr>
      </w:pPr>
      <w:r>
        <w:rPr>
          <w:rFonts w:ascii="Times New Roman" w:hAnsi="Times New Roman"/>
          <w:b/>
          <w:color w:val="000000"/>
          <w:sz w:val="24"/>
        </w:rPr>
        <w:t>Standard BioTools Inc. 2023 Change of Control and Severance Plan (as amended and restated, May 21, 2026)</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Participation Agreement</w:t>
      </w:r>
    </w:p>
    <w:p>
      <w:pPr>
        <w:pStyle w:val="TextBody"/>
        <w:bidi w:val="0"/>
        <w:spacing w:before="0" w:after="240"/>
        <w:jc w:val="both"/>
        <w:rPr>
          <w:rFonts w:ascii="Times New Roman" w:hAnsi="Times New Roman"/>
          <w:sz w:val="20"/>
        </w:rPr>
      </w:pPr>
      <w:r>
        <w:rPr>
          <w:rFonts w:ascii="Times New Roman" w:hAnsi="Times New Roman"/>
          <w:color w:val="000000"/>
          <w:sz w:val="24"/>
        </w:rPr>
        <w:t>Standard BioTools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is pleased to inform you that you have been selected to participate in the Company’s 2023 Change of Control and Severance Plan, as amended and restated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as a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order to actually become a participant in the Plan, you must complete and sign this Participation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Definition of “Good Reason”</w:t>
      </w:r>
    </w:p>
    <w:p>
      <w:pPr>
        <w:pStyle w:val="TextBody"/>
        <w:bidi w:val="0"/>
        <w:spacing w:before="0" w:after="240"/>
        <w:jc w:val="both"/>
        <w:rPr/>
      </w:pPr>
      <w:r>
        <w:rPr>
          <w:color w:val="000000"/>
        </w:rPr>
        <w:t>“</w:t>
      </w:r>
      <w:r>
        <w:rPr>
          <w:rFonts w:ascii="Times New Roman" w:hAnsi="Times New Roman"/>
          <w:b/>
          <w:i/>
          <w:color w:val="000000"/>
          <w:sz w:val="24"/>
        </w:rPr>
        <w:t>Good Reason</w:t>
      </w:r>
      <w:r>
        <w:rPr>
          <w:rFonts w:ascii="Times New Roman" w:hAnsi="Times New Roman"/>
          <w:color w:val="000000"/>
          <w:sz w:val="20"/>
        </w:rPr>
        <w:t xml:space="preserve">” </w:t>
      </w:r>
      <w:r>
        <w:rPr>
          <w:rFonts w:ascii="Times New Roman" w:hAnsi="Times New Roman"/>
          <w:color w:val="000000"/>
          <w:sz w:val="24"/>
        </w:rPr>
        <w:t>means the occurrence of one or more of the following events effected without your prior consent, provided you terminate your employment with the Company within six months following the initial existence of the “Good Reason” condition (discussed below): (i) the assignment to you of any duties or the reduction of your then-current duties, either of which results in a material diminution in your then-current position or responsibilities with the Company including, without limitation, any negative change in reporting hierarchy involving you or the person to whom you directly report; (ii) a material reduction by the Company in your then-current base salary; (iii) a material change in the geographic location at which you must perform services (for purposes of this Participation Agreement, your relocation to a facility or a location more than 50 miles from your then-present location shall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Company cure period of 30 days following the date of such notice.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Non-COC Involuntary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outside of the Change of Control Period, you incur a Non-COC Involuntary Termination, then subject to the terms and conditions of the Plan, you will receive:</w:t>
      </w:r>
    </w:p>
    <w:p>
      <w:pPr>
        <w:pStyle w:val="TextBody"/>
        <w:bidi w:val="0"/>
        <w:spacing w:before="0" w:after="240"/>
        <w:jc w:val="both"/>
        <w:rPr>
          <w:rFonts w:ascii="Times New Roman" w:hAnsi="Times New Roman"/>
          <w:sz w:val="20"/>
        </w:rPr>
      </w:pPr>
      <w:r>
        <w:rPr>
          <w:rFonts w:ascii="Times New Roman" w:hAnsi="Times New Roman"/>
          <w:b/>
          <w:color w:val="000000"/>
          <w:sz w:val="24"/>
        </w:rPr>
        <w:t>1.</w:t>
      </w:r>
      <w:r>
        <w:rPr>
          <w:rFonts w:ascii="Times New Roman" w:hAnsi="Times New Roman"/>
          <w:color w:val="000000"/>
          <w:sz w:val="20"/>
        </w:rPr>
        <w:t xml:space="preserve"> </w:t>
      </w:r>
      <w:r>
        <w:rPr>
          <w:rFonts w:ascii="Times New Roman" w:hAnsi="Times New Roman"/>
          <w:b/>
          <w:color w:val="000000"/>
          <w:sz w:val="24"/>
        </w:rPr>
        <w:t>Cash Severance Benefits</w:t>
      </w:r>
      <w:r>
        <w:rPr>
          <w:rFonts w:ascii="Times New Roman" w:hAnsi="Times New Roman"/>
          <w:color w:val="000000"/>
          <w:sz w:val="24"/>
        </w:rPr>
        <w:t>. An aggregate amount equal to 200% of your annual base salary in effect as of the date of your Non-COC Involuntary Termination paid in equal installments over a period of 24 months following your termination date.</w:t>
      </w:r>
    </w:p>
    <w:p>
      <w:pPr>
        <w:pStyle w:val="TextBody"/>
        <w:bidi w:val="0"/>
        <w:spacing w:before="0" w:after="240"/>
        <w:jc w:val="both"/>
        <w:rPr>
          <w:rFonts w:ascii="Times New Roman" w:hAnsi="Times New Roman"/>
          <w:sz w:val="20"/>
        </w:rPr>
      </w:pPr>
      <w:r>
        <w:rPr>
          <w:rFonts w:ascii="Times New Roman" w:hAnsi="Times New Roman"/>
          <w:b/>
          <w:color w:val="000000"/>
          <w:sz w:val="24"/>
        </w:rPr>
        <w:t>2.</w:t>
      </w:r>
      <w:r>
        <w:rPr>
          <w:rFonts w:ascii="Times New Roman" w:hAnsi="Times New Roman"/>
          <w:color w:val="000000"/>
          <w:sz w:val="20"/>
        </w:rPr>
        <w:t xml:space="preserve"> </w:t>
      </w:r>
      <w:r>
        <w:rPr>
          <w:rFonts w:ascii="Times New Roman" w:hAnsi="Times New Roman"/>
          <w:b/>
          <w:color w:val="000000"/>
          <w:sz w:val="24"/>
        </w:rPr>
        <w:t>Continued Medical Benefits</w:t>
      </w:r>
      <w:r>
        <w:rPr>
          <w:rFonts w:ascii="Times New Roman" w:hAnsi="Times New Roman"/>
          <w:color w:val="000000"/>
          <w:sz w:val="24"/>
        </w:rPr>
        <w:t>. Payment by the Company of continued health coverage under COBRA for a period of 12 months following your termination of employment.</w:t>
      </w:r>
    </w:p>
    <w:p>
      <w:pPr>
        <w:pStyle w:val="TextBody"/>
        <w:bidi w:val="0"/>
        <w:spacing w:before="0" w:after="240"/>
        <w:jc w:val="both"/>
        <w:rPr>
          <w:rFonts w:ascii="Times New Roman" w:hAnsi="Times New Roman"/>
          <w:sz w:val="20"/>
        </w:rPr>
      </w:pPr>
      <w:r>
        <w:rPr>
          <w:rFonts w:ascii="Times New Roman" w:hAnsi="Times New Roman"/>
          <w:b/>
          <w:color w:val="000000"/>
          <w:sz w:val="24"/>
        </w:rPr>
        <w:t>3.</w:t>
      </w:r>
      <w:r>
        <w:rPr>
          <w:rFonts w:ascii="Times New Roman" w:hAnsi="Times New Roman"/>
          <w:color w:val="000000"/>
          <w:sz w:val="20"/>
        </w:rPr>
        <w:t xml:space="preserve"> </w:t>
      </w:r>
      <w:r>
        <w:rPr>
          <w:rFonts w:ascii="Times New Roman" w:hAnsi="Times New Roman"/>
          <w:b/>
          <w:color w:val="000000"/>
          <w:sz w:val="24"/>
        </w:rPr>
        <w:t>Outplacement Services</w:t>
      </w:r>
      <w:r>
        <w:rPr>
          <w:rFonts w:ascii="Times New Roman" w:hAnsi="Times New Roman"/>
          <w:color w:val="000000"/>
          <w:sz w:val="24"/>
        </w:rPr>
        <w:t>. Outplacement services as described in Section 4.3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COC Involuntary Termination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during the Change of Control Period, you incur a COC Involuntary Termination, then subject to the terms and conditions of the Plan, you will receive:</w:t>
      </w:r>
    </w:p>
    <w:p>
      <w:pPr>
        <w:pStyle w:val="TextBody"/>
        <w:bidi w:val="0"/>
        <w:spacing w:before="0" w:after="240"/>
        <w:jc w:val="both"/>
        <w:rPr>
          <w:rFonts w:ascii="Times New Roman" w:hAnsi="Times New Roman"/>
          <w:sz w:val="20"/>
        </w:rPr>
      </w:pPr>
      <w:r>
        <w:rPr>
          <w:rFonts w:ascii="Times New Roman" w:hAnsi="Times New Roman"/>
          <w:b/>
          <w:color w:val="000000"/>
          <w:sz w:val="24"/>
        </w:rPr>
        <w:t>1.</w:t>
      </w:r>
      <w:r>
        <w:rPr>
          <w:rFonts w:ascii="Times New Roman" w:hAnsi="Times New Roman"/>
          <w:color w:val="000000"/>
          <w:sz w:val="20"/>
        </w:rPr>
        <w:t xml:space="preserve"> </w:t>
      </w:r>
      <w:r>
        <w:rPr>
          <w:rFonts w:ascii="Times New Roman" w:hAnsi="Times New Roman"/>
          <w:b/>
          <w:color w:val="000000"/>
          <w:sz w:val="24"/>
        </w:rPr>
        <w:t>Cash Severance Benefits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 lump-sum payment equal to 250% of the sum of (x) your annual base salary (as in effect immediately prior to the Change of Control or your COC Involuntary Termination, whichever is greater), plus (y) the greater of (A) your annual target bonus (as in effect immediately prior to the Change of Control or your COC Involuntary Termination, whichever is greater), or (B) the average of the annual bonuses actually paid to you with respect to the three (3) fiscal years preceding the year in which your COC Involuntary Termination occurs; provided, however, that if the annual bonus with respect to the most recently preceding fiscal year has not yet been paid, your annual target bonus will be used as the bonus for that year in calculating the average.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 lump sum amount equal to (i) your annual target bonus (as in effect immediately prior to the Change of Control or your COC Involuntary Termination, whichever is greater), multiplied by (ii) a fraction, the numerator of which is the number of days worked by you during the year in which the COC Involuntary Termination occurs and the denominator of which is 365.</w:t>
      </w:r>
    </w:p>
    <w:p>
      <w:pPr>
        <w:pStyle w:val="TextBody"/>
        <w:bidi w:val="0"/>
        <w:spacing w:before="0" w:after="240"/>
        <w:jc w:val="both"/>
        <w:rPr>
          <w:rFonts w:ascii="Times New Roman" w:hAnsi="Times New Roman"/>
          <w:sz w:val="20"/>
        </w:rPr>
      </w:pPr>
      <w:r>
        <w:rPr>
          <w:rFonts w:ascii="Times New Roman" w:hAnsi="Times New Roman"/>
          <w:b/>
          <w:color w:val="000000"/>
          <w:sz w:val="24"/>
        </w:rPr>
        <w:t>2. Continued Medical Benefits</w:t>
      </w:r>
      <w:r>
        <w:rPr>
          <w:rFonts w:ascii="Times New Roman" w:hAnsi="Times New Roman"/>
          <w:color w:val="000000"/>
          <w:sz w:val="24"/>
        </w:rPr>
        <w:t>. Payment by the Company of continued health coverage under COBRA (or, for any period after expiration of COBRA eligibility, reimbursement of health insurance monthly costs up the amount of the COBRA premium that would be payable if COBRA were available at such time) for a period of 30 months following your termination of employment.</w:t>
      </w:r>
    </w:p>
    <w:p>
      <w:pPr>
        <w:pStyle w:val="TextBody"/>
        <w:bidi w:val="0"/>
        <w:spacing w:before="0" w:after="240"/>
        <w:jc w:val="both"/>
        <w:rPr>
          <w:rFonts w:ascii="Times New Roman" w:hAnsi="Times New Roman"/>
          <w:sz w:val="20"/>
        </w:rPr>
      </w:pPr>
      <w:r>
        <w:rPr>
          <w:rFonts w:ascii="Times New Roman" w:hAnsi="Times New Roman"/>
          <w:b/>
          <w:color w:val="000000"/>
          <w:sz w:val="24"/>
        </w:rPr>
        <w:t>3.</w:t>
      </w:r>
      <w:r>
        <w:rPr>
          <w:rFonts w:ascii="Times New Roman" w:hAnsi="Times New Roman"/>
          <w:color w:val="000000"/>
          <w:sz w:val="20"/>
        </w:rPr>
        <w:t xml:space="preserve"> </w:t>
      </w:r>
      <w:r>
        <w:rPr>
          <w:rFonts w:ascii="Times New Roman" w:hAnsi="Times New Roman"/>
          <w:b/>
          <w:color w:val="000000"/>
          <w:sz w:val="24"/>
        </w:rPr>
        <w:t>Equity Award Vesting Acceleration</w:t>
      </w:r>
      <w:r>
        <w:rPr>
          <w:rFonts w:ascii="Times New Roman" w:hAnsi="Times New Roman"/>
          <w:color w:val="000000"/>
          <w:sz w:val="24"/>
        </w:rPr>
        <w:t>. 100% of your then-outstanding and unvested Equity Awards will become vested in full. If, however, an 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issued to you as promptly as practicable and no more than 30 days after they become issuable (whether through the vesting acceleration alone or upon an exercise of options following such vesting acceleration). Notwithstanding the foregoing, to the extent that the payment or settlement of an Equity Award is subject to Section 409A, the Equity Award will be paid or settled in a manner that will meet the</w:t>
      </w:r>
      <w:r>
        <w:rPr>
          <w:rFonts w:ascii="Times New Roman" w:hAnsi="Times New Roman"/>
          <w:color w:val="000000"/>
          <w:sz w:val="20"/>
        </w:rPr>
        <w:t xml:space="preserve"> </w:t>
      </w:r>
      <w:r>
        <w:rPr>
          <w:rFonts w:ascii="Times New Roman" w:hAnsi="Times New Roman"/>
          <w:color w:val="000000"/>
          <w:sz w:val="24"/>
        </w:rPr>
        <w:t>requirements of Section 409A such that the payment or settlement will not be subject to the additional tax or interest applicable under Section 409A.</w:t>
      </w:r>
    </w:p>
    <w:p>
      <w:pPr>
        <w:pStyle w:val="TextBody"/>
        <w:bidi w:val="0"/>
        <w:spacing w:before="0" w:after="240"/>
        <w:jc w:val="both"/>
        <w:rPr>
          <w:rFonts w:ascii="Times New Roman" w:hAnsi="Times New Roman"/>
          <w:sz w:val="20"/>
        </w:rPr>
      </w:pPr>
      <w:r>
        <w:rPr>
          <w:rFonts w:ascii="Times New Roman" w:hAnsi="Times New Roman"/>
          <w:b/>
          <w:color w:val="000000"/>
          <w:sz w:val="24"/>
        </w:rPr>
        <w:t>4.</w:t>
      </w:r>
      <w:r>
        <w:rPr>
          <w:rFonts w:ascii="Times New Roman" w:hAnsi="Times New Roman"/>
          <w:color w:val="000000"/>
          <w:sz w:val="20"/>
        </w:rPr>
        <w:t xml:space="preserve"> </w:t>
      </w:r>
      <w:r>
        <w:rPr>
          <w:rFonts w:ascii="Times New Roman" w:hAnsi="Times New Roman"/>
          <w:b/>
          <w:color w:val="000000"/>
          <w:sz w:val="24"/>
        </w:rPr>
        <w:t>Outplacement Services</w:t>
      </w:r>
      <w:r>
        <w:rPr>
          <w:rFonts w:ascii="Times New Roman" w:hAnsi="Times New Roman"/>
          <w:color w:val="000000"/>
          <w:sz w:val="24"/>
        </w:rPr>
        <w:t>. Outplacement services as described in Section 5.4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Additional Benefits</w:t>
      </w:r>
    </w:p>
    <w:p>
      <w:pPr>
        <w:pStyle w:val="TextBody"/>
        <w:bidi w:val="0"/>
        <w:spacing w:before="0" w:after="240"/>
        <w:jc w:val="both"/>
        <w:rPr>
          <w:rFonts w:ascii="Times New Roman" w:hAnsi="Times New Roman"/>
          <w:sz w:val="20"/>
        </w:rPr>
      </w:pPr>
      <w:r>
        <w:rPr>
          <w:rFonts w:ascii="Times New Roman" w:hAnsi="Times New Roman"/>
          <w:color w:val="000000"/>
          <w:sz w:val="24"/>
        </w:rPr>
        <w:t>In addition to the foregoing benefits, in addition to the Plan benefits described above, if, during the Change of Control Period, you incur a COC Involuntary Termination, then subject to the terms and conditions of the Plan,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A - 2</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reimburse your reasonable attorneys’ fees incurred in connection with the review of the Release and any related separation agreements and documents, up to $8,000.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General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clarity, any severance payments provided for herein that are based on annual base salary (and any reduction to base salary constituting “Good Reason”) shall be calculated without giving effect to any temporary reduction in base salary imposed by the Company or agreed to by you in connection with any global pandemic or comparable global or U.S. emergency that threatens the Company’s economic position.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order to receive any Severance Benefits for which you otherwise become eligible under the Plan, you must sign and deliver to the Company the Release, which must have become effective and irrevocable within the requisite period set forth in the Plan.</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[Remainder of This Page Intentionally Left Blank]</w:t>
      </w:r>
    </w:p>
    <w:p>
      <w:pPr>
        <w:pStyle w:val="TextBody"/>
        <w:bidi w:val="0"/>
        <w:spacing w:before="0" w:after="12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r>
    </w:p>
    <w:p>
      <w:pPr>
        <w:pStyle w:val="TextBody"/>
        <w:bidi w:val="0"/>
        <w:jc w:val="center"/>
        <w:rPr>
          <w:rFonts w:ascii="Times New Roman" w:hAnsi="Times New Roman"/>
          <w:color w:val="000000"/>
          <w:sz w:val="20"/>
        </w:rPr>
      </w:pPr>
      <w:r>
        <w:rPr>
          <w:rFonts w:ascii="Times New Roman" w:hAnsi="Times New Roman"/>
          <w:color w:val="000000"/>
          <w:sz w:val="20"/>
        </w:rPr>
        <w:t>A - 3</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your signature below, you and the Company agree that your participation in the Plan is governed by this Participation Agreement and the provisions of the Plan. Your signature below confirms that: (1) you have received a copy of the 2023 Change of Control and Severance Plan and Summary Plan Description (as amended and restated); (2) you have carefully read this Participation Agreement and the 2023 Change of Control and Severance Plan and Summary Plan Description (as amended and restated); (3) decisions and determinations by the Administrator under the Plan will be final and binding on you and your successors; and (4) participation in the Plan and this Participation Agreement replaces in its entirety any severance and/or change of control provisions set forth in any offer letter, employment agreement and/or Equity Award agreement, including, but not limited to, the Prior Plan, the 2023 Change of Control and Severance Plan Participation Agreement with the Company dated July 27, 2023 and your Employment and Severance Agreement with the Company dated Jan 19, 2022.</w:t>
      </w:r>
    </w:p>
    <w:tbl>
      <w:tblPr>
        <w:tblW w:w="5398" w:type="dxa"/>
        <w:jc w:val="left"/>
        <w:tblInd w:w="0" w:type="dxa"/>
        <w:tblLayout w:type="fixed"/>
        <w:tblCellMar>
          <w:top w:w="28" w:type="dxa"/>
          <w:left w:w="28" w:type="dxa"/>
          <w:bottom w:w="28" w:type="dxa"/>
          <w:right w:w="28" w:type="dxa"/>
        </w:tblCellMar>
      </w:tblPr>
      <w:tblGrid>
        <w:gridCol w:w="3391"/>
        <w:gridCol w:w="146"/>
        <w:gridCol w:w="186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STANDARD BIOTOOLS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PARTICIPANT</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Carey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Carey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5/22/2026</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r>
    </w:tbl>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Attachment: Standard BioTools Inc. 2023 Change of Control and Severance Plan and Summary Plan Description (as amended and restated).</w:t>
      </w:r>
    </w:p>
    <w:p>
      <w:pPr>
        <w:pStyle w:val="TextBody"/>
        <w:bidi w:val="0"/>
        <w:spacing w:before="0" w:after="12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 - 4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ahoma">
    <w:altName w:val="sans-serif"/>
    <w:charset w:val="01"/>
    <w:family w:val="auto"/>
    <w:pitch w:val="default"/>
  </w:font>
  <w:font w:name="Tahoma">
    <w:charset w:val="01"/>
    <w:family w:val="auto"/>
    <w:pitch w:val="default"/>
  </w:font>
  <w:font w:name="Arial">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22682</Words>
  <Characters>118266</Characters>
  <CharactersWithSpaces>140652</CharactersWithSpaces>
  <Paragraphs>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