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04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Kim Hanjoon Alex</w:t>
              </w:r>
            </w:hyperlink>
          </w:p>
        </w:tc>
        <w:tc>
          <w:tcPr>
            <w:tcW w:w="1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STANDARD BIOTOOLS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LAB</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16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720" w:type="dxa"/>
            <w:vAlign w:val="bottom"/>
            <w:tcBorders>
              <w:top w:val="single" w:sz="8" w:color="0000EE"/>
            </w:tcBorders>
          </w:tcPr>
          <w:p>
            <w:pPr>
              <w:spacing w:after="0"/>
              <w:rPr>
                <w:sz w:val="5"/>
                <w:szCs w:val="5"/>
                <w:color w:val="auto"/>
              </w:rPr>
            </w:pPr>
          </w:p>
        </w:tc>
        <w:tc>
          <w:tcPr>
            <w:tcW w:w="1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860" w:type="dxa"/>
            <w:vAlign w:val="bottom"/>
            <w:tcBorders>
              <w:top w:val="single" w:sz="8" w:color="0000EE"/>
              <w:bottom w:val="single" w:sz="8" w:color="9A9A9A"/>
            </w:tcBorders>
          </w:tcPr>
          <w:p>
            <w:pPr>
              <w:spacing w:after="0"/>
              <w:rPr>
                <w:sz w:val="16"/>
                <w:szCs w:val="16"/>
                <w:color w:val="auto"/>
              </w:rPr>
            </w:pPr>
          </w:p>
        </w:tc>
        <w:tc>
          <w:tcPr>
            <w:tcW w:w="400" w:type="dxa"/>
            <w:vAlign w:val="bottom"/>
            <w:tcBorders>
              <w:bottom w:val="single" w:sz="8" w:color="9A9A9A"/>
            </w:tcBorders>
          </w:tcPr>
          <w:p>
            <w:pPr>
              <w:spacing w:after="0"/>
              <w:rPr>
                <w:sz w:val="16"/>
                <w:szCs w:val="16"/>
                <w:color w:val="auto"/>
              </w:rPr>
            </w:pPr>
          </w:p>
        </w:tc>
        <w:tc>
          <w:tcPr>
            <w:tcW w:w="160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780" w:type="dxa"/>
            <w:vAlign w:val="bottom"/>
            <w:tcBorders>
              <w:top w:val="single" w:sz="8" w:color="EEEEEE"/>
            </w:tcBorders>
          </w:tcPr>
          <w:p>
            <w:pPr>
              <w:spacing w:after="0"/>
              <w:rPr>
                <w:sz w:val="4"/>
                <w:szCs w:val="4"/>
                <w:color w:val="auto"/>
              </w:rPr>
            </w:pPr>
          </w:p>
        </w:tc>
        <w:tc>
          <w:tcPr>
            <w:tcW w:w="860" w:type="dxa"/>
            <w:vAlign w:val="bottom"/>
            <w:tcBorders>
              <w:top w:val="single" w:sz="8" w:color="EEEEEE"/>
            </w:tcBorders>
          </w:tcPr>
          <w:p>
            <w:pPr>
              <w:spacing w:after="0"/>
              <w:rPr>
                <w:sz w:val="4"/>
                <w:szCs w:val="4"/>
                <w:color w:val="auto"/>
              </w:rPr>
            </w:pPr>
          </w:p>
        </w:tc>
        <w:tc>
          <w:tcPr>
            <w:tcW w:w="400" w:type="dxa"/>
            <w:vAlign w:val="bottom"/>
            <w:tcBorders>
              <w:top w:val="single" w:sz="8" w:color="EEEEEE"/>
            </w:tcBorders>
          </w:tcPr>
          <w:p>
            <w:pPr>
              <w:spacing w:after="0"/>
              <w:rPr>
                <w:sz w:val="4"/>
                <w:szCs w:val="4"/>
                <w:color w:val="auto"/>
              </w:rPr>
            </w:pPr>
          </w:p>
        </w:tc>
        <w:tc>
          <w:tcPr>
            <w:tcW w:w="1600" w:type="dxa"/>
            <w:vAlign w:val="bottom"/>
            <w:tcBorders>
              <w:top w:val="single" w:sz="8" w:color="EEEEEE"/>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7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26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STANDARD BIOTOOLS INC.</w:t>
            </w:r>
          </w:p>
        </w:tc>
        <w:tc>
          <w:tcPr>
            <w:tcW w:w="288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02/23/2026</w:t>
            </w: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40" w:type="dxa"/>
            <w:vAlign w:val="bottom"/>
          </w:tcPr>
          <w:p>
            <w:pPr>
              <w:spacing w:after="0"/>
              <w:rPr>
                <w:sz w:val="8"/>
                <w:szCs w:val="8"/>
                <w:color w:val="auto"/>
              </w:rPr>
            </w:pPr>
          </w:p>
        </w:tc>
        <w:tc>
          <w:tcPr>
            <w:tcW w:w="364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7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50 MILK STREET, 10TH FLOOR</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422"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80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500" w:type="dxa"/>
            <w:vAlign w:val="bottom"/>
            <w:gridSpan w:val="8"/>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60" w:type="dxa"/>
            <w:vAlign w:val="bottom"/>
            <w:gridSpan w:val="2"/>
          </w:tcPr>
          <w:p>
            <w:pPr>
              <w:ind w:left="16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BOSTON</w:t>
            </w: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MA</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02109</w:t>
            </w: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800" w:type="dxa"/>
            <w:vAlign w:val="bottom"/>
            <w:tcBorders>
              <w:top w:val="single" w:sz="8" w:color="2C2C2C"/>
            </w:tcBorders>
            <w:gridSpan w:val="13"/>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02/23/2026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w w:val="93"/>
              </w:rPr>
              <w:t>12,740</w:t>
            </w:r>
            <w:r>
              <w:rPr>
                <w:rFonts w:ascii="Times New Roman" w:cs="Times New Roman" w:eastAsia="Times New Roman" w:hAnsi="Times New Roman"/>
                <w:sz w:val="22"/>
                <w:szCs w:val="22"/>
                <w:color w:val="008000"/>
                <w:w w:val="93"/>
                <w:vertAlign w:val="superscript"/>
              </w:rPr>
              <w:t>(1)</w:t>
            </w:r>
          </w:p>
        </w:tc>
        <w:tc>
          <w:tcPr>
            <w:tcW w:w="6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560" w:type="dxa"/>
            <w:vAlign w:val="bottom"/>
            <w:tcBorders>
              <w:bottom w:val="single" w:sz="8" w:color="2C2C2C"/>
            </w:tcBorders>
            <w:gridSpan w:val="2"/>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1.15</w:t>
            </w:r>
          </w:p>
        </w:tc>
        <w:tc>
          <w:tcPr>
            <w:tcW w:w="1200" w:type="dxa"/>
            <w:vAlign w:val="bottom"/>
            <w:tcBorders>
              <w:bottom w:val="single" w:sz="8" w:color="2C2C2C"/>
            </w:tcBorders>
            <w:gridSpan w:val="2"/>
          </w:tcPr>
          <w:p>
            <w:pPr>
              <w:ind w:left="160"/>
              <w:spacing w:after="0"/>
              <w:rPr>
                <w:sz w:val="20"/>
                <w:szCs w:val="20"/>
                <w:color w:val="auto"/>
              </w:rPr>
            </w:pPr>
            <w:r>
              <w:rPr>
                <w:rFonts w:ascii="Times New Roman" w:cs="Times New Roman" w:eastAsia="Times New Roman" w:hAnsi="Times New Roman"/>
                <w:sz w:val="17"/>
                <w:szCs w:val="17"/>
                <w:color w:val="0000FF"/>
              </w:rPr>
              <w:t>2,407,346</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7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20" w:type="dxa"/>
            <w:vAlign w:val="bottom"/>
            <w:gridSpan w:val="3"/>
          </w:tcPr>
          <w:p>
            <w:pPr>
              <w:ind w:left="4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3"/>
          </w:tcPr>
          <w:p>
            <w:pPr>
              <w:ind w:left="420"/>
              <w:spacing w:after="0" w:line="133"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22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were withheld from the reporting person to satisfy the tax withholding obligations that arose upon the vesting of restricted stock units granted to the reporting person on May 20, 2024 and March 21, 2025, which grants were originally reported on Form 4s filed with the U.S. Securities and Exchange Commission on May 21, 2024 and March 24, 2025, respectively.</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5,000 shares of common stock acquired by the reporting person on November 28, 2025 under the Issuer's Employee Stock Purchase Plan.</w:t>
      </w:r>
    </w:p>
    <w:p>
      <w:pPr>
        <w:spacing w:after="0" w:line="7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Hanjoon Alex Kim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1118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11885"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Tomone Tanaka, Attorney-in-</w:t>
        <w:tab/>
        <w:t>02/24/2026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2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89230"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919209" TargetMode="External"/><Relationship Id="rId14" Type="http://schemas.openxmlformats.org/officeDocument/2006/relationships/hyperlink" Target="http://www.sec.gov/cgi-bin/browse-edgar?action=getcompany&amp;CIK=00011621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2026-02-24T16:46:11Z</dcterms:created>
  <dcterms:modified xsi:type="dcterms:W3CDTF">2026-02-24T16:46:11Z</dcterms:modified>
</cp:coreProperties>
</file>