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5"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9" w:lineRule="exact"/>
        <w:rPr>
          <w:sz w:val="24"/>
          <w:szCs w:val="24"/>
          <w:color w:val="auto"/>
        </w:r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4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South San Francisco, California 94080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9"/>
              </w:rPr>
              <w:t>As of October 31, 2012, there were 24,989,328 shares of the Registrant’s common stock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6220" w:type="dxa"/>
            <w:vAlign w:val="bottom"/>
            <w:gridSpan w:val="10"/>
            <w:vMerge w:val="restart"/>
          </w:tcPr>
          <w:p>
            <w:pPr>
              <w:jc w:val="center"/>
              <w:ind w:right="4020"/>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INFORMATION</w:t>
              </w:r>
            </w:hyperlink>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22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9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200" w:type="dxa"/>
            <w:vAlign w:val="bottom"/>
            <w:tcBorders>
              <w:top w:val="single" w:sz="8" w:color="0000EE"/>
            </w:tcBorders>
            <w:gridSpan w:val="5"/>
          </w:tcPr>
          <w:p>
            <w:pPr>
              <w:spacing w:after="0"/>
              <w:rPr>
                <w:sz w:val="24"/>
                <w:szCs w:val="24"/>
                <w:color w:val="auto"/>
              </w:rPr>
            </w:pPr>
          </w:p>
        </w:tc>
        <w:tc>
          <w:tcPr>
            <w:tcW w:w="402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614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September 30, 2012 and December 31, 2011</w:t>
              </w:r>
            </w:hyperlink>
          </w:p>
        </w:tc>
        <w:tc>
          <w:tcPr>
            <w:tcW w:w="400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40" w:type="dxa"/>
            <w:vAlign w:val="bottom"/>
            <w:gridSpan w:val="2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for the three and nine months ended September 30, 2012 and</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40" w:type="dxa"/>
            <w:vAlign w:val="bottom"/>
            <w:tcBorders>
              <w:top w:val="single" w:sz="8" w:color="0000EE"/>
            </w:tcBorders>
            <w:gridSpan w:val="2"/>
          </w:tcPr>
          <w:p>
            <w:pPr>
              <w:spacing w:after="0"/>
              <w:rPr>
                <w:sz w:val="17"/>
                <w:szCs w:val="17"/>
                <w:color w:val="auto"/>
              </w:rPr>
            </w:pPr>
          </w:p>
        </w:tc>
        <w:tc>
          <w:tcPr>
            <w:tcW w:w="32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4"/>
              </w:rPr>
            </w:pPr>
            <w:hyperlink w:anchor="page4">
              <w:r>
                <w:rPr>
                  <w:rFonts w:ascii="Arial" w:cs="Arial" w:eastAsia="Arial" w:hAnsi="Arial"/>
                  <w:sz w:val="18"/>
                  <w:szCs w:val="18"/>
                  <w:color w:val="0000EE"/>
                  <w:w w:val="74"/>
                </w:rPr>
                <w:t>2011</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September 30, 2012 and 2011</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640" w:type="dxa"/>
            <w:vAlign w:val="bottom"/>
            <w:tcBorders>
              <w:top w:val="single" w:sz="8" w:color="0000EE"/>
            </w:tcBorders>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50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4"/>
          </w:tcPr>
          <w:p>
            <w:pPr>
              <w:spacing w:after="0"/>
              <w:rPr>
                <w:sz w:val="24"/>
                <w:szCs w:val="24"/>
                <w:color w:val="auto"/>
              </w:rPr>
            </w:pPr>
          </w:p>
        </w:tc>
        <w:tc>
          <w:tcPr>
            <w:tcW w:w="384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40" w:type="dxa"/>
            <w:vAlign w:val="bottom"/>
            <w:gridSpan w:val="9"/>
          </w:tcPr>
          <w:p>
            <w:pPr>
              <w:jc w:val="center"/>
              <w:ind w:right="4200"/>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410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840" w:type="dxa"/>
            <w:vAlign w:val="bottom"/>
            <w:tcBorders>
              <w:top w:val="single" w:sz="8" w:color="0000EE"/>
            </w:tcBorders>
            <w:gridSpan w:val="3"/>
          </w:tcPr>
          <w:p>
            <w:pPr>
              <w:spacing w:after="0"/>
              <w:rPr>
                <w:sz w:val="24"/>
                <w:szCs w:val="24"/>
                <w:color w:val="auto"/>
              </w:rPr>
            </w:pPr>
          </w:p>
        </w:tc>
        <w:tc>
          <w:tcPr>
            <w:tcW w:w="420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884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Exhibits</w:t>
              </w:r>
            </w:hyperlink>
          </w:p>
        </w:tc>
        <w:tc>
          <w:tcPr>
            <w:tcW w:w="3640" w:type="dxa"/>
            <w:vAlign w:val="bottom"/>
            <w:tcBorders>
              <w:top w:val="single" w:sz="8" w:color="0000EE"/>
            </w:tcBorders>
            <w:gridSpan w:val="8"/>
          </w:tcPr>
          <w:p>
            <w:pPr>
              <w:spacing w:after="0"/>
              <w:rPr>
                <w:sz w:val="24"/>
                <w:szCs w:val="24"/>
                <w:color w:val="auto"/>
              </w:rPr>
            </w:pPr>
          </w:p>
        </w:tc>
        <w:tc>
          <w:tcPr>
            <w:tcW w:w="590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02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00" w:type="dxa"/>
            <w:vAlign w:val="bottom"/>
            <w:gridSpan w:val="1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 LIST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(Note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20,147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 of $381 and $366 at September 30, 2012 and December 31, 2011,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105,544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117,095</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Line of credit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w w:val="92"/>
              </w:rPr>
              <w:t>Common stock: $0.001 par value, 200,000 shares authorized at September 30, 2012 and December 31, 2011; 24,988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640"/>
              <w:spacing w:after="0"/>
              <w:rPr>
                <w:sz w:val="20"/>
                <w:szCs w:val="20"/>
                <w:color w:val="auto"/>
              </w:rPr>
            </w:pPr>
            <w:r>
              <w:rPr>
                <w:rFonts w:ascii="Arial" w:cs="Arial" w:eastAsia="Arial" w:hAnsi="Arial"/>
                <w:sz w:val="18"/>
                <w:szCs w:val="18"/>
                <w:color w:val="auto"/>
                <w:w w:val="99"/>
              </w:rPr>
              <w:t>and 20,321 shares issued and outstanding as of September 30, 2012 and December 31, 2011, respectively</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340,627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(237,219)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(221,797)</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102,659</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7"/>
              </w:rPr>
              <w:t>Three Months Ended September 30,</w:t>
            </w:r>
          </w:p>
        </w:tc>
        <w:tc>
          <w:tcPr>
            <w:tcW w:w="100" w:type="dxa"/>
            <w:vAlign w:val="bottom"/>
          </w:tcPr>
          <w:p>
            <w:pPr>
              <w:spacing w:after="0"/>
              <w:rPr>
                <w:sz w:val="14"/>
                <w:szCs w:val="14"/>
                <w:color w:val="auto"/>
              </w:rPr>
            </w:pPr>
          </w:p>
        </w:tc>
        <w:tc>
          <w:tcPr>
            <w:tcW w:w="22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12,602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10,168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36,126</w:t>
            </w:r>
          </w:p>
        </w:tc>
        <w:tc>
          <w:tcPr>
            <w:tcW w:w="4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and collaboration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Grant revenue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12,782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29,869</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4,071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12,337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9,102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Litigation settlement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16,691</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51,253</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(3,909)</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(4,055)</w:t>
            </w: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(14,578)</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(15,587)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 warrants</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Gain from extinguishment of convertible preferred stock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(15,321)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(15,422)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8"/>
              </w:rPr>
              <w:t>Deemed dividend related to the change in conversion rate of Series E convertible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(15,422)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(28,913)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(0.73)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Shares used in computing net loss per share attributed to common stockholders, basic</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22,544</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20,082</w:t>
            </w:r>
          </w:p>
        </w:tc>
        <w:tc>
          <w:tcPr>
            <w:tcW w:w="3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21,161</w:t>
            </w:r>
          </w:p>
        </w:tc>
        <w:tc>
          <w:tcPr>
            <w:tcW w:w="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(4,144)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(15,442)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(15,422)</w:t>
            </w:r>
          </w:p>
        </w:tc>
        <w:tc>
          <w:tcPr>
            <w:tcW w:w="3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 warrants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Gain from extinguishment of convertible preferred stock warrants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Write-off of debt discount upon note repayment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issuance cost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(13,979)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(15,287)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(27,705)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investments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License agreement rights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Increase in restricted cash</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(50,068)</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Repayment of note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line of credit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66,011</w:t>
            </w:r>
          </w:p>
        </w:tc>
        <w:tc>
          <w:tcPr>
            <w:tcW w:w="220" w:type="dxa"/>
            <w:vAlign w:val="bottom"/>
          </w:tcPr>
          <w:p>
            <w:pPr>
              <w:spacing w:after="0"/>
              <w:rPr>
                <w:sz w:val="19"/>
                <w:szCs w:val="19"/>
                <w:color w:val="auto"/>
              </w:rPr>
            </w:pPr>
          </w:p>
        </w:tc>
        <w:tc>
          <w:tcPr>
            <w:tcW w:w="3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Conversion of convertible preferred stock to common stock upon initial public offering</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convertible preferred stock warrants in connection with note and warrant agreement and long-term debt</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Extinguishment of convertible preferred stock warrants upon initial public offering</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gridSpan w:val="2"/>
            <w:vMerge w:val="continue"/>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warrants to common stock warrants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Issuance of common stock in connection with net exercise of convertible preferred stock warrants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gridSpan w:val="2"/>
            <w:vMerge w:val="continue"/>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Fluidigm Corporation (we or us) was incorporated in the State of California in May 1999, to commercialize microfluidic technology initially developed at the California Institute of Technology. In July 2007, we were reincorporated in Delaware. Our headquarters are located in South San Francisco, California. We develop, manufacture and market microfluidic systems consisting of instruments, including aftermarket instruments and services, and consumables, including chips, assays and other reagents, to leading academic institutions, diagnostic laboratories, and pharmaceutical, biotechnology and agricultural biotechnology (Ag-Bio) companies. Our proprietary microfluidic systems are designed to simplify experimental workflow, increase throughput, reduce costs and provide quality data.</w:t>
      </w:r>
    </w:p>
    <w:p>
      <w:pPr>
        <w:spacing w:after="0" w:line="260" w:lineRule="exact"/>
        <w:rPr>
          <w:sz w:val="20"/>
          <w:szCs w:val="20"/>
          <w:color w:val="auto"/>
        </w:rPr>
      </w:pPr>
    </w:p>
    <w:p>
      <w:pPr>
        <w:ind w:right="7640" w:firstLine="8"/>
        <w:spacing w:after="0" w:line="347" w:lineRule="auto"/>
        <w:tabs>
          <w:tab w:leader="none" w:pos="44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2011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presentation of our financial information. The results of operations for the three and nine months ended September 30, 2012 are not necessarily indicative of the results to be expected for the year ending December 31, 2012 or for any other interim period or for any other future year.</w:t>
      </w:r>
    </w:p>
    <w:p>
      <w:pPr>
        <w:spacing w:after="0" w:line="11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and allowances for doubtful accounts.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2011 included in our Annual Report on Form 10-K filed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January 2011, we amended and restated our Certificate of Incorporation to decrease the conversion price of our Series E convertible preferred stock from $24.22 to $18.63 per share. As a result, we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9, 2011, our registration statement on Form S-1 relating to an initial public offering (IPO) of our common stock was declared effective by the SEC. Upon the closing of our IPO in February 2011, we sold 6,392,083 shares of common stock and received cash proceeds of approximately $77.0 million, net of underwriting discounts, commissions and offering expenses. Concurrently, all outstanding shares of convertible preferred stock converted by their terms into approximately 11,480,000 shares of common stock and the related carrying value of approximately $184.6 million, plus $9.9 million of deemed dividend, was reclassified to common stock and additional paid-in capital.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On August 21, 2012, we closed an underwritten public offering of 4,209,000 shares of our common stock and received cash proceeds of approximately $56.1 million, net of underwriting discounts, commissions and offering expenses. The shares were issued pursuant to a registration statement on Form S-3 declared effective by the SEC on May 10,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Attributed to Common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basic and diluted net loss per share attributed to common stockholders is calculated by dividing net loss attributed to common stockholders by the weighted-average number of shares of common stock outstanding for the period. Our options to purchase common stock are considered to be potential common shares but have been excluded from the calculation of diluted net loss per share as their effect is anti-dilutive.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attributed to common stockholders for the interim periods presented because including them would have been anti-dilutive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1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4"/>
          </w:tcPr>
          <w:p>
            <w:pPr>
              <w:ind w:left="22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48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Comprehensive loss is comprised of net loss and unrealized gains and losses on our investments and foreign currency translation adjustments.</w:t>
      </w:r>
    </w:p>
    <w:p>
      <w:pPr>
        <w:spacing w:after="0" w:line="194"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In 2011, the Financial Accounting Standards Board amended guidance requiring companies to present the components of other comprehensive income (OCI) either in a single continuous statement of comprehensive income, or in two separate but consecutive statements of net income and other comprehensive income. We adopted this guidance on January 1, 2012 and elected to disclose the components of OCI in a single continuous statement during interim reporting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 No such amounts are accrued at September 30, 2012.</w:t>
      </w:r>
    </w:p>
    <w:p>
      <w:pPr>
        <w:spacing w:after="0" w:line="259" w:lineRule="exact"/>
        <w:rPr>
          <w:sz w:val="20"/>
          <w:szCs w:val="20"/>
          <w:color w:val="auto"/>
        </w:rPr>
      </w:pPr>
    </w:p>
    <w:p>
      <w:pPr>
        <w:ind w:right="7500" w:firstLine="8"/>
        <w:spacing w:after="0" w:line="347" w:lineRule="auto"/>
        <w:tabs>
          <w:tab w:leader="none" w:pos="44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License, Collaboration and Grant Agreements License Agreements</w:t>
      </w:r>
    </w:p>
    <w:p>
      <w:pPr>
        <w:spacing w:after="0" w:line="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June 30, 2011, we settled certain litigation and entered into a series of patent license agreements with Life Technologies Corporation and its subsidiary, Applied Biosystems, LLC (collectively, Life). These agreements settled litigation filed by us against Life on June 29, 2011 in United States District Court for the Northern District of California and litigation filed by Life against us on June 29, 2011 in United States District Court for the District of Delaware. The agreements resulted in a net $3.0 million payment by us to Life, which was recognized as a litigation settlement expense in June 2011 because the amount paid by us was principally attributable to resolving Life’s litigation claims with respect to a specific expiring U.S. patent and its foreign counterparts. The agreements also provide for various royalty payments on future sales of certain products by each of the parties. Such royalty payments or receipts have not been and are not expected to be material to us.</w:t>
      </w:r>
    </w:p>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for a period of two to four years. These rights were subject to certain exceptions and required an additional payment by the party exercising the option at the time of exercise. In July 2011, we exercised our option and paid Life $2.0 million. As a result, subject to certain exceptions, Life may not initiate litigation under its patents existing as of June 30, 2011 against our customers for a period of two years and against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us, with respect to our current products and equivalent future products, for a period of four years. The additional payment was included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for a period of four years under its relevant patents for any alleged prior and future infringement by us, and because such preclusion relates to our equivalent future products. Life elected not to exercise its option.</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May 2011, we entered into an agreement with Caliper Life Sciences, Inc., which subsequently became a PerkinElmer company (Caliper), to license Caliper’s existing patent portfolio in certain fields, including non-invasive prenatal diagnostics, and obtained an option to extend this license to cover additional fields. Additional payments are due if we exercise our option to extend the license. Under this agreement, we made an up-front payment of $0.6 million and our obligation to pay royalties to Caliper commenced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our royalty payment obligations are expected to terminate based upon our current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May 2010, we entered into a collaboration agreement with Novartis Vaccines &amp; Diagnostics, Inc. (Novartis V&amp;D) to develop a new product and received an up-front payment of $0.7 million. Additionally, the collaboration agreement provided for payments to us upon the achievement of multiple defined milestones related to the design and development of product prototypes. The agreement set forth a detailed scope of work, tasks and metrics for each milestone. These product prototypes had not been previously produced by us and the achievement of these and other future milestones was uncertain at the time we entered into the collaboration agreement. We considered each of the milestones to be substantive and, accordingly, we recognized payments received from meeting such milestones as revenue, when each milestone was achieved.</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March 2011, we entered into an amendment to the collaboration agreement and received an additional $0.3 million. Under the amendment, certain milestones were modified and payment terms associated with satisfaction of the milestones were revised. All of our performance obligations under this agreement were satisfied as of December 31, 2011 and there are no other agreements with potential future milestones.</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Pursuant to the collaboration agreement, we granted an option to Novartis V&amp;D to exclusively license our technology in specific areas of prenatal health and diagnostics. The collaboration agreement specifically provided that it would automatically terminate if the option was not exercised on or before April 30, 2012. The option expired unexercised on April 30, 2012 and the collaboration agreement terminated in accordance with its terms, effective May 1,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April 2009, we were awarded a grant from the California Institute for Regenerative Medicine (CIRM) in the amount of $0.8 million to be earned over a two-year period. Under the grant, we designed and developed prototype microfluidic systems for use in stem cell research. The final payment under this grant was received in September 2011. In May 2011, we were awarded a second grant from CIRM in the amount of $1.9 million to be earned over a three-year period. Under this grant, we continue to design and develop prototype microfluidic systems for use in stem cell research. The CIRM grant revenue is recognized as the related research and development services are performed, and costs associated with the grant are recognized as research and development expense during the period incurred.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as of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7,219</w:t>
            </w: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financial instruments consist principally of cash and cash equivalents, investments, accounts receivable and accounts payable. Our cash equivalents, accounts receivable and accounts payable have short maturities or repayment periods. Accordingly, their carrying values approximate their fair values. Our long-term debt, which was fully repaid in September 2012, had a fair value of approximately $10.6 million at December 31, 2011, which was determined using a model that discounts the contractual cash flows using a market rate of interest for an equivalent borrowing at the reporting date. As a basis for considering fair value, we follow a three-tier value hierarchy, which prioritizes the inputs used in measuring fair value as follows: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cash equivalents are classified as Level I because they are valued using quoted market prices. Our investments are classified as Level II because the inputs to these valuations are derived from or corroborated by observable market data. Depending on the security, the income and market approaches are used in the model driven valuations. Inputs into these models include recently executed transaction prices for our investment securities or the securities of comparable issuers and yield curves. The fair value of our long-term debt is determined by using Level III inputs as described above. Our convertible preferred stock warrants are valued using Level III inputs, the valuation of which is discussed in Note 9. The following table sets forth our financial instruments that were measured at fair value by level within the fair value hierarchy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0"/>
              </w:rPr>
              <w:t>September 30, 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December 31, 2011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I</w:t>
            </w:r>
          </w:p>
        </w:tc>
        <w:tc>
          <w:tcPr>
            <w:tcW w:w="7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Level II</w:t>
            </w:r>
          </w:p>
        </w:tc>
        <w:tc>
          <w:tcPr>
            <w:tcW w:w="6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Level III</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Level I</w:t>
            </w:r>
          </w:p>
        </w:tc>
        <w:tc>
          <w:tcPr>
            <w:tcW w:w="10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II</w:t>
            </w:r>
          </w:p>
        </w:tc>
        <w:tc>
          <w:tcPr>
            <w:tcW w:w="1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Level III</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Money market funds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$ 242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$1,799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26,349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26,349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41,414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$ 242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26,349</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26,591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1,799</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41,414</w:t>
            </w: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the closing of our IPO, then outstanding convertible preferred stock warrants were net exercised, converted into warrants to purchase common stock or expired unexercised. We did not have any outstanding convertible preferred stock warrants in 2012. Changes in the value of convertible preferred stock warrants as of September 30, 2011 were as follows (in thousands):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Issuances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Changes in fair value</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Extinguishment of convertible preferred stock warrants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Conversion to common stock warrants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September 30, 2011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jc w:val="right"/>
              <w:ind w:right="1692"/>
              <w:spacing w:after="0"/>
              <w:rPr>
                <w:sz w:val="20"/>
                <w:szCs w:val="20"/>
                <w:color w:val="auto"/>
              </w:rPr>
            </w:pPr>
            <w:r>
              <w:rPr>
                <w:rFonts w:ascii="Arial" w:cs="Arial" w:eastAsia="Arial" w:hAnsi="Arial"/>
                <w:sz w:val="18"/>
                <w:szCs w:val="18"/>
                <w:color w:val="auto"/>
              </w:rPr>
              <w:t>9</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70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investments and cash equivalents at September 30, 2012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Gross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78"/>
              </w:rPr>
              <w:t>Gross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6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620" w:type="dxa"/>
            <w:vAlign w:val="bottom"/>
          </w:tcPr>
          <w:p>
            <w:pPr>
              <w:spacing w:after="0"/>
              <w:rPr>
                <w:sz w:val="12"/>
                <w:szCs w:val="12"/>
                <w:color w:val="auto"/>
              </w:rPr>
            </w:pP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Gain</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46"/>
              <w:spacing w:after="0"/>
              <w:rPr>
                <w:sz w:val="20"/>
                <w:szCs w:val="20"/>
                <w:color w:val="auto"/>
              </w:rPr>
            </w:pPr>
            <w:r>
              <w:rPr>
                <w:rFonts w:ascii="Arial" w:cs="Arial" w:eastAsia="Arial" w:hAnsi="Arial"/>
                <w:sz w:val="14"/>
                <w:szCs w:val="14"/>
                <w:b w:val="1"/>
                <w:bCs w:val="1"/>
                <w:color w:val="auto"/>
                <w:w w:val="85"/>
              </w:rPr>
              <w:t>Loss</w:t>
            </w: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$ 26,345</w:t>
            </w: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2"/>
              </w:rPr>
              <w:t>$ 26,349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contractual maturity dates of $20.1 million of our investments are within one year. The contractual maturity dates of our remaining investments are less than two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and cash equivalents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66,011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 and Warrant Purchase Agreement 2011</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January 2011, we entered into a note and warrant purchase agreement (the Note Agreement) with existing stockholders, including certain of our officers and directors, under which we issued subordinated secured promissory notes (the Notes) with an aggregate principal amount of $5.0 million bearing interest at a rate of 8% per year. Our obligations under the Notes were secured by our assets, excluding intellectual property, and were subordinated to senior indebtedness under the Loan Agreement (see Note 7) and the Line of Credit (see Note 8). Notes issued under the Note Agreement matured on the earliest to occur of the closing of the next financing in which we issued and sold shares of capital stock of least $25.0 million, a change of control as defined in the Note Agreement, or January 6, 2012 (the maturity date). In connection with the Note Agreement, we issued warrants to acquire a total of 103,182 shares of Series E-1 convertible preferred stock at $0.02 per share. The fair value of these warrants, based on a contemporaneous valuation, was $1.2 million and was recognized as an original issue discount amortizable over the expected life of the borrowing. As a result of our IPO in February 2011, the warrants were net exercised for 103,182 shares of our common stock and we repaid all principal and interest outstanding under these Notes in February and March 2011. Upon repayment of the Notes, the unamortized discount of $1.2 million was immediately recognized as interest expense.</w:t>
      </w:r>
    </w:p>
    <w:p>
      <w:pPr>
        <w:spacing w:after="0" w:line="23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entered into a long-term loan agreement in March 2005 that was subsequently amended in 2006, 2008, 2009 and 2010 (as amended, the Loan Agreement). In connection with the Loan Agreement, we issued warrants to purchase a total of 209,960 shares of our convertible preferred stock to the lender. Upon the closing of our IPO in February 2011, the warrants to purchase 209,960 shares of our convertible preferred stock that were held by the lender were converted to warrants to purchase shares of common stock. In July 2011, the lender net exercised these warrants at an exercise price of $12.11 per share and was issued 70,731 shares of common stock.</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Commencing in March 2011, we made principal and interest payments of $0.6 million per month and, as required under the Loan Agreement, we made an additional principal payment of $2.3 million in March 2012. Using the effective interest method, a majority of the March 2012 payment was accrued as interest expense in periods prior to 2010 with the remainder being recognized through the extended maturity date of February 2013. In June 2012, we elected to make another principal payment in the amount of $1.9 million using proceeds from our Line of Credit (see Note 8). During the three months ended September 30, 2012, we paid the remaining balance due.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December 2010, we entered into a two-year bank line of credit agreement (as amended, the Line of Credit), that is collateralized by our accounts receivable. The Line of Credit provides us with the ability to borrow up to $7.0 million, subject to certain covenants and other restrictions, and bears interest at a rate of the greater of (i) 4.25% or (ii) the prime rate, as defined in the Line of Credit, plus 1.00% per year. At September 30, 2012, the effective rate of interest on the Line of Credit was 5.50% and the outstanding balance was $1.9 million. There was no outstanding balance under the Line of Credit at December 31, 2011. As of September 30, 2012, we were in compliance with our covenants under this agreement. In October 2012, we elected to pay the outstanding balance of $1.9 million under our line of credit.</w:t>
      </w:r>
    </w:p>
    <w:p>
      <w:pPr>
        <w:spacing w:after="0" w:line="26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February 10, 2011, we had outstanding warrants to purchase 489,880 shares of our convertible preferred stock that had been granted at various times since 2001. Warrants to purchase our convertible preferred stock were recognized at fair value using the Black-Scholes option pricing model and classified as liabilities because the warrants may have conditionally obligated us to transfer assets at some point in the future. The warrants were subject to remeasurement to fair value at each balance sheet date, and any change in fair value was recognized in the condensed consolidated statements of operations and comprehensive loss as loss from changes in the fair value of convertible preferred stock warrants. The fair value of these warrants was approximately $3.7 million at February 10, 2011, which was an increase in fair value of approximately $1.5 million since December 31, 2010. Upon the closing of our IPO, warrants for approximately 103,182 shares of our convertible preferred stock were net exercised and the related liability of $1.4 million was reclassified to additional paid-in capital; warrants to purchase 209,960 shares of our convertible preferred stock were converted into warrants to purchase common stock and the related liability of $1.5 million was reclassified to additional paid-in capital; and the remaining warrants to purchase 176,738 shares of our convertible preferred stock expired unexercised and the related liability of $0.8 million was recognized as gain from extinguishment of convertible preferred stock warrants.</w:t>
      </w:r>
    </w:p>
    <w:p>
      <w:pPr>
        <w:spacing w:after="0" w:line="23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three months ended September 30, 2012, we granted to certain employees options to purchase 45,000 shares of common stock. During the nine months ended September 30, 2012, we granted to certain employees options to purchase 1,033,000 shares of common stock. Of these options, options to purchase 84,000 shares were granted with exercise prices ranging from $13.01 to $14.00 per share, options to purchase 463,000 shares were granted with exercise prices ranging from $14.42 to $14.87 per share, options to purchase 421,000 shares were granted with exercise prices ranging from $15.04 to $15.49 per share, and the remainder of the options were granted with exercise prices ranging from $15.61 to $17.00 per share. These options had a total grant date fair value of $8.1 million that will be recognized as expense over their respective four-year vesting periods.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computation of the fair value of stock options and other equity instruments using the Black-Scholes option pricing model requires inputs such as the fair value of our common stock. For options granted prior to our IPO in February 2011, we performed contemporaneous valuations to determine the fair value of our common stock.</w:t>
      </w:r>
    </w:p>
    <w:p>
      <w:pPr>
        <w:spacing w:after="0" w:line="140"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We recognized stock-based compensation expense of $1.0 million and $0.7 million during the three months ended September 30, 2012 and 2011, respectively. During the nine months ended September 30, 2012 and 2011, we recognized stock-based compensation of $3.0 million and $2.0 million, respectively. As of September 30, 2012, we had $11.0 million of unrecognized stock-based compensation costs, which are expected to be recognized over a weighted average period of 2.93 years.</w:t>
      </w:r>
    </w:p>
    <w:p>
      <w:pPr>
        <w:spacing w:after="0" w:line="25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Income taxes are primarily comprised of state and foreign income taxes. The provision or benefit for income taxes for the periods presented differs from the 34% U.S. Federal statutory rate primarily due to maintaining a valuation allowance for U.S. losses and tax assets, which we do not consider to be realizable. Income tax expense primarily consists of amounts payable in foreign jurisdictions.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Geographic Areas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microfluidic systems consisting of instruments and consumables, including chips, assays and other reagents, for the life science and Ag-Bio industries.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presents product revenue by geography based on the billing address of our customers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35"/>
              <w:spacing w:after="0"/>
              <w:rPr>
                <w:sz w:val="20"/>
                <w:szCs w:val="20"/>
                <w:color w:val="auto"/>
              </w:rPr>
            </w:pPr>
            <w:r>
              <w:rPr>
                <w:rFonts w:ascii="Arial" w:cs="Arial" w:eastAsia="Arial" w:hAnsi="Arial"/>
                <w:sz w:val="14"/>
                <w:szCs w:val="14"/>
                <w:b w:val="1"/>
                <w:bCs w:val="1"/>
                <w:color w:val="auto"/>
                <w:w w:val="87"/>
              </w:rPr>
              <w:t>Three Months Ended 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5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2,678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7,021</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12,602</w:t>
            </w:r>
          </w:p>
        </w:tc>
        <w:tc>
          <w:tcPr>
            <w:tcW w:w="4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10,168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36,126</w:t>
            </w:r>
          </w:p>
        </w:tc>
        <w:tc>
          <w:tcPr>
            <w:tcW w:w="6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28,291</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360" w:right="340"/>
        <w:spacing w:after="0" w:line="440" w:lineRule="auto"/>
        <w:rPr>
          <w:sz w:val="20"/>
          <w:szCs w:val="20"/>
          <w:color w:val="auto"/>
        </w:rPr>
      </w:pPr>
      <w:r>
        <w:rPr>
          <w:rFonts w:ascii="Arial" w:cs="Arial" w:eastAsia="Arial" w:hAnsi="Arial"/>
          <w:sz w:val="18"/>
          <w:szCs w:val="18"/>
          <w:color w:val="auto"/>
        </w:rPr>
        <w:t>Our license and collaboration revenue is primarily generated in the United States and grant revenue is generated in Singapore and the United States. 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43" w:lineRule="exact"/>
        <w:rPr>
          <w:sz w:val="20"/>
          <w:szCs w:val="20"/>
          <w:color w:val="auto"/>
        </w:rPr>
      </w:pPr>
    </w:p>
    <w:p>
      <w:pPr>
        <w:jc w:val="both"/>
        <w:ind w:right="600" w:firstLine="456"/>
        <w:spacing w:after="0" w:line="266" w:lineRule="auto"/>
        <w:rPr>
          <w:sz w:val="20"/>
          <w:szCs w:val="20"/>
          <w:color w:val="auto"/>
        </w:rPr>
      </w:pPr>
      <w:r>
        <w:rPr>
          <w:rFonts w:ascii="Arial" w:cs="Arial" w:eastAsia="Arial" w:hAnsi="Arial"/>
          <w:sz w:val="18"/>
          <w:szCs w:val="18"/>
          <w:i w:val="1"/>
          <w:iCs w:val="1"/>
          <w:color w:val="auto"/>
        </w:rPr>
        <w:t>“Fluidigm,” the Fluidigm logo, “BioMark,” “Access Array,” “C</w:t>
      </w:r>
      <w:r>
        <w:rPr>
          <w:rFonts w:ascii="Arial" w:cs="Arial" w:eastAsia="Arial" w:hAnsi="Arial"/>
          <w:sz w:val="22"/>
          <w:szCs w:val="22"/>
          <w:i w:val="1"/>
          <w:iCs w:val="1"/>
          <w:color w:val="auto"/>
          <w:vertAlign w:val="subscript"/>
        </w:rPr>
        <w:t>1</w:t>
      </w:r>
      <w:r>
        <w:rPr>
          <w:rFonts w:ascii="Arial" w:cs="Arial" w:eastAsia="Arial" w:hAnsi="Arial"/>
          <w:sz w:val="18"/>
          <w:szCs w:val="18"/>
          <w:i w:val="1"/>
          <w:iCs w:val="1"/>
          <w:color w:val="auto"/>
        </w:rPr>
        <w:t>,” “EP1,” “Dynamic Array,” “SNPtype” and “DELTAgene” are trademarks or registered trademarks of Fluidigm Corporation. Other service marks, trademarks and trade names referred to in this Form 10-Q are the property of their respective owners.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assays and other reagents. Our systems are designed to significantly simplify experimental workflow, increase throughput and reduce costs, while providing the excellent data quality demanded by our customers. In addition, our proprietary technology enables genetic analysis that in many instances was previously impractical. We actively market four microfluidic systems, including 13 different chips for nucleic acid research and three families of assays, to leading academic institutions, diagnostic laboratories, and pharmaceutical, biotechnology and Ag-Bio companies. We have sold over 605 systems to customers in over 30 countries worldwide.</w:t>
      </w:r>
    </w:p>
    <w:p>
      <w:pPr>
        <w:spacing w:after="0" w:line="120" w:lineRule="exact"/>
        <w:rPr>
          <w:sz w:val="20"/>
          <w:szCs w:val="20"/>
          <w:color w:val="auto"/>
        </w:rPr>
      </w:pPr>
    </w:p>
    <w:p>
      <w:pPr>
        <w:ind w:right="80" w:firstLine="456"/>
        <w:spacing w:after="0" w:line="278" w:lineRule="auto"/>
        <w:rPr>
          <w:sz w:val="20"/>
          <w:szCs w:val="20"/>
          <w:color w:val="auto"/>
        </w:rPr>
      </w:pPr>
      <w:r>
        <w:rPr>
          <w:rFonts w:ascii="Arial" w:cs="Arial" w:eastAsia="Arial" w:hAnsi="Arial"/>
          <w:sz w:val="16"/>
          <w:szCs w:val="16"/>
          <w:color w:val="auto"/>
        </w:rPr>
        <w:t>We have launched several product lines, including our BioMark system for gene expression analysis, genotyping and digital polymerase chain reaction, or digital PCR, in 2006, our EP1 system for single nucleotide polymorphism, or SNP, genotyping and digital PCR in 2008, our Access Array system for target enrichment in 2009, our BioMark HD real-time PCR system for high-throughput gene expression analysis, single-cell analysis, SNP genotyping and digital PCR in 2011, and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for single-cell analysis in June 2012. In addition, in May 2011, we launched our assay and reagent products, including our DELTAgene assays for gene expression, including single-cell analysis, our SNPtype assays for SNP genotyping, and our Access Array Target-Specific primers for next generation DNA sequencing. Our systems utilize one or more chips designed for particular applications and include specialized instrumentation and software, as well as assays and other reagents for certain applications.</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Our facility in Singapore manufactures our instruments and fabricates all of our chips for commercial sale and for our research and development purposes. Our South San Francisco facility fabricates chips for our research and development purposes and manufactures our assays and produces other reagents for commercial sale.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456"/>
        <w:spacing w:after="0" w:line="332" w:lineRule="auto"/>
        <w:rPr>
          <w:sz w:val="20"/>
          <w:szCs w:val="20"/>
          <w:color w:val="auto"/>
        </w:rPr>
      </w:pPr>
      <w:r>
        <w:rPr>
          <w:rFonts w:ascii="Arial" w:cs="Arial" w:eastAsia="Arial" w:hAnsi="Arial"/>
          <w:sz w:val="16"/>
          <w:szCs w:val="16"/>
          <w:color w:val="auto"/>
        </w:rPr>
        <w:t>Our total revenue grew from $25.4 million in 2009 to $42.9 million in 2011, and for the nine months ended September 30, 2012, our total revenue was $36.7 million. We have incurred significant net losses since our inception in 1999 and, as of September 30, 2012, our accumulated deficit was $237.2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have been no material changes in our critical accounting policies and estimates in the preparation of our condensed consolidated financial statements during the three and nine months ended September 30, 2012 compared to those disclosed in our Annual Report on Form 10-K for the year ended December 31, 2011, as filed with the SEC on March 26,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We generate revenue from sales of our products, license and collaboration agreements and government grants. Our product revenue consists of sales of instruments, including aftermarket instruments and services, and consumables, including chips, assays and other reagents. We have also entered into license and collaboration agreements and research and development contracts, and have received government grants to conduct research and development activities.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7"/>
              </w:rPr>
              <w:t>Three Months Ended September 30,</w:t>
            </w:r>
          </w:p>
        </w:tc>
        <w:tc>
          <w:tcPr>
            <w:tcW w:w="10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6,750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6,437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19,548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Product revenue</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12,602</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10,168</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36,126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License and collaboration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 revenue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36,675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$20,024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$15,362</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2,678</w:t>
            </w: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2,466</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580" w:type="dxa"/>
            <w:vAlign w:val="bottom"/>
          </w:tcPr>
          <w:p>
            <w:pPr>
              <w:jc w:val="right"/>
              <w:spacing w:after="0"/>
              <w:rPr>
                <w:sz w:val="20"/>
                <w:szCs w:val="20"/>
                <w:color w:val="auto"/>
              </w:rPr>
            </w:pPr>
            <w:r>
              <w:rPr>
                <w:rFonts w:ascii="Arial" w:cs="Arial" w:eastAsia="Arial" w:hAnsi="Arial"/>
                <w:sz w:val="18"/>
                <w:szCs w:val="18"/>
                <w:color w:val="auto"/>
              </w:rPr>
              <w:t>8,088</w:t>
            </w:r>
          </w:p>
        </w:tc>
        <w:tc>
          <w:tcPr>
            <w:tcW w:w="2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580" w:type="dxa"/>
            <w:vAlign w:val="bottom"/>
          </w:tcPr>
          <w:p>
            <w:pPr>
              <w:jc w:val="right"/>
              <w:spacing w:after="0"/>
              <w:rPr>
                <w:sz w:val="20"/>
                <w:szCs w:val="20"/>
                <w:color w:val="auto"/>
              </w:rPr>
            </w:pPr>
            <w:r>
              <w:rPr>
                <w:rFonts w:ascii="Arial" w:cs="Arial" w:eastAsia="Arial" w:hAnsi="Arial"/>
                <w:sz w:val="18"/>
                <w:szCs w:val="18"/>
                <w:color w:val="auto"/>
              </w:rPr>
              <w:t>7,021</w:t>
            </w:r>
          </w:p>
        </w:tc>
        <w:tc>
          <w:tcPr>
            <w:tcW w:w="3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Japan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774</w:t>
            </w: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472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2,763</w:t>
            </w:r>
          </w:p>
        </w:tc>
        <w:tc>
          <w:tcPr>
            <w:tcW w:w="2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580" w:type="dxa"/>
            <w:vAlign w:val="bottom"/>
          </w:tcPr>
          <w:p>
            <w:pPr>
              <w:jc w:val="right"/>
              <w:spacing w:after="0"/>
              <w:rPr>
                <w:sz w:val="20"/>
                <w:szCs w:val="20"/>
                <w:color w:val="auto"/>
              </w:rPr>
            </w:pPr>
            <w:r>
              <w:rPr>
                <w:rFonts w:ascii="Arial" w:cs="Arial" w:eastAsia="Arial" w:hAnsi="Arial"/>
                <w:sz w:val="18"/>
                <w:szCs w:val="18"/>
                <w:color w:val="auto"/>
              </w:rPr>
              <w:t>2,659</w:t>
            </w:r>
          </w:p>
        </w:tc>
        <w:tc>
          <w:tcPr>
            <w:tcW w:w="3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12,602</w:t>
            </w:r>
          </w:p>
        </w:tc>
        <w:tc>
          <w:tcPr>
            <w:tcW w:w="2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10,168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36,126</w:t>
            </w:r>
          </w:p>
        </w:tc>
        <w:tc>
          <w:tcPr>
            <w:tcW w:w="2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28,291</w:t>
            </w:r>
          </w:p>
        </w:tc>
        <w:tc>
          <w:tcPr>
            <w:tcW w:w="3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Our customers include academic research institutions, diagnostic laboratories, and pharmaceutical, biotechnology and Ag-Bio companies worldwide. Total revenue from our five largest customers in each of the periods presented, respectively, comprised 21% and 20% of our total revenue in the three and nine months ended September 30, 2012, respectively, and 22% and 13% of our total revenue for the three and nine months ended September 30, 2011,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2012 and September 30, 2011</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Total revenue increased by $2.2 million, or 21%, to $12.8 million for the three months ended September 30, 2012 compared to $10.6 million for the three months ended September 30,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40" w:firstLine="456"/>
        <w:spacing w:after="0" w:line="278" w:lineRule="auto"/>
        <w:rPr>
          <w:sz w:val="20"/>
          <w:szCs w:val="20"/>
          <w:color w:val="auto"/>
        </w:rPr>
      </w:pPr>
      <w:r>
        <w:rPr>
          <w:rFonts w:ascii="Arial" w:cs="Arial" w:eastAsia="Arial" w:hAnsi="Arial"/>
          <w:sz w:val="16"/>
          <w:szCs w:val="16"/>
          <w:color w:val="auto"/>
        </w:rPr>
        <w:t>Product revenue increased by $2.4 million, or 24%, to $12.6 million for the three months ended September 30, 2012 compared to $10.2 million for the three months ended September 30, 2011. Consumables revenue increased by $2.1 million, or 57%, primarily due to increased sales of production genotyping and gene expression chips, and to a lesser extent Access Array chips and assays. Chip sales growth was driven both by increases in the installed base of our instrument systems and analytical chip pull-through, offset to a much lesser extent by lower chip average selling prices. Instrument revenue increased by $0.3 million, or 5%, due to the launch of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higher overall systems average unit selling prices and increased sales of service offerings and aftermarket instruments. This was offset by decreased unit sales of our analytical systems due to late timing of sales orders, competitive activity in digital PCR, and longer sales cycles and, to a much lesser extent, lower unit sales of the Access Array system.</w:t>
      </w:r>
    </w:p>
    <w:p>
      <w:pPr>
        <w:spacing w:after="0" w:line="13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License and collaboration revenue was $15,000 for the three months ended September 30, 2012 compared to $0.3 million for the three months ended September 30, 2011. In May 2010, we entered into a collaboration agreement with Novartis Vaccines &amp; Diagnostics, Inc., or Novartis V&amp;D, which provided us with milestone payments for the design and development of product prototypes. All of our performance obligations under this agreement were satisfied as of December 31, 2011, which resulted in the decrease in license and collaboration revenue in the three months ended September 30, 2012 compared to the same period in 2011.</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Pursuant to the collaboration agreement, we granted an option to Novartis V&amp;D to exclusively license our technology in specific areas of prenatal health and diagnostics. The collaboration agreement specifically provided that it would automatically terminate if the option was not exercised on or before April 30, 2012. The option expired unexercised on April 30, 2012 and the collaboration agreement terminated in accordance with its terms, effective May 1, 2012.</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Grant revenue consists of a grant from California Institute for Regenerative Medicine, or CIRM, and an incentive grant from Singapore Economic Development Board, or EDB. Our first CIRM grant was awarded in 2009 in the amount of $0.8 million to be earned over a two-year period. Our second CIRM grant was awarded in 2011 in the amount of $1.9 million to be earned over a three-year period. The CIRM grant revenue is recognized as the related research and development services are performed, and costs associated with the grants are recognized as research and development expense during the period incurred.</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Grant revenue decreased $7,000, or 4%, to $165,000 for the three months ended September 30, 2012 compared to $172,000 for the three months ended September 30, 2011. We did not have any revenue from the EDB grants in the three months ended September 30, 2012 as the grant agreement with the EDB was completed in May 2011. Based on correspondence with EDB, we believe we have satisfied our obligations applicable to our EDB grant revenue through September 30,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cost of product revenue and product margin for each period presented (in thousands, other than percentages):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$3,518</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$3,305</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Product margin</w:t>
            </w:r>
          </w:p>
        </w:tc>
        <w:tc>
          <w:tcPr>
            <w:tcW w:w="3460" w:type="dxa"/>
            <w:vAlign w:val="bottom"/>
            <w:gridSpan w:val="3"/>
          </w:tcPr>
          <w:p>
            <w:pPr>
              <w:jc w:val="right"/>
              <w:ind w:right="240"/>
              <w:spacing w:after="0"/>
              <w:rPr>
                <w:sz w:val="20"/>
                <w:szCs w:val="20"/>
                <w:color w:val="auto"/>
              </w:rPr>
            </w:pPr>
            <w:r>
              <w:rPr>
                <w:rFonts w:ascii="Arial" w:cs="Arial" w:eastAsia="Arial" w:hAnsi="Arial"/>
                <w:sz w:val="18"/>
                <w:szCs w:val="18"/>
                <w:color w:val="auto"/>
              </w:rPr>
              <w:t>72%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r>
    </w:tbl>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warranty, service, packaging and delivery costs. In addition, cost of product revenue includes royalty costs for licensed technologies included in our products, provisions for slow-moving and obsolete inventory and stock-based compensation expense. Costs related to license and collaboration and grant revenue are included in research and development expense.</w:t>
      </w:r>
    </w:p>
    <w:p>
      <w:pPr>
        <w:sectPr>
          <w:pgSz w:w="11900" w:h="16838" w:orient="portrait"/>
          <w:cols w:equalWidth="0" w:num="1">
            <w:col w:w="11360"/>
          </w:cols>
          <w:pgMar w:left="240" w:top="459" w:right="299" w:bottom="1440" w:gutter="0" w:footer="0" w:header="0"/>
        </w:sectPr>
      </w:pP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60"/>
          </w:cols>
          <w:pgMar w:left="240" w:top="459" w:right="2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Cost of product revenue increased $0.2 million, or 6%, to $3.5 million for the three months ended September 30, 2012 from $3.3 million for the three months ended September 30, 2011. Cost of product revenue as a percentage of related revenue was 28% and 33% for the three months ended September 30, 2012 and September 30, 2011, respectively. This improvement was driven primarily by a shift in the sales mix of both consumables and instruments to higher margin products. Increased chip production, chip yield improvements, and lower instrument material costs also contributed to the overall improvement in our cost of product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4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72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8"/>
                <w:szCs w:val="18"/>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19"/>
                <w:szCs w:val="19"/>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11,346</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 was $4.1 million for the three months ended September 30, 2012, an increase of $0.8 million, or 24%,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$3.3 million for the three months ended September 30, 2011. The increase in research and development expense was primarily due to an increase in compensation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costs and related expenses, including stock-based compensation, of $0.3 million, and lab supplies and equipment costs of $0.3 million, compared to the three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months ended September 30, 2011. These increased costs were in support of our development and commercialization of new and existing products and services.</w:t>
      </w:r>
    </w:p>
    <w:p>
      <w:pPr>
        <w:spacing w:after="0" w:line="1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Selling, general and administrative expense increased $1.0 million, or 13%, to $9.1 million for the three months ended September 30, 2012 compared to $8.1 million for the three months ended September 30, 2011. The increase as compared to the three months ended September 30, 2011 was primarily due to an increase in compensation costs and related expenses, including stock-based compensation, of $1.0 million, an increase in sales and marketing activities of $0.3 million, offset by a decrease in legal expenses of $0.4 million. The increase in selling, general and administrative expenses was driven by costs related to expansion of worldwide commercial capabilities to support our growth.</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expanded global footprint and the overall growth in our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receive interest income from our cash equivalents and investments. Conversely, we incur, or have incurred, interest expense from our bank line of credit, our long-term debt and the amortization of debt discount related to our long-term debt. The following table presents these items for each period presented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3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3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2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(439)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66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r>
      <w:tr>
        <w:trPr>
          <w:trHeight w:val="356"/>
        </w:trPr>
        <w:tc>
          <w:tcPr>
            <w:tcW w:w="3120" w:type="dxa"/>
            <w:vAlign w:val="bottom"/>
          </w:tcPr>
          <w:p>
            <w:pPr>
              <w:spacing w:after="0"/>
              <w:rPr>
                <w:sz w:val="24"/>
                <w:szCs w:val="24"/>
                <w:color w:val="auto"/>
              </w:rPr>
            </w:pPr>
          </w:p>
        </w:tc>
        <w:tc>
          <w:tcPr>
            <w:tcW w:w="3860" w:type="dxa"/>
            <w:vAlign w:val="bottom"/>
          </w:tcPr>
          <w:p>
            <w:pPr>
              <w:jc w:val="right"/>
              <w:ind w:right="2472"/>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Interest expense decreased $0.3 million, or 76%, to $0.1 million for the three months ended September 30, 2012 compared to $0.4 million for the three months ended September 30, 2011. The decrease is primarily due to the reduction in the principal amount of our long-term debt beginning in March 2011, when we began making principal and interest payments totaling $0.6 million per month and, as required under our loan agreement, we made an additional principal payment of $2.3 million in March 2012. In June 2012, we elected to make another principal payment of $1.9 million using proceeds from our line of credit. In August and September 2012, we elected to pay the remaining $2.2 million balance due under the loan agreement. We expect interest expense to be less in 2012 compared to 2011 because we have fully repaid our long-term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2012 and September 30, 2011</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Total revenue increased by $6.8 million, or 23%, to $36.7 million for the nine months ended September 30, 2012 compared to $29.9 million for the nine months ended September 30,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40" w:firstLine="456"/>
        <w:spacing w:after="0" w:line="278" w:lineRule="auto"/>
        <w:rPr>
          <w:sz w:val="20"/>
          <w:szCs w:val="20"/>
          <w:color w:val="auto"/>
        </w:rPr>
      </w:pPr>
      <w:r>
        <w:rPr>
          <w:rFonts w:ascii="Arial" w:cs="Arial" w:eastAsia="Arial" w:hAnsi="Arial"/>
          <w:sz w:val="16"/>
          <w:szCs w:val="16"/>
          <w:color w:val="auto"/>
        </w:rPr>
        <w:t>Product revenue increased by $7.8 million, or 28%, to $36.1 million for the nine months ended September 30, 2012 compared to $28.3 million for the nine months ended September 30, 2011. Consumables revenue increased by $6.1 million, or 58%, primarily due to increased sales of production genotyping and gene expression chips, and to a lesser extent Access Array chips and assays. Chip sales growth was driven both by increases in the installed base of our instrument systems and analytical chip pull-through, offset to a much lesser extent by lower chip average selling prices. Instrument revenue increased by $1.7 million, or 10%, due to the launch of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and increased sales of our service offerings and aftermarket instruments. This was offset by decreased unit sales of the Access Array system and, to a much lesser extent, decreased unit sales of our analytical systems due to late timing of sales orders, competitive activity in digital PCR, and longer sales cycles in the third quarter of 2012.</w:t>
      </w:r>
    </w:p>
    <w:p>
      <w:pPr>
        <w:spacing w:after="0" w:line="13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License and collaboration revenue was $53,000 for the nine months ended September 30, 2012 compared to $1.2 million for the nine months ended September 30, 2011. In May 2010, we entered into a collaboration agreement with Novartis V&amp;D, which provided us with milestone payments for the design and development of product prototypes. All of our performance obligations under this agreement were satisfied as of December 31, 2011, which resulted in the decrease in license and collaboration revenue in the nine months ended September 30, 2012 compared to the same period in 2011.</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Pursuant to the collaboration agreement, we granted an option to Novartis V&amp;D to exclusively license our technology in specific areas of prenatal health and diagnostics. The collaboration agreement specifically provided that it would automatically terminate if the option was not exercised on or before April 30, 2012. The option expired unexercised on April 30, 2012 and the collaboration agreement terminated in accordance with its terms, effective May 1, 2012.</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Grant revenue consists of a grant from CIRM and an incentive grant from the EDB. Our first CIRM grant was awarded in 2009 in the amount of $0.8 million to be earned over a two-year period. Our second CIRM grant was awarded in 2011 in the amount of $1.9 million to be earned over a three-year period. The CIRM grant revenue is recognized as the related research and development services are performed and costs associated with the grants are recognized as research and development expense during the period incurred.</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Grant revenue increased $95,000, or 24%, to $496,000 for the nine months ended September 30, 2012 compared to $401,000 for the nine months ended September 30, 2011. The increase is due to the revenue earned under the second CIRM grant. We did not have any revenue from the EDB grants in the nine months ended September 30, 2012 as the grant agreement with the EDB was completed in May 2011. Based on correspondence with EDB, we believe we have satisfied our obligations applicable to our EDB grant revenue through September 30, 2012.</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cost of product revenue and product margin for each period presented (in thousands, other than percentages):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8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$10,990</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$9,183</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Product margin</w:t>
            </w:r>
          </w:p>
        </w:tc>
        <w:tc>
          <w:tcPr>
            <w:tcW w:w="3500" w:type="dxa"/>
            <w:vAlign w:val="bottom"/>
            <w:gridSpan w:val="3"/>
          </w:tcPr>
          <w:p>
            <w:pPr>
              <w:jc w:val="right"/>
              <w:ind w:right="240"/>
              <w:spacing w:after="0"/>
              <w:rPr>
                <w:sz w:val="20"/>
                <w:szCs w:val="20"/>
                <w:color w:val="auto"/>
              </w:rPr>
            </w:pPr>
            <w:r>
              <w:rPr>
                <w:rFonts w:ascii="Arial" w:cs="Arial" w:eastAsia="Arial" w:hAnsi="Arial"/>
                <w:sz w:val="18"/>
                <w:szCs w:val="18"/>
                <w:color w:val="auto"/>
              </w:rPr>
              <w:t>70%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warranty, service, packaging and delivery costs. In addition, cost of product revenue includes royalty costs for licensed technologies included in our products, provisions for slow-moving and obsolete inventory and stock-based compensation expense. Costs related to license and collaboration and grant revenue are included in research and development expense.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Cost of product revenue increased $1.8 million, or 20%, to $11.0 million for the nine months ended September 30, 2012 from $9.2 million for the nine months ended September 30, 2011. Cost of product revenue as a percentage of related revenue was 30% and 32% for the nine months ended September 30, 2012 and September 30, 2011, respectively. This improvement was due to a higher product mix of higher margin consumables relative to instruments systems, and lower chip manufacturing cost due to increased production and yield improvements. This was slightly offset by higher instrument costs primarily due to lower unit production volume and freight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$12,337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27,926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23,338</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40,263</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36,273</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w:t>
      </w:r>
    </w:p>
    <w:p>
      <w:pPr>
        <w:spacing w:after="0" w:line="85"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Research and development expense was $12.3 million for the nine months ended September 30, 2012, an increase of $2.4 million, or 24%, compared to $9.9 million for the nine months ended September 30, 2011. The increase in research and development expense was primarily due to an increase in lab supplies and equipment costs of $1.2 million, and compensation costs and related expenses, including stock-based compensation, of $1.0 million, compared to the nine months ended September 30, 2011. These increased costs were in support of our development and commercialization of new and existing products and services.</w:t>
      </w:r>
    </w:p>
    <w:p>
      <w:pPr>
        <w:spacing w:after="0" w:line="9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Selling, general and administrative expense increased $4.6 million, or 20%, to $27.9 million for the nine months ended September 30, 2012 compared to $23.3 million for the nine months ended September 30, 2011. The increase as compared to the nine months ended September 30, 2011 was primarily due to an increase in compensation costs and related expenses, including stock-based compensation, of $3.0 million, an increase in sales and marketing activities of $0.7 million, and an increase in recruiting, accounting and consulting costs of $0.5 million. The increase in selling, general and administrative expenses was driven by costs related to expansion of worldwide commercial capabilities to support our growth.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expanded global footprint and the overall growth in our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30, 2011, we settled certain litigation and entered into a series of patent license agreements resulting in a net $3.0 million payment by us to Life Technologies and its subsidiary, Applied Biosystems, LLC, referred to collectively as Life. The payment was recognized as litigation settlement expense in our June 30, 2011 condensed consolidated statement of operations because the amount paid by us was principally attributable to resolving Life’s litigation claims with respect to a specific expiring U.S. patent and its foreign counterparts.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over a period of two to four years. These rights were subject to certain exceptions and required an additional payment by the party exercising the option at the time of exercise. In July 2011, we exercised our option and paid Life $2.0 million. As a result, subject to certain exceptions, Life may not initiate litigation under its patents existing as of June 30, 2011 against our customers for a period of two years and against us, with respect to our current products and equivalent future products, for a period of four years. The additional payment was recorded in other assets and is being amortized to selling, general and administrative expense over four years on a straight-line basis beginning in July 2011. The additional payment is being amortized to selling, general and administrative expense because it precludes Life for a period of four years from initiating litigation under its relevant patents for any alleged prior and future infringement by us, and because such preclusion relates to our equivalent future products. Life elected not to exercise its option.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similar settlement in the nine months ended September 30, 2012.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receive interest income from our cash equivalents and investments. Conversely, we incur, or have incurred, interest expense from our bank line of credit, long-term debt, convertible promissory notes, and the amortization of debt discounts related to our long-term debt and convertible promissory notes. Until the closing of the initial public offering of our common stock, or IPO, in early 2011, we also recognized income or expense as a result of changes in the fair value of outstanding warrants to purchase shares of our convertible preferred stock. The following table presents these items for each period presented (in thousands):</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r>
      <w:tr>
        <w:trPr>
          <w:trHeight w:val="161"/>
        </w:trPr>
        <w:tc>
          <w:tcPr>
            <w:tcW w:w="6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$(616)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(2,711)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 warrants</w:t>
            </w:r>
          </w:p>
        </w:tc>
        <w:tc>
          <w:tcPr>
            <w:tcW w:w="92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(1,483)</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from extinguishment of convertible preferred stock warrants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Interest expense decreased $2.1 million, or 77%, to $0.6 million for the nine months ended September 30, 2012 compared to $2.7 million for the nine months ended September 30, 2011. The decrease is primarily due to $1.2 million of non-cash interest expense in connection with a $5.0 million note and warrant agreement entered into in January 2011. We repaid all principal and interest outstanding under the note in February 2011 upon the closing of our IPO. There was no similar transaction or recognition of expense in the nine months ended September 30, 2012. The decrease also resulted from a reduction in the principal amount of our long-term debt beginning in March 2011, when we began making principal and interest payments totaling $0.6 million per month. As required under our loan agreement, we made an additional principal payment of $2.3 million in March 2012. In June 2012, we elected to make another principal payment of $1.9 million using proceeds from our line of credit. In August and September 2012, we elected to pay the remaining $2.2 million balance due under the loan agreement. We expect interest expense to be less in 2012 compared to 2011 because we have fully repaid our long-term debt.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Prior to our IPO, the fair value of the convertible preferred stock warrant liability increased resulting in a loss of $1.5 million for the nine months ended September 30, 2011. We did not have any outstanding convertible preferred stock warrants during the nine months ended September 30, 2012 as all convertible preferred stock warrants were either converted into warrants to purchase common stock, or expired unexercised, or were exercised for shares of our common stock upon the closing of our IPO in February 2011. Upon the closing of our IPO, liabilities related to the expired warrants were reversed, resulting in a gain of $0.8 million during the nine months ended September 30, 2011. Liabilities related to the warrants that were converted into warrants to purchase common stock and warrants that were exercised in connection with our IPO were reclassified to additional paid-in-capital.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Deemed Dividend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2011, we amended and restated our certificate of incorporation to decrease the conversion price of our Series E convertible preferred stock from $24.22 to $18.63 per share. As a result, we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 There was no similar transaction or deemed dividend in the nine months ended September 30,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September 30, 2012, our principal sources of liquidity consisted of $66.0 million of cash and cash equivalents and $23.3 million of investments. As of September 30, 2012, our working capital totaled $92.4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Nine Months Ended September 30,</w:t>
            </w:r>
          </w:p>
        </w:tc>
      </w:tr>
      <w:tr>
        <w:trPr>
          <w:trHeight w:val="142"/>
        </w:trPr>
        <w:tc>
          <w:tcPr>
            <w:tcW w:w="48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flow summary</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(13,979)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(15,287)</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(50,068)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71,432</w:t>
            </w:r>
          </w:p>
        </w:tc>
        <w:tc>
          <w:tcPr>
            <w:tcW w:w="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Net cash used in operating activities was $14.0 million during the nine months ended September 30, 2012. Net cash used in operating activities primarily consisted of our net loss of $15.4 million, changes in our operating assets and liabilities in the amount of $2.7 million, offset by non-cash expense items, such as stock-based compensation, of $3.0 million, depreciation and amortization of our property and equipment of $1.0 million, and amortization of debt discounts and issuance costs and loss on disposal of property and equipment of $0.1 million.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cash used in operating activities was $15.3 million during the nine months ended September 30, 2011. Net cash used in operating activities primarily consisted of our net loss of $19.0 million, changes in our operating assets and liabilities in the amount of $1.1 million, and non-cash expense items, such as stock-based compensation, of $2.0 million, depreciation and amortization of our property and equipment of $0.8 million, loss from changes in the fair value of convertible stock warrants of $1.5 million, gain from extinguishment of convertible preferred stock warrants of $0.8 million, write off of debt discounts upon note repayment of $1.2 million and amortization of debt discount and issuance costs of $0.2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Historically, our primary investing activities have consisted of capital expenditures for laboratory, manufacturing and computer equipment and software to support our expanding infrastructure and work force, and purchases, sales and maturities of our investments. We expect to continue to expand our manufacturing capability, including improvements in manufacturing productivity, and expect to incur additional costs for capital expenditures related to these efforts in future periods. In addition, we expect to incur costs for capital expenditures for demonstration units and loaner equipment to support our sales and service efforts.</w:t>
      </w:r>
    </w:p>
    <w:p>
      <w:pPr>
        <w:spacing w:after="0" w:line="9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Net cash provided by investing activities was $16.4 million during the nine months ended September 30, 2012. Net cash provided by investing activities primarily consisted of proceeds from sales and maturities of investments of $45.8 million, partially offset by purchases of investments of $27.7 million and purchases of capital equipment of $1.6 million to support growth in our commercial and manufacturing operations.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used in investing activities was $50.1 million during the nine months ended September 30, 2011. Net cash used in investing activities primarily related to investment of a portion of the net proceeds from our IPO in investment securities of $60.5 million, partially offset by proceeds from sales and maturities of investments of $13.5 million, payment to Life to preclude it from pursuing certain patent litigation against us of $2.0 million, and for purchases of capital equipment to support our infrastructure and manufacturing operations of $1.0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Prior to our IPO in February 2011, we funded our operations principally through issuances of convertible preferred stock, long-term debt and other borrowings.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generated $50.0 million of cash from financing activities during the nine months ended September 30, 2012 primarily from proceeds of approximately $56.1 million, net of underwriting discounts, commissions and offering expenses, from our underwritten public offering completed in August 2012, proceeds from the exercise of options to purchase our common stock of $2.1 million, and proceeds from our line of credit of $1.9 million, partially offset by repayment of principal on our long-term debt of $10.2 million.</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generated $71.4 million of cash from financing activities during the nine months ended September 30, 2011 primarily from our IPO proceeds of approximately $77.0 million, net of underwriting discounts, commissions and offering expenses, and $5.0 million from subordinated secured promissory notes with existing stockholders, partially offset by the pay off of our line of credit balance of $3.1 million, repayment of the outstanding principal and interest on the subordinated secured promissory notes of $5.0 million, and repayment of long-term debt of $3.3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September 30, 2012, our working capital was $92.4 million, including cash and cash equivalents and investments of $89.4 million. We have a bank line of credit agreement that is collateralized by our accounts receivable and provides us the ability to draw up to $7.0 million, subject to certain covenants and restrictions. At September 30, 2012, we had an outstanding obligation of $1.9 million under the line of credit. During the nine months ended September 30, 2012, we made principal payments totaling $10.2 million on our long-term debt and made payments for capital expenditures of $1.6 million. At September 30, 2012, there was no outstanding balance on our long-term debt. We are estimating capital expenditures to be higher in 2012 compared to 2011 primarily for equipment for manufacturing and research and development, and a new enterprise resource planning system.</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our existing cash and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commitments or agreements relating to any such acquisitions.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September 30, 2012, we have not had any off-balance sheet arrangements as defined in Item 303(a)(4) of Regulation S-K promulgated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have been no material changes, outside the ordinary course of business, in our outstanding contractual obligations from those disclosed within “Management’s Discussion and Analysis of Financial Condition and Results of Operations” as contained in our Annual Report on Form 10-K filed with the SEC on March 26,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currency denominated cash, receivables and payables as of September 30, 2012 would not be material. To date, we have not entered into any foreign currency hedging contracts although we may do so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had cash and cash equivalents of $66.0 million at September 30, 2012. These amounts were held primarily in cash on deposit with banks, cash equivalents and investments, which are short-term. We had $23.3 million in investments at September 30, 2012 held primarily in U.S. government agency securities. The contractual maturity dates of $20.1 million of our investments are within one year. The contractual maturity dates of our remaining investments are less than two years.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be materially affected.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2012, our Chief Executive Officer and Chief Financial Officer concluded that, as of such date, our disclosure controls and procedures were effective at the reasonable assurance level.</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quarter of 2012, we began implementation and use of a new Enterprise Resource Planning, or ERP, system for financial reporting and logistics. As a result, our financial and operating transactions utilize the functionality provided by the new ERP system. This new system is not in response to any identified deficiency or weakness in our internal control over financial reporting. The system implementation was designed, in part, to enhance the overall system of internal control over financial reporting through further automation of various business processes. We continued implementation of the ERP system for manufacturing operations during the third quarter of 2012.</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There were no other changes in our internal control over financial reporting that occurred during the three months ended September 30, 2012 that have materially affected, or are reasonably likely to materially affect, our internal control over financial reporting.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November 6, 2012, we filed a complaint against NanoString Technologies, Inc., or NanoString, in the United States District Court in the Northern District of California (Civil Action No. 12-5712), alleging claims of false advertising, unfair competition, and unlawful trade practice in violation of the Lanham Act and corresponding sections of the California Business &amp; Professions Code. Our complaint seeks to enjoin NanoString from continuing to make or disseminate any of the false and misleading claims, misrepresenting and/or exaggerating the performance of its product in comparison with our BioMark system, to require NanoString to retract, remove or correct the false and misleading advertising claims, and to recover damages and other relief for harm caused to us by NanoString. The litigation is in the preliminary stages.</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29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$15.4 million, $22.5 million, $16.9 million and $19.1 million during the nine months ended September 30, 2012 and the years 2011, 2010 and 2009, respectively. As of September 30, 2012, we had an accumulated deficit of $237.2 million. These losses have resulted principally from costs incurred in our research and development programs and from our manufacturing costs and selling, general and administrative expenses. We may continue to incur substantial operating and net losses and negative cash flow from operations.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1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the timeline anticipated, if at all, our business and results of operations will be adversely affected.</w:t>
      </w:r>
    </w:p>
    <w:p>
      <w:pPr>
        <w:spacing w:after="0" w:line="12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Emerging market opportunities may not develop as quickly as we expect, limiting our ability to successfully market and sell our products, or our product development and strategic plans relating to such markets may change and our entry into these emerging markets may be delayed, if it occurs at all.</w:t>
      </w:r>
    </w:p>
    <w:p>
      <w:pPr>
        <w:spacing w:after="0" w:line="138" w:lineRule="exact"/>
        <w:rPr>
          <w:sz w:val="20"/>
          <w:szCs w:val="20"/>
          <w:color w:val="auto"/>
        </w:rPr>
      </w:pPr>
    </w:p>
    <w:p>
      <w:pPr>
        <w:ind w:firstLine="456"/>
        <w:spacing w:after="0" w:line="262" w:lineRule="auto"/>
        <w:rPr>
          <w:sz w:val="20"/>
          <w:szCs w:val="20"/>
          <w:color w:val="auto"/>
        </w:rPr>
      </w:pPr>
      <w:r>
        <w:rPr>
          <w:rFonts w:ascii="Arial" w:cs="Arial" w:eastAsia="Arial" w:hAnsi="Arial"/>
          <w:sz w:val="17"/>
          <w:szCs w:val="17"/>
          <w:color w:val="auto"/>
        </w:rPr>
        <w:t>The application of our technologies to single-cell analysis, molecular diagnostics, digital polymerase chain reaction, or digital PCR, and sample preparation for next generation DNA sequencing are emerging market opportunities. We believe these opportunities will take several years to develop or mature and we cannot be certain that these market opportunities will develop as we expect. For example, we launched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system in June 2012, which applies our technology to, among other things, improve single-cell analytic workflow for single-cell analysis. The future growth of the single-cell analysis market and the success of our new system depend on many factors beyond our control, including recognition and acceptance by the scientific community and the growth, prevalence and costs of competing methods of genetic analysis. If the market for single-cell analysis, molecular diagnostics, digital PCR and sample preparation for next generation DNA sequencing do not develop as we expect, our business may be adversely affected. Additionally, our success in these emerging markets may depend to a large extent on our ability to successfully market and sell products using our technologies. If we are not able to successfully market and sell our products or to achieve the revenue or margins we expect, our operating results may be harmed and we may not recover our product development and marketing expenditures.</w:t>
      </w:r>
    </w:p>
    <w:p>
      <w:pPr>
        <w:sectPr>
          <w:pgSz w:w="11900" w:h="16838" w:orient="portrait"/>
          <w:cols w:equalWidth="0" w:num="1">
            <w:col w:w="11400"/>
          </w:cols>
          <w:pgMar w:left="240" w:top="459" w:right="25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type w:val="continuous"/>
        </w:sectPr>
      </w:pPr>
    </w:p>
    <w:bookmarkStart w:id="24" w:name="page25"/>
    <w:bookmarkEnd w:id="24"/>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addition, our product development and strategic plans may change, which could delay or impede our entry into emerging markets. For example, a collaboration agreement under which we would have applied our technologies in digital PCR to develop potential in-vitro diagnostics applications for the molecular diagnostics market terminated in May 2012. With the termination of the collaboration agreement, intellectual property rights in non-invasive prenatal diagnostics and digital PCR, which had been exclusively optioned under the agreement, reverted back to us. Although we can now fully pursue all market opportunities with customers interested in researching and developing products in all fields, including prenatal health and non-invasive prenatal diagnostics, we are evaluating our business plans and strategies, and our entry into the diagnostics market may be delayed, if it occurs at all.</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20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For example, in 2009, 2010 and 2011, we experienced higher sales in the fourth quarter than in the first quarter of the next fiscal year.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quarter-to-quarter financial results could be significantly impacted.</w:t>
      </w:r>
    </w:p>
    <w:p>
      <w:pPr>
        <w:spacing w:after="0" w:line="12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 will continue to fluctuate on a quarterly basis and that our financial results for some periods may be below those projected by securities analysts, which could significantly decrease the price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7"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Compared to some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customer base is primarily composed of academic institutions, diagnostic laboratories,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1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and consumables for gene expression analysis, single-cell analysis, genotyping, PCR, digital PCR, other nucleic acid detection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Bio-Rad Laboratories, Inc., Illumina, Inc., Life Technologies Corporation, LGC Limited, Luminex Corporation, NanoString Technologies, Inc., PerkinElmer, Inc. (through its acquisition of Caliper Life Sciences, Inc.), RainDance Technologies, Inc., Roche Applied Science (a division of Roche Diagnostics Corporation), Sequenom, Inc. and WaferGen Bio-systems, Inc. have products that compete in certain segments of the market in which we sell our products. In addition, a number of other companies and academic groups are in the process of developing novel technologies for life science markets.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w:t>
      </w:r>
    </w:p>
    <w:p>
      <w:pPr>
        <w:sectPr>
          <w:pgSz w:w="11900" w:h="16844" w:orient="portrait"/>
          <w:cols w:equalWidth="0" w:num="1">
            <w:col w:w="11420"/>
          </w:cols>
          <w:pgMar w:left="240" w:top="459"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280"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technologies. Increased competition is likely to result in pricing pressures, which could reduce our profit margins and increase our sales and marketing expenses. Additionally, we may be faced with false advertising, unfair competition or unlawful trade practices from our competitors. For example, on November 6, 2012, we filed a complaint in federal district court in the Northern District of California against NanoString Technologies, Inc., or NanoString, alleging claims of false advertising, unfair competition, and unlawful trade practice in violation of the Lanham Act and corresponding sections of the California Business &amp; Professions Code. Prosecuting the lawsuit may be costly and can impose a significant burden on management and employees, and there can be no assurances that a favorable outcome will be obtained in the litigation. Such competitive pressures could cause harm to our business, operating results and financial condition. Our failure to compete effectively could materially and adversely affect our business, financial condition and results of operations.</w:t>
      </w:r>
    </w:p>
    <w:p>
      <w:pPr>
        <w:spacing w:after="0" w:line="112" w:lineRule="exact"/>
        <w:rPr>
          <w:sz w:val="20"/>
          <w:szCs w:val="20"/>
          <w:color w:val="auto"/>
        </w:rPr>
      </w:pPr>
    </w:p>
    <w:p>
      <w:pPr>
        <w:ind w:right="180"/>
        <w:spacing w:after="0" w:line="378" w:lineRule="auto"/>
        <w:rPr>
          <w:sz w:val="20"/>
          <w:szCs w:val="20"/>
          <w:color w:val="auto"/>
        </w:rPr>
      </w:pPr>
      <w:r>
        <w:rPr>
          <w:rFonts w:ascii="Arial" w:cs="Arial" w:eastAsia="Arial" w:hAnsi="Arial"/>
          <w:sz w:val="15"/>
          <w:szCs w:val="15"/>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5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diagnostic laboratories,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the impending federal government budget sequestration,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microfluidic systems and chips. These reductions and delays may result from factors that are not within our control, such as:</w:t>
      </w:r>
    </w:p>
    <w:p>
      <w:pPr>
        <w:spacing w:after="0" w:line="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26" w:lineRule="exact"/>
        <w:rPr>
          <w:sz w:val="20"/>
          <w:szCs w:val="20"/>
          <w:color w:val="auto"/>
        </w:rPr>
      </w:pPr>
    </w:p>
    <w:p>
      <w:pPr>
        <w:ind w:right="160"/>
        <w:spacing w:after="0" w:line="378" w:lineRule="auto"/>
        <w:rPr>
          <w:sz w:val="20"/>
          <w:szCs w:val="20"/>
          <w:color w:val="auto"/>
        </w:rPr>
      </w:pPr>
      <w:r>
        <w:rPr>
          <w:rFonts w:ascii="Arial" w:cs="Arial" w:eastAsia="Arial" w:hAnsi="Arial"/>
          <w:sz w:val="15"/>
          <w:szCs w:val="15"/>
          <w:b w:val="1"/>
          <w:bCs w:val="1"/>
          <w:color w:val="auto"/>
        </w:rPr>
        <w:t>We may not be able to develop new products or enhance the capabilities of our existing microfluidic systems to keep pace with rapidly changing technology and customer requirements, which could have a material adverse effect on our business, revenue, financial condition and operating results.</w:t>
      </w:r>
    </w:p>
    <w:p>
      <w:pPr>
        <w:spacing w:after="0" w:line="5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PCR and single-cell analysis,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chips and/or assays and, as a result, our business will be harmed until we are able to secure a new facility.</w:t>
      </w:r>
    </w:p>
    <w:p>
      <w:pPr>
        <w:spacing w:after="0" w:line="12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manufacture and assemble all of our instruments and chips for commercial sale at our facility in Singapore and our assays for commercial sale at our headquarters in South San Francisco, California. No other manufacturing or assembly facilities are currently available to us, particularly facilities of the size and scope required by our Singapore operations. Our facilities and the equipment we use to manufacture our instruments, chips and assays would be costly to replace and could require substantial lead time to repair or replace. Our facilities may be harmed or rendered inoperable by natural or man-made disasters, which may render it difficult or impossible for us to manufacture our products for some period of time.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current leases for our manufacturing facility in Singapore expire at various times through October 2014 and our current lease for our facilities in South San Francisco expires in April 2015. If we are unable to secure new leases upon the expiration of our current leases or if either of our facilities becomes otherwise unavailable to us, and we are required to move our operations to a new manufacturing facility, we will incur significant expense in connection with the establishment of a new facility. A move would be administratively and logistically challenging and would delay and otherwise adversely affect our manufacturing activities and business operations. We cannot provide assurances that we will be able to secure new leases on our existing manufacturing facilities or a new manufacturing facility on acceptable terms, if at all.</w:t>
      </w:r>
    </w:p>
    <w:p>
      <w:pPr>
        <w:spacing w:after="0" w:line="13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products, and the loss of any of these suppliers could harm our business.</w:t>
      </w:r>
    </w:p>
    <w:p>
      <w:pPr>
        <w:spacing w:after="0" w:line="12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rely on single source suppliers for certain components and materials used in our products. We do not have long term contracts with our suppliers of these components and materials. The loss of the single source suppliers of any of the following components and/or materials would require significant time and effort to locate and qualify an alternative source of supply:</w:t>
      </w:r>
    </w:p>
    <w:p>
      <w:pPr>
        <w:spacing w:after="0" w:line="59" w:lineRule="exact"/>
        <w:rPr>
          <w:sz w:val="20"/>
          <w:szCs w:val="20"/>
          <w:color w:val="auto"/>
        </w:rPr>
      </w:pPr>
    </w:p>
    <w:p>
      <w:pPr>
        <w:ind w:left="900" w:right="8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custom camera lenses, fiber light guides and other components that are available from a limited number of sources.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raw materials for our DELTAgene and SNPtype assays and Access Array Target-Specific primers.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products or cause delays in shipment of our products; and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20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In addition,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If we are unable to keep up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demand for our products by successfully manufacturing and shipping our products in a timely manner, our revenue could be impaired, market acceptance for our products could be adversely affected and our customers might instead purchase our competitors’ products.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of our instruments and chips for commercial sale are manufactured at our facility in Singapore.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0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products could become subject to regulation as medical devices by the U.S. Food and Drug Administration, or FDA, or other regulatory agencies in the future.</w:t>
      </w:r>
    </w:p>
    <w:p>
      <w:pPr>
        <w:spacing w:after="0" w:line="12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products are currently labeled and sold to academic institutions, life sciences laboratories, and pharmaceutical, biotechnology and Ag-Bio companies for research purposes only, and not as diagnostic tests or medical devices. As products labeled for research use only, and used by our customers for research purposes only, they are subject only to limited regulation as medical devices by the FDA under 21 Code of Federal Regulations Section 809.10(c) with respect to their labeling. Research use only products are not currently subject to regulation as medical devices by comparable agencies of other countries. However, if we change the labeling of our products in the future to include indications for human diagnostic applications or medical uses, or we have knowledge that our customers are using our products for diagnostic purposes, our products or related applications could be subject to additional regulation as in vitro diagnostic devices, such as under the FDA’s pre- and post-market regulations for medical devices. For example, if we wish to label and market our products for use in performing clinical diagnostics, we would first need to obtain FDA pre-market clearance or approval (depending on any product’s specific intended use and any such modified labeling claims),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clearance or approval. Even if we were to obtain regulatory approval or clearance, it may not be for the uses we believe are important or commercially attractive.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Further, the FDA may expand its jurisdiction over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any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Additionally, in June 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or intends for its product to be, offered for clinical diagnostic uses. These circumstances may include written or verbal marketing claims regarding a product’s performance in clinical applications and a manufacturer’s provision of technical support for clinical applications. If the FDA imposes significant changes to the regulation of LDTs, or modifies its approach to our products labeled for research use only, but which may be used by our customers for clinical use, it could reduce our revenue or increase our costs and adversely affect our business, prospects, results of operations or financial condition.</w:t>
      </w:r>
    </w:p>
    <w:p>
      <w:pPr>
        <w:spacing w:after="0" w:line="12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may be required to proactively achieve compliance with certain FDA regulations and to conform our manufacturing operations to the FDA’s good manufacturing practice regulations for medical devices, known as the Quality System Regulation, or QSR, as part of our contracts with customers or as part of our collaborations with third parties. In addition, we may voluntarily seek to conform our manufacturing operations to the QSR. For clinical diagnostic products that are regulated as medical devices, the FDA enforces the QSR through periodic unannounced inspections of registered manufacturing facilities. If we are required to comply with the QSR,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recruit and retain key executives, scientists and technical support personnel, we may be unable to achieve our goals.</w:t>
      </w:r>
    </w:p>
    <w:p>
      <w:pPr>
        <w:spacing w:after="0" w:line="20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the future, we may make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6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2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global credit and financial markets have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17"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0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three months ended September 30, 2012 and the years 2011, 2010 and 2009, approximately 38%, 47%, 45% and 46%, respectively, of our product revenue was generated from sales to customers located outside of the United States. We believe that a significant percentage of our future revenue will come from international sources as we expand our overseas operations and develop opportunities in other international areas. Engaging in international business inherently involves a number of difficulties and risks, including:</w:t>
      </w:r>
    </w:p>
    <w:p>
      <w:pPr>
        <w:spacing w:after="0" w:line="6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it would become more costly in U.S. dollars for us to manufacture our products in Singapore.</w:t>
      </w:r>
    </w:p>
    <w:p>
      <w:pPr>
        <w:spacing w:after="0" w:line="9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177"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our facilities located in Singapore and South San Francisco, California, are sufficient to meet our short-term manufacturing needs. The current leases for our facilities in Singapore expire at various times through October 2014 and our current lease for our facilities in South San Francisco expires in April 2015. In order to meet long-term demand for our microfluidic systems, we believe that we will need to add to our existing manufacturing space in Singapore or move all of our manufacturing facilities to a new location in Singapore in 2014.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 We cannot provide assurances that we will be able to secure a lease on a new manufacturing facility on acceptable terms, if at all.</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1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We generally provide warranties that our microfluidic systems will meet performance expectations and will be free from defects. We also provide warranties relating to other parts of our microfluidic systems. The costs incurred in correcting any defects or errors may be substantial and could adversely affect our operating margins.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manufacturing our products, including our systems, chips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 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which represented 16% of our product revenue in the three months ended September 30, 2012 and 36% of our product revenue in 2011, involves real-time quantitative PCR, or qPCR. Leading suppliers of reagents for real-time qPCR reactions include Life Technologies Corporation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126" w:lineRule="exact"/>
        <w:rPr>
          <w:sz w:val="20"/>
          <w:szCs w:val="20"/>
          <w:color w:val="auto"/>
        </w:rPr>
      </w:pPr>
    </w:p>
    <w:p>
      <w:pPr>
        <w:ind w:firstLine="456"/>
        <w:spacing w:after="0" w:line="262" w:lineRule="auto"/>
        <w:rPr>
          <w:sz w:val="20"/>
          <w:szCs w:val="20"/>
          <w:color w:val="auto"/>
        </w:rPr>
      </w:pPr>
      <w:r>
        <w:rPr>
          <w:rFonts w:ascii="Arial" w:cs="Arial" w:eastAsia="Arial" w:hAnsi="Arial"/>
          <w:sz w:val="17"/>
          <w:szCs w:val="17"/>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our BioMark HD system for genomic analysis was introduced for commercial sale in 2011, we began producing and selling assays for use with our chips in May 2011, and we launched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system for single-cell analysis in June 2012. 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3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3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26"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Our compliance with Section 404 will require that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Market, or NASDAQ, the SEC or other regulatory authorities, which would require additional financial and management resources.</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2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it could adversely affect the effectiveness of our internal controls over financial reporting.</w:t>
      </w:r>
    </w:p>
    <w:p>
      <w:pPr>
        <w:spacing w:after="0" w:line="14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8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29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w:t>
      </w:r>
    </w:p>
    <w:p>
      <w:pPr>
        <w:sectPr>
          <w:pgSz w:w="11900" w:h="16838" w:orient="portrait"/>
          <w:cols w:equalWidth="0" w:num="1">
            <w:col w:w="11400"/>
          </w:cols>
          <w:pgMar w:left="240" w:top="459" w:right="259" w:bottom="0" w:gutter="0" w:footer="0" w:header="0"/>
        </w:sectPr>
      </w:pPr>
    </w:p>
    <w:bookmarkStart w:id="35" w:name="page36"/>
    <w:bookmarkEnd w:id="35"/>
    <w:p>
      <w:pPr>
        <w:ind w:right="420"/>
        <w:spacing w:after="0" w:line="268" w:lineRule="auto"/>
        <w:rPr>
          <w:sz w:val="20"/>
          <w:szCs w:val="20"/>
          <w:color w:val="auto"/>
        </w:rPr>
      </w:pPr>
      <w:r>
        <w:rPr>
          <w:rFonts w:ascii="Arial" w:cs="Arial" w:eastAsia="Arial" w:hAnsi="Arial"/>
          <w:sz w:val="18"/>
          <w:szCs w:val="18"/>
          <w:color w:val="auto"/>
        </w:rPr>
        <w:t>devices that avoid infringement of our patents. Both the patent application process and the process of managing patent disputes can be time consuming and expensive.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5"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13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In June 2011, we resolved this dispute by entering into a license agreement with Life Technologies Corporation which, among other matters, granted us a non-exclusive license to the ‘934 patent and its foreign counterparts.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integrated fluidic circuit and multi-layer soft lithography technologies. In some cases, we do not control the prosecution, maintenance, or filing of the patents to which we hold licenses, or the enforcement of these patents against third parties.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license is terminated, we might be barred from marketing, producing and selling some or all of our products, which would have an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All of our instruments, including microfluidic systems, and chips for commercial sale are manufactured at our facility in Singapore. The federal regulations allow the funding government agency to grant, at the request of the licensors of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In June 2012, the licensors requested a continued waiver of the domestic manufacturing requirement with respect to the relevant patents.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September 30, 2012, we had 24,987,534 shares of common stock outstanding, and stockholders holding at least 5% of our stock, individually or with affiliated entities, collectively beneficially owned or controlled approximately 34.8%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9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 trading volume could decline.</w:t>
      </w:r>
    </w:p>
    <w:p>
      <w:pPr>
        <w:spacing w:after="0" w:line="1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07"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12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September 30, 2012, our current executive officers, directors, stockholders holding at least 5% of our outstanding stock, and their respective affiliates, collectively beneficially owned or controlled approximately 36.4%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4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3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1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9, 2011, our registration statement on Form S-1 (File No. 333-170965) was declared effective for the initial public offering of our common stock, or IPO. Through September 30, 2012, the net proceeds from our IPO have been applied as follows: $5.0 million for the repayment of promissory notes issued in January 2011, $3.1 million for the repayment of our bank line of credit, $24.6 million for research and development expenses, $10.2 million for general corporate purposes including selling, general and administrative expenses and litigation settlement expense, and $3.3 million for capital expenditures. On June 30, 2011, we paid $3.0 million in connection with the settlement of certain patent litigation with Life Technologies Corporation, or Life. In July 2011, we paid Life an additional $2.0 million in connection with our exercise of an option under the terms of our agreements with Life to limit or preclude certain patent litigation between the parties over a period of two to four years. Other than the aggregate payment of $5.0 million to Life, there has been no material change in the planned use of proceeds from our IPO from that described in the final prospectus filed with the SEC pursuant to Rule 424(b) on February 10,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Incorporated by</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Exhibit</w:t>
            </w:r>
          </w:p>
        </w:tc>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Reference From</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2"/>
                <w:szCs w:val="12"/>
                <w:color w:val="auto"/>
              </w:rPr>
            </w:pPr>
          </w:p>
        </w:tc>
        <w:tc>
          <w:tcPr>
            <w:tcW w:w="3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2"/>
              </w:rPr>
              <w:t>Date</w:t>
            </w:r>
          </w:p>
        </w:tc>
      </w:tr>
      <w:tr>
        <w:trPr>
          <w:trHeight w:val="168"/>
        </w:trPr>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Number</w:t>
            </w:r>
          </w:p>
        </w:tc>
        <w:tc>
          <w:tcPr>
            <w:tcW w:w="30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5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Filed</w:t>
            </w:r>
          </w:p>
        </w:tc>
      </w:tr>
      <w:tr>
        <w:trPr>
          <w:trHeight w:val="316"/>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Pursuant to 18 U.S.C. Section 1350, as Adopted Pursuant to Section 302 of</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Filed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18"/>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Pursuant to 18 U.S.C. Section 1350, as Adopted Pursuant to Section 302 of</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Filed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the Sarbanes-Oxley Act of 2002 of Chief Financial Officer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18"/>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32.1(1)</w:t>
            </w:r>
          </w:p>
        </w:tc>
        <w:tc>
          <w:tcPr>
            <w:tcW w:w="42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Pursuant to 18 U.S.C. Section 1350, as Adopted Pursuant to Section 906 of</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Furnished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18"/>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32.2(1)</w:t>
            </w:r>
          </w:p>
        </w:tc>
        <w:tc>
          <w:tcPr>
            <w:tcW w:w="42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Pursuant to 18 U.S.C. Section 1350, as Adopted Pursuant to Section 906 of</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Furnished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the Sarbanes-Oxley Act of 2002 of Chief Financial Officer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101.INS(2)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Instance Document</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Furnished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101.SCH(2)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Furnished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101.CAL(2)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Furnished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101.LAB(2)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Furnished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101.PRE(2)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Furnished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101.DEF(2)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Definition Document</w:t>
            </w: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rPr>
              <w:t>Furnished herewith</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60" w:hanging="452"/>
        <w:spacing w:after="0" w:line="252"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jc w:val="both"/>
        <w:ind w:left="460" w:right="12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FLUIDIGM CORPORATION</w:t>
      </w:r>
    </w:p>
    <w:p>
      <w:pPr>
        <w:spacing w:after="0" w:line="17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November 9, 2012</w:t>
      </w:r>
      <w:r>
        <w:rPr>
          <w:sz w:val="20"/>
          <w:szCs w:val="20"/>
          <w:color w:val="auto"/>
        </w:rPr>
        <w:tab/>
      </w:r>
      <w:r>
        <w:rPr>
          <w:rFonts w:ascii="Arial" w:cs="Arial" w:eastAsia="Arial" w:hAnsi="Arial"/>
          <w:sz w:val="16"/>
          <w:szCs w:val="16"/>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Gajus V. Worthington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November 9, 2012</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EXHIBIT LIST</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Incorporated by</w:t>
            </w:r>
          </w:p>
        </w:tc>
      </w:tr>
      <w:tr>
        <w:trPr>
          <w:trHeight w:val="149"/>
        </w:trPr>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Exhibit</w:t>
            </w:r>
          </w:p>
        </w:tc>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Reference From</w:t>
            </w:r>
          </w:p>
        </w:tc>
      </w:tr>
      <w:tr>
        <w:trPr>
          <w:trHeight w:val="168"/>
        </w:trPr>
        <w:tc>
          <w:tcPr>
            <w:tcW w:w="1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80" w:type="dxa"/>
            <w:vAlign w:val="bottom"/>
          </w:tcPr>
          <w:p>
            <w:pPr>
              <w:spacing w:after="0"/>
              <w:rPr>
                <w:sz w:val="14"/>
                <w:szCs w:val="14"/>
                <w:color w:val="auto"/>
              </w:rPr>
            </w:pPr>
          </w:p>
        </w:tc>
      </w:tr>
      <w:tr>
        <w:trPr>
          <w:trHeight w:val="316"/>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Pursuant to 18 U.S.C. Section 1350, as Adopted Pursuant to Section 302 of</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Filed herewith</w:t>
            </w:r>
          </w:p>
        </w:tc>
      </w:tr>
      <w:tr>
        <w:trPr>
          <w:trHeight w:val="222"/>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18"/>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Pursuant to 18 U.S.C. Section 1350, as Adopted Pursuant to Section 302 of</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Filed herewith</w:t>
            </w:r>
          </w:p>
        </w:tc>
      </w:tr>
      <w:tr>
        <w:trPr>
          <w:trHeight w:val="222"/>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the Sarbanes-Oxley Act of 2002 of Chief Financial Officer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18"/>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32.1(1)</w:t>
            </w:r>
          </w:p>
        </w:tc>
        <w:tc>
          <w:tcPr>
            <w:tcW w:w="42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Pursuant to 18 U.S.C. Section 1350, as Adopted Pursuant to Section 906 of</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87"/>
              </w:rPr>
              <w:t>Furnished herewith</w:t>
            </w:r>
          </w:p>
        </w:tc>
      </w:tr>
      <w:tr>
        <w:trPr>
          <w:trHeight w:val="222"/>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the Sarbanes-Oxley Act of 2002 of President and Chief Executive Officer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18"/>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32.2(1)</w:t>
            </w:r>
          </w:p>
        </w:tc>
        <w:tc>
          <w:tcPr>
            <w:tcW w:w="420" w:type="dxa"/>
            <w:vAlign w:val="bottom"/>
          </w:tcPr>
          <w:p>
            <w:pPr>
              <w:spacing w:after="0"/>
              <w:rPr>
                <w:sz w:val="24"/>
                <w:szCs w:val="24"/>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Pursuant to 18 U.S.C. Section 1350, as Adopted Pursuant to Section 906 of</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87"/>
              </w:rPr>
              <w:t>Furnished herewith</w:t>
            </w:r>
          </w:p>
        </w:tc>
      </w:tr>
      <w:tr>
        <w:trPr>
          <w:trHeight w:val="222"/>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the Sarbanes-Oxley Act of 2002 of Chief Financial Officer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101.INS(2)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Instance Document</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87"/>
              </w:rPr>
              <w:t>Furnished herewith</w:t>
            </w: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101.SCH(2)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87"/>
              </w:rPr>
              <w:t>Furnished herewith</w:t>
            </w: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101.CAL(2)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87"/>
              </w:rPr>
              <w:t>Furnished herewith</w:t>
            </w: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101.LAB(2)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87"/>
              </w:rPr>
              <w:t>Furnished herewith</w:t>
            </w: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101.PRE(2)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87"/>
              </w:rPr>
              <w:t>Furnished herewith</w:t>
            </w: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101.DEF(2)</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Definition Document</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87"/>
              </w:rPr>
              <w:t>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60"/>
        <w:spacing w:after="0"/>
        <w:rPr>
          <w:sz w:val="20"/>
          <w:szCs w:val="20"/>
          <w:color w:val="auto"/>
        </w:rPr>
      </w:pPr>
      <w:r>
        <w:rPr>
          <w:rFonts w:ascii="Arial" w:cs="Arial" w:eastAsia="Arial" w:hAnsi="Arial"/>
          <w:sz w:val="12"/>
          <w:szCs w:val="12"/>
          <w:b w:val="1"/>
          <w:bCs w:val="1"/>
          <w:color w:val="auto"/>
        </w:rPr>
        <w:t>Incorporated</w:t>
      </w:r>
    </w:p>
    <w:p>
      <w:pPr>
        <w:spacing w:after="0" w:line="25" w:lineRule="exact"/>
        <w:rPr>
          <w:sz w:val="20"/>
          <w:szCs w:val="20"/>
          <w:color w:val="auto"/>
        </w:rPr>
      </w:pPr>
    </w:p>
    <w:p>
      <w:pPr>
        <w:jc w:val="center"/>
        <w:ind w:right="660"/>
        <w:spacing w:after="0"/>
        <w:rPr>
          <w:sz w:val="20"/>
          <w:szCs w:val="20"/>
          <w:color w:val="auto"/>
        </w:rPr>
      </w:pPr>
      <w:r>
        <w:rPr>
          <w:rFonts w:ascii="Arial" w:cs="Arial" w:eastAsia="Arial" w:hAnsi="Arial"/>
          <w:sz w:val="12"/>
          <w:szCs w:val="12"/>
          <w:b w:val="1"/>
          <w:bCs w:val="1"/>
          <w:color w:val="auto"/>
        </w:rPr>
        <w:t>by Reference</w:t>
      </w:r>
    </w:p>
    <w:p>
      <w:pPr>
        <w:jc w:val="center"/>
        <w:ind w:right="660"/>
        <w:spacing w:after="0" w:line="237" w:lineRule="auto"/>
        <w:rPr>
          <w:sz w:val="20"/>
          <w:szCs w:val="20"/>
          <w:color w:val="auto"/>
        </w:rPr>
      </w:pPr>
      <w:r>
        <w:rPr>
          <w:rFonts w:ascii="Arial" w:cs="Arial" w:eastAsia="Arial" w:hAnsi="Arial"/>
          <w:sz w:val="14"/>
          <w:szCs w:val="14"/>
          <w:b w:val="1"/>
          <w:bCs w:val="1"/>
          <w:color w:val="auto"/>
        </w:rPr>
        <w:t>From</w:t>
      </w:r>
    </w:p>
    <w:p>
      <w:pPr>
        <w:ind w:left="160"/>
        <w:spacing w:after="0"/>
        <w:tabs>
          <w:tab w:leader="none" w:pos="1100" w:val="left"/>
        </w:tabs>
        <w:rPr>
          <w:sz w:val="20"/>
          <w:szCs w:val="20"/>
          <w:color w:val="auto"/>
        </w:rPr>
      </w:pPr>
      <w:r>
        <w:rPr>
          <w:rFonts w:ascii="Arial" w:cs="Arial" w:eastAsia="Arial" w:hAnsi="Arial"/>
          <w:sz w:val="12"/>
          <w:szCs w:val="12"/>
          <w:b w:val="1"/>
          <w:bCs w:val="1"/>
          <w:color w:val="auto"/>
        </w:rPr>
        <w:t>Exhibit</w:t>
      </w:r>
      <w:r>
        <w:rPr>
          <w:sz w:val="20"/>
          <w:szCs w:val="20"/>
          <w:color w:val="auto"/>
        </w:rPr>
        <w:tab/>
      </w:r>
      <w:r>
        <w:rPr>
          <w:rFonts w:ascii="Arial" w:cs="Arial" w:eastAsia="Arial" w:hAnsi="Arial"/>
          <w:sz w:val="12"/>
          <w:szCs w:val="12"/>
          <w:b w:val="1"/>
          <w:bCs w:val="1"/>
          <w:color w:val="auto"/>
        </w:rPr>
        <w:t>Date</w:t>
      </w:r>
    </w:p>
    <w:p>
      <w:pPr>
        <w:spacing w:after="0" w:line="10" w:lineRule="exact"/>
        <w:rPr>
          <w:sz w:val="20"/>
          <w:szCs w:val="20"/>
          <w:color w:val="auto"/>
        </w:rPr>
      </w:pPr>
    </w:p>
    <w:p>
      <w:pPr>
        <w:jc w:val="both"/>
        <w:ind w:left="140"/>
        <w:spacing w:after="0"/>
        <w:tabs>
          <w:tab w:leader="none" w:pos="11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u w:val="single" w:color="auto"/>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-7620</wp:posOffset>
            </wp:positionV>
            <wp:extent cx="514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4246" w:lineRule="exact"/>
        <w:rPr>
          <w:sz w:val="20"/>
          <w:szCs w:val="20"/>
          <w:color w:val="auto"/>
        </w:rPr>
      </w:pPr>
    </w:p>
    <w:p>
      <w:pPr>
        <w:sectPr>
          <w:pgSz w:w="11900" w:h="16838" w:orient="portrait"/>
          <w:cols w:equalWidth="0" w:num="2">
            <w:col w:w="9560" w:space="440"/>
            <w:col w:w="1420"/>
          </w:cols>
          <w:pgMar w:left="240" w:top="459" w:right="239" w:bottom="1440" w:gutter="0" w:footer="0" w:header="0"/>
        </w:sectPr>
      </w:pPr>
    </w:p>
    <w:p>
      <w:pPr>
        <w:ind w:left="460" w:right="160" w:hanging="452"/>
        <w:spacing w:after="0" w:line="252"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jc w:val="both"/>
        <w:ind w:left="460" w:right="12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6"/>
          <w:szCs w:val="16"/>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Gajus V. Worthington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3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51" w:lineRule="exact"/>
        <w:rPr>
          <w:sz w:val="20"/>
          <w:szCs w:val="20"/>
          <w:color w:val="auto"/>
        </w:rPr>
      </w:pPr>
    </w:p>
    <w:p>
      <w:pPr>
        <w:ind w:left="460" w:right="900" w:firstLine="443"/>
        <w:spacing w:after="0" w:line="268"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2012 (the “Report”),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November 9, 2012</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51" w:lineRule="exact"/>
        <w:rPr>
          <w:sz w:val="20"/>
          <w:szCs w:val="20"/>
          <w:color w:val="auto"/>
        </w:rPr>
      </w:pPr>
    </w:p>
    <w:p>
      <w:pPr>
        <w:ind w:left="460" w:right="900" w:firstLine="443"/>
        <w:spacing w:after="0" w:line="268" w:lineRule="auto"/>
        <w:tabs>
          <w:tab w:leader="none" w:pos="11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2012 (the “Report”),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November 9,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lowerRoman"/>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2019-12-09T15:30:59Z</dcterms:created>
  <dcterms:modified xsi:type="dcterms:W3CDTF">2019-12-09T15:30:59Z</dcterms:modified>
</cp:coreProperties>
</file>