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4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9"/>
              </w:rPr>
              <w:t>As of October 31, 2011, there were 20,243,627 shares of the Registrant’s common stock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0"/>
        </w:trPr>
        <w:tc>
          <w:tcPr>
            <w:tcW w:w="176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vMerge w:val="restart"/>
          </w:tcPr>
          <w:p>
            <w:pPr>
              <w:spacing w:after="0"/>
              <w:rPr>
                <w:sz w:val="20"/>
                <w:szCs w:val="20"/>
                <w:color w:val="auto"/>
              </w:rPr>
            </w:pPr>
            <w:r>
              <w:rPr>
                <w:rFonts w:ascii="Arial" w:cs="Arial" w:eastAsia="Arial" w:hAnsi="Arial"/>
                <w:sz w:val="18"/>
                <w:szCs w:val="18"/>
                <w:color w:val="auto"/>
              </w:rPr>
              <w:t>PART I.</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40" w:type="dxa"/>
            <w:vAlign w:val="bottom"/>
            <w:gridSpan w:val="10"/>
            <w:vMerge w:val="restart"/>
          </w:tcPr>
          <w:p>
            <w:pPr>
              <w:jc w:val="center"/>
              <w:ind w:right="2680"/>
              <w:spacing w:after="0"/>
              <w:rPr>
                <w:sz w:val="20"/>
                <w:szCs w:val="20"/>
                <w:color w:val="auto"/>
              </w:rPr>
            </w:pPr>
            <w:r>
              <w:rPr>
                <w:rFonts w:ascii="Arial" w:cs="Arial" w:eastAsia="Arial" w:hAnsi="Arial"/>
                <w:sz w:val="18"/>
                <w:szCs w:val="18"/>
                <w:color w:val="auto"/>
                <w:w w:val="97"/>
              </w:rPr>
              <w:t>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24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40" w:type="dxa"/>
            <w:vAlign w:val="bottom"/>
            <w:gridSpan w:val="10"/>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4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2011 and December 31,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 and nine months ended September 30, 2011 and 2010</w:t>
              </w:r>
            </w:hyperlink>
          </w:p>
        </w:tc>
        <w:tc>
          <w:tcPr>
            <w:tcW w:w="1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for the nine months ended September 30, 2011 and 2010</w:t>
              </w:r>
            </w:hyperlink>
          </w:p>
        </w:tc>
        <w:tc>
          <w:tcPr>
            <w:tcW w:w="21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9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of Financial Condition and Results of Operations</w:t>
              </w:r>
            </w:hyperlink>
          </w:p>
        </w:tc>
        <w:tc>
          <w:tcPr>
            <w:tcW w:w="35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55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80" w:type="dxa"/>
            <w:vAlign w:val="bottom"/>
            <w:gridSpan w:val="9"/>
          </w:tcPr>
          <w:p>
            <w:pPr>
              <w:jc w:val="center"/>
              <w:ind w:right="4140"/>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2520" w:type="dxa"/>
            <w:vAlign w:val="bottom"/>
            <w:gridSpan w:val="3"/>
          </w:tcPr>
          <w:p>
            <w:pPr>
              <w:spacing w:after="0"/>
              <w:rPr>
                <w:sz w:val="24"/>
                <w:szCs w:val="24"/>
                <w:color w:val="auto"/>
              </w:rPr>
            </w:pPr>
          </w:p>
        </w:tc>
        <w:tc>
          <w:tcPr>
            <w:tcW w:w="1820" w:type="dxa"/>
            <w:vAlign w:val="bottom"/>
            <w:tcBorders>
              <w:top w:val="single" w:sz="8" w:color="0000EE"/>
            </w:tcBorders>
            <w:gridSpan w:val="4"/>
          </w:tcPr>
          <w:p>
            <w:pPr>
              <w:spacing w:after="0"/>
              <w:rPr>
                <w:sz w:val="24"/>
                <w:szCs w:val="24"/>
                <w:color w:val="auto"/>
              </w:rPr>
            </w:pPr>
          </w:p>
        </w:tc>
        <w:tc>
          <w:tcPr>
            <w:tcW w:w="41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Risk Factors</w:t>
              </w:r>
            </w:hyperlink>
          </w:p>
        </w:tc>
        <w:tc>
          <w:tcPr>
            <w:tcW w:w="89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Unregistered Sales of Equity Securities and Use of Proceeds</w:t>
              </w:r>
            </w:hyperlink>
          </w:p>
        </w:tc>
        <w:tc>
          <w:tcPr>
            <w:tcW w:w="55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 LIST</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532"/>
        </w:trPr>
        <w:tc>
          <w:tcPr>
            <w:tcW w:w="10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0"/>
          </w:tcPr>
          <w:p>
            <w:pPr>
              <w:ind w:left="43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(Note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Available-for-sales securities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47,049</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 of $479 and $467 at September 30,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 and December 31, 2010, respectively)</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8,966</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5,836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76,032</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Investment, at cost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1,340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82,602</w:t>
            </w:r>
          </w:p>
        </w:tc>
        <w:tc>
          <w:tcPr>
            <w:tcW w:w="8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8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LIABILITIES, CONVERTIBLE PREFERRED STOCK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4,679</w:t>
            </w:r>
          </w:p>
        </w:tc>
        <w:tc>
          <w:tcPr>
            <w:tcW w:w="8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2,710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8,601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19,662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2,989</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23,451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issuable in series: $0.001 par value, 10,000 and 11,269 shares authorized at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September 30, 2011 and December 31, 2010, respectively; 0 and 10,296 shares issued and outstanding as of</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2011 and December 31, 2010, respectively</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200,000 and 18,327 shares authorized at September 30, 2011 and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December 31, 2010, respectively; 20,232 and 1,937 shares issued and outstanding as of September 30,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 and December 31, 2010, respectively</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278,213</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8"/>
                <w:szCs w:val="18"/>
                <w:color w:val="auto"/>
                <w:w w:val="93"/>
              </w:rPr>
              <w:t>(218,340)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(199,327)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59,151</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(189,167)</w:t>
            </w:r>
          </w:p>
        </w:tc>
        <w:tc>
          <w:tcPr>
            <w:tcW w:w="0" w:type="dxa"/>
            <w:vAlign w:val="bottom"/>
          </w:tcPr>
          <w:p>
            <w:pPr>
              <w:spacing w:after="0"/>
              <w:rPr>
                <w:sz w:val="1"/>
                <w:szCs w:val="1"/>
                <w:color w:val="auto"/>
              </w:rPr>
            </w:pP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82,602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Three Months Ended 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10,168</w:t>
            </w:r>
          </w:p>
        </w:tc>
        <w:tc>
          <w:tcPr>
            <w:tcW w:w="5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7,150</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28,291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and collaboration revenue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Grant revenue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29,869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9,183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9,935</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23,338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Litigation settlement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45,456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(4,055)</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(15,587)</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(2,711)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(Loss) gain from changes in the fair value of convertible preferred stock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warrants, net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(4,469)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(18,883)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(4,489)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(19,013)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4"/>
              </w:rPr>
              <w:t>Deemed dividend related to the change in conversion rate of Series E convertible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(9,900)</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(4,489)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(28,913)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(0.22)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4"/>
              </w:rPr>
              <w:t>Shares used in computing net loss per share attributed to common stockholders,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16,970</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(19,013)</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Loss (gain) from changes in the fair value of convertible preferred stock warrants,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Write-off of debt discount upon note repayment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issuance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Sales and maturities of available-for-sale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License agreement rights</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restricted cash</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(50,068)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1"/>
              </w:rPr>
              <w:t>Proceeds from exercise of convertible preferred stock warrants and issuance of convertible preferred stock, net of issuance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Repayment of note</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Repayment of line of credit</w:t>
            </w: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11,881</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to common stock upon initial public offering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w w:val="97"/>
              </w:rPr>
              <w:t>Issuance of convertible preferred stock warrants in connection with note and warrant agreement and long-term debt</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convertible preferred stock warrants upon initial public offering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Conversion of convertible preferred stock warrants to common stock warrants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1,535</w:t>
            </w:r>
          </w:p>
        </w:tc>
        <w:tc>
          <w:tcPr>
            <w:tcW w:w="2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exercise of convertible preferred stock warrants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Extinguishment of convertible preferred stock warrants as part of preferred stock warrant exchange and exercise</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Fluidigm Corporation (the Company) was incorporated in the State of California on May 11, 1999, to commercialize microfluidic technology initially developed at the California Institute of Technology. In July 2007, the Company was reincorporated in the State of Delaware. The Company’s headquarters are located in South San Francisco, California. The Company develops, manufactures and markets microfluidic systems consisting of instruments and consumables, including chips and reagents, to leading pharmaceutical and biotechnology companies, academic institutions, diagnostic laboratories and agricultural biotechnology (Ag-Bio) companies in the life science and Ag-Bio industries. The Company’s proprietary microfluidic systems are designed to simplify experimental workflow, increase throughput, reduce costs, and provide quality data.</w:t>
      </w:r>
    </w:p>
    <w:p>
      <w:pPr>
        <w:spacing w:after="0" w:line="236" w:lineRule="exact"/>
        <w:rPr>
          <w:sz w:val="20"/>
          <w:szCs w:val="20"/>
          <w:color w:val="auto"/>
        </w:rPr>
      </w:pPr>
    </w:p>
    <w:p>
      <w:pPr>
        <w:ind w:right="7640" w:firstLine="8"/>
        <w:spacing w:after="0" w:line="347" w:lineRule="auto"/>
        <w:tabs>
          <w:tab w:leader="none" w:pos="44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2010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and nine months ended September 30, 2011 are not necessarily indicative of the results to be expected for the year ending December 31, 2011 or for any other interim period or for any other future year.</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preparation of these condensed consolidated financial statements requires the Company to make estimates and judgments that affect the reported amounts of assets, liabilities, revenues, expenses, and related disclosures. On an ongoing basis, the Company evaluates its estimates, including critical accounting policies or estimates related to revenue recognition, income tax provisions, stock-based compensation, inventory valuation, and allowances for doubtful accounts. The Company bases its estimates on historical experience and on various relevant assumptions that the Company believes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2010 included in the Company’s Annual Report on Form 10-K filed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February 2011, the Company amended and restated its Certificate of Incorporation to increase the total number of shares of stock authorized for issuance from 29,595,999 to 210,000,000, consisting of an increase in the number of shares of common stock authorized for issuance from 18,327,000 to 200,000,000 and a decrease in the number of shares of preferred stock authorized for issuance from 11,268,999 to 10,000,000.</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January 2011, the Company amended and restated its Certificate of Incorporation to decrease the conversion price of its Series E convertible preferred stock from $24.22 to $18.63 per share. As a result, the Company recognized a deemed dividend of $9,900,000,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February 3, 2011, the Company effected a 1 for 1.73 reverse stock split of the Company’s issued and outstanding shares of common stock and convertible preferred stock, and changed the par value of the Company’s common and preferred stock from $0.0035 per share to $0.001 per share. All information relating to issued and outstanding common stock, convertible preferred stock, options to purchase common stock, warrants to purchase convertible preferred stock, and per share amounts contained in these condensed consolidated financial statements have been retroactively adjusted to reflect the reverse stock split and par value change for all periods presented.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9, 2011, the Company’s registration statement on Form S-1 relating to an initial public offering (IPO) of its common stock was declared effective by the SEC. Upon the closing of the IPO in February 2011, the Company sold 6,392,083 shares of common stock and received net cash proceeds of approximately $77.0 million. Concurrently, all outstanding shares of convertible preferred stock converted by their terms into approximately 11,480,000 shares of common stock and the related carrying value of approximately $184.6 million was reclassified to common stock and additional paid-in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Attributed to Common Stockholders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basic and diluted net loss per share attributed to common stockholders is calculated by dividing net loss attributed to common stockholders by the weighted-average number of shares of common stock outstanding for the period. The Company’s convertible preferred stock, options to purchase common stock and warrants to purchase convertible preferred stock are considered to be potential common shares but have been excluded from the calculation of diluted net loss per share as their effect is anti-dilutive.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attributed to common stockholders for the interim periods presented because including them would have been anti-dilutive (in thousands):</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9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2"/>
              </w:rPr>
              <w:t>Three months ended September 30,</w:t>
            </w:r>
          </w:p>
        </w:tc>
        <w:tc>
          <w:tcPr>
            <w:tcW w:w="2440" w:type="dxa"/>
            <w:vAlign w:val="bottom"/>
            <w:gridSpan w:val="4"/>
          </w:tcPr>
          <w:p>
            <w:pPr>
              <w:ind w:left="18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2"/>
        </w:trPr>
        <w:tc>
          <w:tcPr>
            <w:tcW w:w="50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2,575</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1,847</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2,575</w:t>
            </w:r>
          </w:p>
        </w:tc>
        <w:tc>
          <w:tcPr>
            <w:tcW w:w="94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387</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a minority equity investment in a privately-held company that is accounted for under the cost method of accounting. Under the cost method of accounting, investments in equity securities are carried at cost and are adjusted only for other-than-temporary declines in value. No such declines have been identified through September 30,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Comprehensive loss primarily consists of net loss and an immaterial amount of foreign currency translation adjustments for all periods presented.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License revenue from sales of instruments under a license agreement (see Note 3) is recognized when received, which is generally in the quarter following the quarter in which the corresponding sales occur.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Arrangements with Multiple Deliverables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2009, the Financial Accounting Standards Board (FASB) ratified authoritative accounting guidance regarding revenue recognition for arrangements with multiple deliverables. The guidance impacts the determination of when the individual deliverables included in a multiple element arrangement may be treated as separate units of accounting. Additionally, the guidance allows the use of management’s best estimate of selling price for individual elements of an arrangement when vendor specific objective evidence or third-party evidence is unavailable. The guidance also requires arrangement consideration to be allocated at the inception of the arrangement to all deliverables using the relative-selling-price method and eliminates the use of the residual method of allocation. This guidance is effective for fiscal years beginning on or after June 15, 2010 and early adoption is permitted. The Company adopted this guidance prospectively on January 1, 2011. The adoption of this standard did not have a material impact on the Company’s condensed consolidated financial statements. However, the adoption of this standard may result in revenue recognition patterns for future agreements that are materially different from those recognized for the Company’s past multiple-element arrangements.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Arrangements with Software Elements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October 2009, the FASB ratified authoritative accounting guidance that modifies the scope of the software revenue recognition guidance to exclude tangible products that contain both software and non-software components that function together to deliver the product’s essential functionality. This guidance is effective for fiscal years beginning on or after June 15, 2010 and early adoption is permitted. This guidance must be adopted in the same period an entity adopts the amended guidance for revenue arrangements with multiple deliverables described in the preceding paragraph. The Company adopted this guidance prospectively on January 1, 2011. The adoption of this standard did not have a material impact on the Company’s condensed consolidated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Milestone Method of Revenue Recognition</w:t>
      </w:r>
    </w:p>
    <w:p>
      <w:pPr>
        <w:spacing w:after="0" w:line="90"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In March 2010, the FASB ratified the milestone method of revenue recognition. Under this new standard, an entity can recognize contingent consideration earned from the achievement of a substantive milestone in its entirety in the period in which the milestone is achieved. A milestone is defined as an event (i) that can only be achieved based in whole or in part on either the Company’s performance or on the occurrence of a specific outcome resulting from the Company’s performance (ii) for which there is substantive uncertainty at the date the arrangement is entered into that the event will be achieved and (iii) that would result in additional payments being due to the Company. A milestone is substantive if the consideration earned from the achievement of the milestone is consistent with the Company’s performance required to achieve the milestone or the increase in value to the collaboration resulting from the Company’s performance, relates solely to past performance, and is reasonable relative to all of the other deliverables and payments within the arrangement. The milestone method of revenue recognition is effective for new arrangements or existing arrangements which are materially modified for fiscal years beginning on or after June 15, 2010 and early adoption is permitted. The Company adopted this guidance prospectively on January 1, 2011. The election of the milestone method did not have a material impact on the Company’s condensed consolidated financial statements and is not expected to result in different accounting treatment for future substantive milestones earned after the date of this adoption. Non-substantive milestones will continue to be recognized over the remaining performance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the FASB issued changes to conform existing guidance regarding fair value measurement and disclosure between U.S. GAAP and International Financial Reporting Standards. This guidance clarifies the application of existing fair value measurements and disclosures, and changes certain principles or requirements for fair value measurements and disclosures. The amendment is effective for interim and annual periods beginning after December 15, 2011 and will be applied prospectively. The Company is currently evaluating the impact on the Company’s condensed consolidated financial statements of adopting these amendments and cannot estimate the impact of adoption at this time.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June 2011, the FASB issued changes to the presentation of comprehensive income. These changes give an entity the option to present the total of comprehensive income, the components of net income, and the components of other comprehensive income either in a single continuous statement of comprehensive income or in two separate but consecutive statements. The option to present components of other comprehensive income as part of the statement of changes in stockholders’ equity was eliminated. The items that must be reported in other comprehensive income were not changed. Additionally, no changes were made to the calculation and presentation of earnings per share. The amendment is effective for fiscal years, and interim periods within those years, beginning after December 15, 2011 and should be applied retrospectively. The Company is currently evaluating these changes to determine which option will be chosen for the presentation of comprehensive income.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the Company may be involved in lawsuits, arbitrations, claims, investigations and proceedings relating to intellectual property, commercial, employment and other matters which arise in the ordinary course of business. The Company makes provisions for liabilities when it is probable that a liability has been incurred and the amount of the loss can be reasonably estimated. Any such provisions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operations of that period or on the Company’s cash flows and liquidity.</w:t>
      </w:r>
    </w:p>
    <w:p>
      <w:pPr>
        <w:spacing w:after="0" w:line="155" w:lineRule="exact"/>
        <w:rPr>
          <w:sz w:val="20"/>
          <w:szCs w:val="20"/>
          <w:color w:val="auto"/>
        </w:rPr>
      </w:pPr>
    </w:p>
    <w:p>
      <w:pPr>
        <w:ind w:right="8040" w:firstLine="8"/>
        <w:spacing w:after="0" w:line="347" w:lineRule="auto"/>
        <w:tabs>
          <w:tab w:leader="none" w:pos="44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 License Agreements</w:t>
      </w:r>
    </w:p>
    <w:p>
      <w:pPr>
        <w:spacing w:after="0" w:line="2"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June 30, 2011, the Company entered into a series of patent license agreements with Life Technologies Corporation and its subsidiary, Applied Biosystems, LLC (collectively, Life). These agreements settled litigation filed by the Company against Life on June 29, 2011 in United States District Court for the Northern District of California and litigation filed by Life against the Company on June 29, 2011 in United States District Court for the District of Delaware. Pursuant to the terms of the agreements, the Company paid $3.0 million to Life, which was recognized as a litigation settlement expense in the Company’s condensed consolidated statement of operations because the agreements specified that the amount paid by the Company was principally attributable to resolving Life’s litigation claims with respect to a specific expiring U.S. patent and its foreign counterparts. The agreements also provide for various royalty payments on future sales of certain products by each of the parties. Such royalty payments or receipts are not expected to be material to the Company in future reporting periods based on its current business.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for a period of two to four years. These rights were subject to certain exceptions and required an additional payment by the party exercising the option at the time of exercise. In July 2011, the Company exercised its option and paid Life $2.0 million. As a result, subject to certain exceptions, Life may not initiate litigation under its patents existing as of June 30, 2011 against the Company’s customers for two years and against the Company, with respect to its current products and equivalent future products, for four years. The additional payment is being accounted for as an other asset and is being amortized to selling, general and administrative expense over four years on a straight-line basis beginning in July 2011. The Company recognized $125,000 of amortization expense during the three months ended September 30, 2011. Life elected not to exercise its option.</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May 2011, the Company entered into an agreement with Caliper Life Sciences, Inc. (Caliper) to license Caliper’s existing patent portfolio in certain fields, including non-invasive prenatal diagnostics, and obtained an option to extend the license to cover additional fields. Additional payments are due if the Company exercises its option to extend the license. Under this agreement, the Company made an up-front payment of $0.6 million and will have royalty obligations commencing in January 2012. In August 2011, the Company entered into an amendment to the agreement with Caliper and made an additional up-front payment of $0.5 million. Pursuant to the amendment, the rates for royalties payable to Caliper were substantially reduced and the period for which the Company is obligated to make royalty payments was shortened, with the last payment due in mid-2018. The aggregate $1.1 million of payments made to Caliper are being amortized to cost of product revenue on a straight-line basis through July 2018, when the Company’s royalty payment obligations terminate. The Company’s royalty payments are not expected to be material to the Company in future reporting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May 2010, the Company entered into a collaboration agreement to develop a new product and received an up-front payment of $0.7 million. Additionally, the collaboration agreement provides for payments to the Company upon the achievement of multiple defined milestones related to the design and development of product prototypes. The agreement sets forth detailed scope of work, tasks, and metrics for each milestone. These product prototypes have not been previously produced by the Company and the achievement of these and other future milestones was uncertain at the time the Company entered into the collaboration agreement. The Company considers each of the milestones to be substantive and, accordingly, expects to recognize any future payments received from meeting such milestones as revenue, if and when each milestone is achieved.</w:t>
      </w:r>
    </w:p>
    <w:p>
      <w:pPr>
        <w:spacing w:after="0" w:line="12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March 2011, the Company entered into an amendment to the collaboration agreement and received an additional $0.3 million. Under the amendment, certain milestones were modified and payment terms associated with satisfaction of the milestones were revised. Through July 2011, the $0.7 million up-front payment and the $0.3 million payment received in March 2011 were being recognized on a straight-line basis through September 30, 2011, which was management’s best estimate of its period of performance under the amended agreement. During July 2011, the Company reassessed the period of performance and extended it through November 2011. This change in estimate did not have a material impact on the recognition of the remaining deferred revenue under the collaboration agreement for the three or nine months ended September 30,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achieved two milestones under the collaboration agreement during the six months ended June 30, 2011 and recognized $0.5 million of milestone revenue. For the three months ended September 30, 2011, no milestones were due or achieved. At September 30, 2011, potential future payments totaling $0.5 million remained available to the Company under the collaboration agreement upon achievement of one additional milestone and the submission of a final report.</w:t>
      </w:r>
    </w:p>
    <w:p>
      <w:pPr>
        <w:spacing w:after="0" w:line="25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as of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5,836</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Company’s financial instruments consist principally of cash and cash equivalents, available-for-sale securities, accounts receivable, accounts payable and long-term debt. The Company’s cash equivalents, available-for-sale securities, accounts receivable and accounts payable have short maturity or repayment periods. Accordingly, their carrying values approximated their fair values. The Company’s long-term debt bears interest at a rate commensurate with the Company’s risk profile and stage of development, and, as a result, management believes its carrying value approximates fair value. As a basis for considering fair value, the Company follows a three-tier value hierarchy, which prioritizes the inputs used in measuring fair value as follows: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cash equivalents are classified as Level I because they are valued using quoted market prices. The Company’s available-for-sale securities are generally classified as Level II because their value is based on other observable inputs. The Company’s convertible preferred stock warrants are valued using Level III inputs, the valuation of which is discussed in Note 9. The following table sets forth the Company’s financial instruments that were measured at fair value by level within the fair value hierarchy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5"/>
              </w:rPr>
              <w:t>September 30, 2011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December 31, 2010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I</w:t>
            </w:r>
          </w:p>
        </w:tc>
        <w:tc>
          <w:tcPr>
            <w:tcW w:w="160" w:type="dxa"/>
            <w:vAlign w:val="bottom"/>
          </w:tcPr>
          <w:p>
            <w:pPr>
              <w:spacing w:after="0"/>
              <w:rPr>
                <w:sz w:val="12"/>
                <w:szCs w:val="12"/>
                <w:color w:val="auto"/>
              </w:rPr>
            </w:pPr>
          </w:p>
        </w:tc>
        <w:tc>
          <w:tcPr>
            <w:tcW w:w="7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II</w:t>
            </w:r>
          </w:p>
        </w:tc>
        <w:tc>
          <w:tcPr>
            <w:tcW w:w="14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Level III</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Level I</w:t>
            </w:r>
          </w:p>
        </w:tc>
        <w:tc>
          <w:tcPr>
            <w:tcW w:w="30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Level II</w:t>
            </w:r>
          </w:p>
        </w:tc>
        <w:tc>
          <w:tcPr>
            <w:tcW w:w="30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Level III</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Money market funds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2,124</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47,049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47,049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2,124</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47,049</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49,173</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Changes in the fair value of the Company’s Level III convertible preferred stock warrants during the nine months ended September 30, 2011 were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Issuances</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Exercises</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Changes in fair value</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Expiration of warrants</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7"/>
              </w:rPr>
              <w:t>Conversion to common stock warrants</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60" w:type="dxa"/>
            <w:vAlign w:val="bottom"/>
            <w:vMerge w:val="restart"/>
          </w:tcPr>
          <w:p>
            <w:pPr>
              <w:jc w:val="right"/>
              <w:ind w:right="2992"/>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available-for-sale securities at September 30, 2011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Amortized</w:t>
            </w:r>
          </w:p>
        </w:tc>
        <w:tc>
          <w:tcPr>
            <w:tcW w:w="12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46"/>
              <w:spacing w:after="0"/>
              <w:rPr>
                <w:sz w:val="20"/>
                <w:szCs w:val="20"/>
                <w:color w:val="auto"/>
              </w:rPr>
            </w:pPr>
            <w:r>
              <w:rPr>
                <w:rFonts w:ascii="Arial" w:cs="Arial" w:eastAsia="Arial" w:hAnsi="Arial"/>
                <w:sz w:val="14"/>
                <w:szCs w:val="14"/>
                <w:b w:val="1"/>
                <w:bCs w:val="1"/>
                <w:color w:val="auto"/>
                <w:w w:val="96"/>
              </w:rPr>
              <w:t>Gain</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26"/>
              <w:spacing w:after="0"/>
              <w:rPr>
                <w:sz w:val="20"/>
                <w:szCs w:val="20"/>
                <w:color w:val="auto"/>
              </w:rPr>
            </w:pPr>
            <w:r>
              <w:rPr>
                <w:rFonts w:ascii="Arial" w:cs="Arial" w:eastAsia="Arial" w:hAnsi="Arial"/>
                <w:sz w:val="14"/>
                <w:szCs w:val="14"/>
                <w:b w:val="1"/>
                <w:bCs w:val="1"/>
                <w:color w:val="auto"/>
                <w:w w:val="79"/>
              </w:rPr>
              <w:t>Loss</w:t>
            </w: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$ 47,040</w:t>
            </w: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2"/>
              </w:rPr>
              <w:t>$ 47,049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contractual maturity dates of $45.6 million of the Company’s available-for-sale securities are within one year. The contractual maturity dates of the Company’s remaining securities are less than two years and such securities will be realized within one year. The Company did not hold any available-for-sale securities at December 31,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and cash equivalents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20" w:type="dxa"/>
            <w:vAlign w:val="bottom"/>
            <w:gridSpan w:val="3"/>
          </w:tcPr>
          <w:p>
            <w:pPr>
              <w:ind w:left="220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Money market funds</w:t>
            </w:r>
          </w:p>
        </w:tc>
        <w:tc>
          <w:tcPr>
            <w:tcW w:w="2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 and Warrant Purchase Agreement 2011</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January 2011, the Company entered into a Note and Warrant Purchase Agreement (the Note Agreement) with existing stockholders, including certain of the Company’s officers, under which the Company issued subordinated secured promissory notes (the Notes) with an aggregate principal amount of $5.0 million bearing interest at 8% per year. The Notes matured on the earliest to occur of the closing of the next financing in which the Company issued and sold shares of capital stock and raised at least $25.0 million, a change of control as defined in the Note Agreement, or January 6, 2012. The Company’s obligations under the Notes were secured by the assets of the Company, excluding intellectual property, and were subordinated to senior indebtedness of the loan agreement entered into in March 2005, as amended (see Note 7), and the Line of Credit (see Note 8). In connection with the Note Agreement, the Company issued warrants to acquire a total of 103,182 shares of Series E-1 convertible preferred stock with an exercise price of $0.02 per share. The fair value of these warrants, based on a contemporaneous valuation, was $1.2 million and was recognized as an original issue discount amortizable over the expected life of the borrowing. In connection with the IPO in February 2011, the warrants were exercised for 103,182 shares of common stock and the Company repaid all principal and interest outstanding under these Notes in February and March 2011. Upon repayment of the Notes, the unamortized discount of $1.2 million was immediately recognized as interest expense.</w:t>
      </w:r>
    </w:p>
    <w:p>
      <w:pPr>
        <w:spacing w:after="0" w:line="24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entered into a long-term loan agreement in March 2005 that was subsequently amended in 2006, 2008, 2009, and 2010. In connection with this long-term loan agreement, as amended, the Company issued a total of 209,960 warrants to purchase shares of convertible preferred stock to the lender. Commencing in March 2011, the Company began making principal and interest payments totaling $0.6 million per month and will make an additional payment of $2.3 million in March 2012. Using the effective interest method, the majority of the additional payment was accrued as interest expense in periods prior to 2010 with the remainder being recognized through the extended maturity date of February 2013. As of September 30, 2011, the outstanding balance under this long-term loan agreement was $11.6 million, including the additional payment of $2.3 million that is included in the current portion of long-term debt on the condensed consolidated balance sheet at September 30, 2011. Upon completion of the IPO in February 2011, all 209,960 warrants to purchase shares of convertible preferred stock that were held by the lender were converted to warrants to purchase shares of common stock. In July 2011, the lender net exercised all 209,960 warrants at an exercise price of $12.11 and was issued 70,731 shares of common stock. As of September 30, 2011, the Company was in compliance with its loan covenants under this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2010, the Company entered into a bank line of credit agreement (Line of Credit) that is collateralized by the Company’s accounts receivable. The Line of Credit provided the Company with the ability to borrow up to $4.0 million for a period of two years, subject to certain covenants and other restrictions, and bears interest at a rate of the greater of (i) 5.50% or (ii) the prime rate, as defined in the Line of Credit, plus 2.25% per year. As of December 31, 2010, the outstanding balance on the Line of Credit was $3.1 million. In February 2011, the Company repaid all outstanding borrowings under the Line of Credit. In March 2011, the Line of Credit was amended to increase the credit limit to $7.0 million. At September 30, 2011, there was no outstanding balance on the Line of Credit and the Company was in compliance with its loan covenants.</w:t>
      </w:r>
    </w:p>
    <w:p>
      <w:pPr>
        <w:spacing w:after="0" w:line="23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February 10, 2011, the Company had total outstanding warrants to purchase 489,880 shares of convertible preferred stock that had been granted at various times since 2001. Warrants to purchase the Company’s convertible preferred stock were recognized at fair value using the Black-Scholes option-pricing model and classified as liabilities because the warrants may have conditionally obligated the Company to transfer assets at some point in the future. The warrants were subject to re-measurement to fair value at each balance sheet date and any change in fair value was recognized in the condensed consolidated statements of operations as gain (loss) from changes in the fair value of convertible preferred stock warrants. The fair value of these warrants was approximately $3.7 million at February 10, 2011, which was an increase in fair value of approximately $1.5 million since December 31, 2010. Upon the closing of the IPO, approximately 103,182 of such warrants were net exercised and the related liability of $1.4 million was reclassified to additional paid-in capital; 209,960 of such warrants were converted into warrants to purchase common stock and the related liability of $1.5 million was reclassified to additional paid-in capital; and the remaining 176,738 warrants expired unexercised and the related liability of $0.8 million was recognized as other income.</w:t>
      </w:r>
    </w:p>
    <w:p>
      <w:pPr>
        <w:spacing w:after="0" w:line="23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three and nine months ended September 30, 2011, the Company granted to certain employees options to purchase 299,000 and 1,127,000 shares of common stock, respectively. Of these options, 438,000 were granted with an exercise price of $8.37 per share, 285,000 were granted with exercise prices ranging from $13.08 to $13.93 per share, 385,000 were granted with exercise prices ranging from $14.31 to $14.90 per share, and the remainder were granted with exercise prices ranging from $16.77 to $16.96 per share. These options had a total fair value of $7.1 million, of which $0.4 million was immediately recognized as compensation expense because 66,500 of such options were fully vested upon grant while the remainder will vest over four years.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computation of the fair value of stock options and other equity instruments using the Black-Scholes option pricing model requires inputs such as the fair value of the Company’s common stock. For options granted prior to the IPO in February 2011, the Company performed a contemporaneous valuation to determine the fair value of its common stock.</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recognized stock-based compensation expense of $0.7 million and $0.4 million during the three months ended September 30, 2011 and 2010, respectively. During the nine months ended September 30, 2011 and 2010, the Company recognized stock-based compensation expense of $2.0 million and $1.3 million, respectively. As of September 30, 2011, the Company had $6.6 million of unrecognized stock-based compensation costs, which are expected to be recognized over a weighted average period of 3.1 years.</w:t>
      </w:r>
    </w:p>
    <w:p>
      <w:pPr>
        <w:spacing w:after="0" w:line="25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taxes are primarily comprised of state and foreign income taxes. The provision or benefit for income taxes for the periods presented differs from the 34% U.S. Federal statutory rate primarily due to maintaining a valuation allowance for U.S. losses and tax assets which the Company does not consider to be realizable.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Geographic Areas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has a single reporting segment, which is the development, manufacturing, and commercialization of microfluidic systems consisting of instruments and consumables, including chips and reagents, for the life science and Ag-Bio industries.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presents product revenue by geography based on the billing address of the Company’s customers for each period presented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0"/>
              </w:rPr>
              <w:t>Three Months Ended</w:t>
            </w:r>
          </w:p>
        </w:tc>
        <w:tc>
          <w:tcPr>
            <w:tcW w:w="440" w:type="dxa"/>
            <w:vAlign w:val="bottom"/>
          </w:tcPr>
          <w:p>
            <w:pPr>
              <w:spacing w:after="0"/>
              <w:rPr>
                <w:sz w:val="14"/>
                <w:szCs w:val="14"/>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7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$4,069</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$15,362</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2,466</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Japan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2,659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10,168</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7,150</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28,291</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20,883</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license and collaboration revenue is primarily generated in the United States and grant revenue is generated in Singapore and the United States.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entitled “Risk Factors” and this Management’s Discussion and Analysis of Financial Condition and Results of Operations. Forward-looking statements include information concerning our possible or assumed future cash flow, revenue, sources of revenue and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 this Form 10-Q, “we,” “us” and “our” refer to Fluidigm Corporation and its subsidiaries. We operate on a fiscal year ending December 31.</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chips and reagents, to leading pharmaceutical and biotechnology companies, academic institutions, diagnostic laboratories and Ag-Bio companies. We have sold over 440 systems to customers in over 25 countries worldwide through the date of this report.</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total revenue grew from $15.3 million in 2008 to $33.6 million in 2010 and to $29.9 million for the nine months ended September 30, 2011. We have incurred significant net losses since our inception in 1999 and our accumulated deficit was $218.3 million as of September 30, 2011.</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distribute our microfluidic systems through our direct sales force and support organizations located in North America, Europe and Asia-Pacific and through distributors or sales agents in several European, Latin American, African, Middle Eastern and Asia-Pacific countries. Our manufacturing operations are located in Singapore. Our facility in Singapore manufactures our instruments and fabricates all of our chips for commercial sale and some chips for our own research and development purposes. Our South San Francisco facility fabricates chips for our own research and development purposes and obtains or produces reagents and assays for sale.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Form 10-Q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believe that certain of our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There have been no material changes in the matters for which we make critical accounting estimates in the preparation of our condensed consolidated financial statements during the three and nine month periods ended September 30, 2011 as compared to those disclosed in our Annual Report on Form 10-K filed with the SEC on March 28,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generate revenue from sales of our products, collaboration agreements and government grants. Our product revenue consists of sales of instruments and related services, and consumables, including chips and reagents. We also have entered into license and collaboration agreements and research and development contracts, and have received government grants to conduct research and development activities.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89"/>
              </w:rPr>
              <w:t>Three Months Ended September 30,</w:t>
            </w:r>
          </w:p>
        </w:tc>
        <w:tc>
          <w:tcPr>
            <w:tcW w:w="140" w:type="dxa"/>
            <w:vAlign w:val="bottom"/>
          </w:tcPr>
          <w:p>
            <w:pPr>
              <w:spacing w:after="0"/>
              <w:rPr>
                <w:sz w:val="14"/>
                <w:szCs w:val="14"/>
                <w:color w:val="auto"/>
              </w:rPr>
            </w:pPr>
          </w:p>
        </w:tc>
        <w:tc>
          <w:tcPr>
            <w:tcW w:w="236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4,973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17,828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2,177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Product revenue</w:t>
            </w: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10,168</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7,150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28,291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License and collaboration revenue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Grant revenue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6"/>
              </w:rPr>
              <w:t>Three Months Ended September 30,</w:t>
            </w:r>
          </w:p>
        </w:tc>
        <w:tc>
          <w:tcPr>
            <w:tcW w:w="3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$4,069</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$15,362</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$12,028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2,466</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1,574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7,021</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4,768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9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2,053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Japan</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472</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1,215</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2,659</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1,568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9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10,168</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7,150</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100%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28,291</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20,883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Grant revenue is generated in Singapore and the United States. License and collaboration revenue is primarily generated in the United States. As we expand our business internationally, we expect our product revenue from outside of the United States to increase as a percentage of our total product revenue.</w:t>
      </w:r>
    </w:p>
    <w:p>
      <w:pPr>
        <w:spacing w:after="0" w:line="8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customers include pharmaceutical and biotechnology companies, academic research institutions, diagnostic laboratories and Ag-Bio companies worldwide. Revenue from our five largest customers in each of the three and nine months ended September 30, 2011 comprised 22% and 13% of our total revenue during such periods, respectively. Revenue from our five largest customers in each of the three and nine months ended September 30, 2010 comprised 18% and 14% of our total revenue during such periods,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2011 and September 30,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Total revenue increased by $2.1 million, or 25%, to $10.6 million for the three months ended September 30, 2011 as compared to $8.5 million for the three months ended September 30,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Product revenue increased by $3.0 million, or 42%, to $10.2 million for the three months ended September 30, 2011 as compared to $7.2 million for the three months ended September 30, 2010. Consumables revenue increased by $1.6 million, or 71%, resulting from the higher installed base of our instruments and revenue from our assays, which were launched in the second quarter of 2011. Instrument revenue increased by $1.5 million, or 29%, as our instrument system unit sales volume increased by 34%, primarily driven by increased sales of our Access Array instrument. The average selling price for instruments was higher for the three months ended September 30, 2011 compared to the three months ended September 30, 2010 primarily due to sales of our BioMark HD instrument which launched in February 2011, partially offset by increased sales of our Access Array instrument which has a lower average selling price than our BioMark and EP1 instruments.</w:t>
      </w:r>
    </w:p>
    <w:p>
      <w:pPr>
        <w:spacing w:after="0" w:line="14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expect unit sales of both instruments and consumables to continue to increase in future periods as we continue our efforts to grow our customer base and expand our geographic market coverage. However, we expect the average selling prices of our instruments to fluctuate over time based on product mix and currency fluctuations.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License and collaboration revenue was $0.3 million for the three months ended September 30, 2011 compared to $0.9 million for the three months ended September 30, 2010. In the three months ended September 30, 2010, we achieved two milestones under a fixed-fee research and development agreement and received milestone payments during that period. For the three months ended September 30, 2011, no milestones were due or achieved, which resulted in the decrease in license and collaboration revenue of $0.6 million in the three months ended September 30, 2011 as compared to the same period in 2010.</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provided for an up-front fee of $0.7 million which is being recognized on a straight-line basis over the estimated period of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 the agreement. In March 2011, we amended the collaboration agreement and received an additional $0.3 million payment. Under the amendment,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milestones and the payment terms associated with satisfaction of the milestones were modified. Through July 2011, the $0.7 million up-front payment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$0.3 million payment received in March 2011 were being recognized on a straight-line basis through September 30, 2011, which was management’s best estimate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its period of performance under the amended agreement. During July 2011, we reassessed the period of performance and extended it through November 2011.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This change in estimate did not have a material impact on the recognition of the remaining deferred revenue under the collaboration agreement.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Grant revenue consists of incentive grants from Singapore Economic Development Board, or EDB, and California Institute for Regenerative Medicine, or CIRM. Grant revenue decreased $0.2 million, or 59%, to $0.2 million for the three months ended September 30, 2011 compared to $0.4 million for the three months ended September 30, 2010. The decrease relates to a reduction in activity under the EDB grant agreements as we achieved certain milestones and reached the end of the grant periods.</w:t>
      </w:r>
    </w:p>
    <w:p>
      <w:pPr>
        <w:spacing w:after="0" w:line="14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Under our agreements with EDB, we were eligible to receive incentive grant payments from EDB, provided we satisfied certain agreed upon targets. Our agreements with EDB provided for incentive funding eligibility through May 2011. From January 1, 2008 through December 31, 2010, we recognized</w:t>
      </w:r>
    </w:p>
    <w:p>
      <w:pPr>
        <w:ind w:right="140"/>
        <w:spacing w:after="0" w:line="253" w:lineRule="auto"/>
        <w:rPr>
          <w:sz w:val="20"/>
          <w:szCs w:val="20"/>
          <w:color w:val="auto"/>
        </w:rPr>
      </w:pPr>
      <w:r>
        <w:rPr>
          <w:rFonts w:ascii="Arial" w:cs="Arial" w:eastAsia="Arial" w:hAnsi="Arial"/>
          <w:sz w:val="18"/>
          <w:szCs w:val="18"/>
          <w:color w:val="auto"/>
        </w:rPr>
        <w:t>$4.3 million of grant revenue from EDB. During the three months ended September 30, 2011, we recognized $10,000 of grant revenue from EDB. These agreements further provided EDB with the right to demand repayment of a portion of past grants in the event that we did not meet our obligations under the applicable agreements. Our first grant agreement with EDB was completed in July 2010 and has been officially closed by EDB with no adjustments. Our second grant agreement was completed in May 2011, and, based on correspondence with EDB, we believe that we have satisfied our obligations applicable to our EDB grant revenue through September 30, 2011.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expect total grant revenue for 2011 and future periods to decrease compared to 2010 as the first of our EDB grant agreements was completed in July 2010 and our second EDB grant agreement was completed in May 2011. We expect this decrease will be partially offset by grant revenue from CIRM resulting from a new grant of $1.9 million to be recognized over three years beginning in May 2011.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cost of our product revenue and our product margin for each period presented (in thousands, other than percentages):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8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$3,305</w:t>
            </w: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$2,454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Product margin</w:t>
            </w:r>
          </w:p>
        </w:tc>
        <w:tc>
          <w:tcPr>
            <w:tcW w:w="3800" w:type="dxa"/>
            <w:vAlign w:val="bottom"/>
            <w:gridSpan w:val="3"/>
          </w:tcPr>
          <w:p>
            <w:pPr>
              <w:jc w:val="right"/>
              <w:ind w:right="680"/>
              <w:spacing w:after="0"/>
              <w:rPr>
                <w:sz w:val="20"/>
                <w:szCs w:val="20"/>
                <w:color w:val="auto"/>
              </w:rPr>
            </w:pPr>
            <w:r>
              <w:rPr>
                <w:rFonts w:ascii="Arial" w:cs="Arial" w:eastAsia="Arial" w:hAnsi="Arial"/>
                <w:sz w:val="18"/>
                <w:szCs w:val="18"/>
                <w:color w:val="auto"/>
              </w:rPr>
              <w:t>67%</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and installation, warranty, service, packaging and delivery costs. In addition, cost of product revenue includes royalty costs for licensed technologies included in our products, provisions for slow-moving and obsolete inventory and stock-based compensation expense. Costs related to license and collaboration and grant revenue are included in research and development expense.</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 of product revenue increased $0.9 million, or 35%, to $3.3 million for the three months ended September 30, 2011 from $2.5 million for the three months ended September 30, 2010 due to increased product sales. Cost of product revenue as a percentage of related revenue decreased to 33% for the three months ended September 30, 2011 compared to 34% for the three months ended September 30, 2010. This decrease was primarily due to lower instrument costs, partially offset by higher chip manufacturing costs.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4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2011</w:t>
            </w:r>
          </w:p>
        </w:tc>
        <w:tc>
          <w:tcPr>
            <w:tcW w:w="11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19"/>
                <w:szCs w:val="19"/>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11,346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$ 9,111</w:t>
            </w:r>
          </w:p>
        </w:tc>
        <w:tc>
          <w:tcPr>
            <w:tcW w:w="1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Research and development expense was $3.3 million for the three months ended September 30, 2011 and $3.5 million for the three months ended September 30, 2010. The decrease in research and development expense was primarily due to lower compensation costs and related expenses of $0.1 million, and lower equipment and lab related expenses of $0.1 million, partially offset by increases in consulting and professional fees of $0.1 million, as compared to the three months ended September 30, 2010. We believe that our continued investment in research and development is essential to our long-term competitive position and these expenses may increase in future periods.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Selling, general and administrative expense increased $2.4 million, or 43%, to $8.1 million for the three months ended September 30, 2011 compared to $5.6 million for the three months ended September 30, 2010. The increase was primarily due to increased compensation costs and related expenses of</w:t>
      </w:r>
    </w:p>
    <w:p>
      <w:pPr>
        <w:ind w:right="20"/>
        <w:spacing w:after="0" w:line="290" w:lineRule="auto"/>
        <w:rPr>
          <w:sz w:val="20"/>
          <w:szCs w:val="20"/>
          <w:color w:val="auto"/>
        </w:rPr>
      </w:pPr>
      <w:r>
        <w:rPr>
          <w:rFonts w:ascii="Arial" w:cs="Arial" w:eastAsia="Arial" w:hAnsi="Arial"/>
          <w:sz w:val="16"/>
          <w:szCs w:val="16"/>
          <w:color w:val="auto"/>
        </w:rPr>
        <w:t>$1.2 million resulting from increased headcount to support our business and revenue growth, increased legal and professional fees of $0.8 million, increased other costs of $0.4 million to support our public company requirements and increased advertising and promotion costs of $0.2 million, partially offset by lower rent expense of $0.1 million resulting from the more favorable terms of our new lease for our headquarters facility in South San Francisco, California. We expect selling, general and administrative expense to increase in future periods as we continue to grow our sales, technical support, marketing and administrative headcount, support increased product sales, broaden our customer base and incur additional costs to support our expanded global footprint and the overall growth in our business. We also expect legal, accounting and compliance costs to increase as a result of being a public company.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receive interest income from our cash and cash equivalents and available-for-sale securities. Conversely, we incur interest expense from our long-term debt, bank line of credit, promissory notes and the amortization of debt discounts related to these items. Until the completion of the initial public offering, or IPO, of our common stock, we also recognized income or expense as a result of changes in the fair value of outstanding warrants to purchase shares of our convertible preferred stock. The following table presents these items for each period presented (in thousands):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4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2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10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(439)</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(540)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Other income, net</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Interest expense was $0.4 million for the three months ended September 30, 2011 compared to $0.5 million for the three months ended September 30, 2010. The decrease is primarily due to a reduction in loan principal as we began making principal payments on our long-term debt in March 2011. We expect interest expense to decrease in 2011 compared to 2010 as we repay our outstanding debt.</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Other income decreased $221,000 to $25,000 for the three months ended September 30, 2011 compared to $246,000 for the three months ended September 30, 2010, primarily due to unfavorable changes in foreign currency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2011 and September 30,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Total revenue increased by $6.7 million, or 29%, to $29.9 million for the nine months ended September 30, 2011 as compared to $23.2 million for the nine months ended September 30,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Product revenue increased by $7.4 million, or 35%, to $28.3 million for the nine months ended September 30, 2011 as compared to $20.9 million for the nine months ended September 30, 2010. Consumables revenue increased by $3.6 million, or 53%, resulting from our higher installed base of instruments and revenue from our assays, which were launched in the second quarter of 2011. Instrument revenue increased by $3.8 million, or 27%, as our instrument system unit sales volume increased by 30%, primarily driven by increased sales of our Access Array instrument. The average selling price for instruments was higher for the nine months ended September 30, 2011 compared to the nine months ended September 30, 2010 due to increased sales in Japan and Europe where average selling prices are higher, partially offset by increased sales of our Access Array instrument which has a lower average selling price than our BioMark and EP1 instruments.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License and collaboration revenue increased by $0.2 million to $1.2 million for the nine months ended September 30, 2011 compared to $1.0 million for the nine months ended September 30, 2010. The increase in license and collaboration revenue is due to a fixed-fee research and development agreement that we entered into in May 2010. The agreement provided for an up-front fee of $0.7 million which is being recognized on a straight-line basis over the estimated performance period under the agreement. In March 2011, we amended the collaboration agreement and received an additional $0.3 million payment. Under the amendment, certain milestones and the payment terms associated with satisfaction of the milestones were modified. Through July 2011, the $0.7 million up-front payment and the $0.3 million payment received in March 2011 were being recognized on a straight-line basis through September 30, 2011, which was management’s best estimate of its period of performance under the amended agreement. During July 2011, we reassessed the period of performance and extended it through November 2011. This change in estimate did not have a material impact on the recognition of the remaining deferred revenue under the collaboration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Grant revenue consists of incentive grants from EDB and CIRM. Grant revenue decreased $0.9 million, or 70%, to $0.4 million for the nine months ended September 30, 2011 compared to $1.3 million for the nine months ended September 30, 2010. The decrease relates to a reduction in activity under the EDB grant agreements as we achieved certain milestones and reached the end of the grant periods.</w:t>
      </w:r>
    </w:p>
    <w:p>
      <w:pPr>
        <w:spacing w:after="0" w:line="14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Under our agreements with EDB, we were eligible to receive incentive grant payments from EDB, provided we satisfied certain agreed upon targets. Our agreements with EDB provided for incentive funding eligibility through May 2011. From January 1, 2008 through December 31, 2010, we recognized</w:t>
      </w:r>
    </w:p>
    <w:p>
      <w:pPr>
        <w:spacing w:after="0" w:line="253" w:lineRule="auto"/>
        <w:rPr>
          <w:sz w:val="20"/>
          <w:szCs w:val="20"/>
          <w:color w:val="auto"/>
        </w:rPr>
      </w:pPr>
      <w:r>
        <w:rPr>
          <w:rFonts w:ascii="Arial" w:cs="Arial" w:eastAsia="Arial" w:hAnsi="Arial"/>
          <w:sz w:val="18"/>
          <w:szCs w:val="18"/>
          <w:color w:val="auto"/>
        </w:rPr>
        <w:t>$4.3 million of grant revenue from EDB. During the nine months ended September 30, 2011, we recognized an additional $41,000 of grant revenue from EDB. These agreements further provided EDB with the right to demand repayment of a portion of past grants in the event that we did not meet our obligations under the applicable agreements. Our first grant agreement with EDB was completed in July 2010 and has been officially closed by EDB with no adjustments. Our second grant agreement with EDB was completed in May 2011 and, based on correspondence with EDB, we believe that we have satisfied our obligations applicable to our EDB grant revenue through September 30, 2011.</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cost of our product revenue and our product margin for each period presented (in thousands, other than percentages):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8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$9,183</w:t>
            </w: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$7,999</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Product margin</w:t>
            </w:r>
          </w:p>
        </w:tc>
        <w:tc>
          <w:tcPr>
            <w:tcW w:w="3800" w:type="dxa"/>
            <w:vAlign w:val="bottom"/>
            <w:gridSpan w:val="3"/>
          </w:tcPr>
          <w:p>
            <w:pPr>
              <w:jc w:val="right"/>
              <w:ind w:right="680"/>
              <w:spacing w:after="0"/>
              <w:rPr>
                <w:sz w:val="20"/>
                <w:szCs w:val="20"/>
                <w:color w:val="auto"/>
              </w:rPr>
            </w:pPr>
            <w:r>
              <w:rPr>
                <w:rFonts w:ascii="Arial" w:cs="Arial" w:eastAsia="Arial" w:hAnsi="Arial"/>
                <w:sz w:val="18"/>
                <w:szCs w:val="18"/>
                <w:color w:val="auto"/>
              </w:rPr>
              <w:t>68%</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and installation, warranty, service, packaging and delivery costs. In addition, cost of product revenue includes royalty costs for licensed technologies included in our products, provisions for slow-moving and obsolete inventory and stock-based compensation expense. Costs related to license and collaboration and grant revenue are included in research and development expense.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Cost of product revenue increased $1.2 million, or 15%, to $9.2 million for the nine months ended September 30, 2011 compared to $8.0 million for the nine months ended September 30, 2010 due to increased product sales. Cost of product revenue as a percentage of related revenue decreased to 32% for the nine months ended September 30, 2011 compared to 38% for the nine months ended September 30, 2010. This decrease was primarily due to lower instrument costs and higher instrument average selling prices, and to a lesser extent lower chip manufacturing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2011</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23,338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36,273</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27,769</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Research and development expense was $9.9 million for the nine months ended September 30, 2011 compared to $10.1 million for the nine months ended September 30, 2010. The decrease in research and development expense was primarily related to decreases in equipment related costs and depreciation of $0.3 million as older equipment became fully depreciated, partially offset by higher compensation costs and related expenses of $0.1 million and higher consulting and professional fees of $0.1 million, as compared to the nine months ended September 30, 2010.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Selling, general and administrative expense increased $5.6 million, or 32%, to $23.3 million for the nine months ended September 30, 2011 compared to $17.7 million for the nine months ended September 30, 2010. The increase was primarily due to increased compensation costs and related expenses of</w:t>
      </w:r>
    </w:p>
    <w:p>
      <w:pPr>
        <w:spacing w:after="0" w:line="254" w:lineRule="auto"/>
        <w:rPr>
          <w:sz w:val="20"/>
          <w:szCs w:val="20"/>
          <w:color w:val="auto"/>
        </w:rPr>
      </w:pPr>
      <w:r>
        <w:rPr>
          <w:rFonts w:ascii="Arial" w:cs="Arial" w:eastAsia="Arial" w:hAnsi="Arial"/>
          <w:sz w:val="18"/>
          <w:szCs w:val="18"/>
          <w:color w:val="auto"/>
        </w:rPr>
        <w:t>$3.9 million resulting from increased headcount to support our business and revenue growth, increased legal and professional fees of $1.7 million, increased other costs of $0.6 million to support our public company requirements and increased advertising and promotion costs of $0.3 million, partially offset by lower rent expense of $0.5 million resulting from the more favorable terms of our new lease for our headquarters facility in South San Francisco, California and lower bad debt expense of $0.3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30, 2011, we settled certain litigation and entered into a series of patent license agreements resulting in a net $3.0 million payment by us to Life Technologies and its subsidiary, Applied Biosystems, LLC, or collectively, Life. The payment was recognized as litigation settlement expense in our condensed consolidated statement of operations because the agreements specified that the amount paid by us was principally attributable to resolving Life’s litigation claims against us with respect to a specific expiring U.S. patent and its foreign counterparts.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over a period of two to four years. These rights were subject to certain exceptions and required an additional payment by the party exercising the option at the time of exercise. In July 2011, we exercised our option and paid Life $2.0 million. As a result, subject to certain exceptions, Life may not initiate litigation under its patents existing as of June 30, 2011 against our customers for two years and against us, with respect to our current products and equivalent future products, for four years. The additional payment is accounted for as an other asset and is being amortized to selling, general and administrative expense over four years on a straight-line basis beginning in July 2011. Life elected not to exercise its option.</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Litigation settlement expense increased $3.0 million for the nine months ended September 30, 2011 as a result of the agreements entered into with Life on June 30, 2011. We had no similar agreement in the nine months ended September 30,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receive interest income from our cash and cash equivalents and available-for-sale securities. Conversely, we incur interest expense from our long-term debt, bank line of credit, promissory notes and the amortization of debt discounts related to these items. Until the completion of our IPO, we also recognized income or expense as a result of changes in the fair value of outstanding warrants to purchase shares of our convertible preferred stock. The following table presents these items for each period presented (in thousands):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8680" w:type="dxa"/>
            <w:vAlign w:val="bottom"/>
          </w:tcPr>
          <w:p>
            <w:pPr>
              <w:spacing w:after="0"/>
              <w:rPr>
                <w:sz w:val="14"/>
                <w:szCs w:val="14"/>
                <w:color w:val="auto"/>
              </w:rPr>
            </w:pPr>
          </w:p>
        </w:tc>
        <w:tc>
          <w:tcPr>
            <w:tcW w:w="1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(2,711)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gain from changes in the fair value of convertible preferred stock warrants, net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(1,483)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net</w:t>
            </w: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expense was $2.7 million for the nine months ended September 30, 2011 compared to $1.6 million for the nine months ended September 30, 2010. The increase is primarily due to $1.2 million of non-cash interest expense in connection with a $5.0 million note and warrant purchase agreement entered into in January 2011. We repaid all principal and interest outstanding under the notes in February 2011 upon the completion of our IPO. There was no similar transaction or recognition of expense in the nine months ended September 30, 2010.</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Gain (loss) from changes in the fair value of preferred stock was a loss of $1.5 million for the nine months ended September 30, 2011 compared to a gain of $0.3 million for the nine months ended September 30, 2010. The loss in 2011 was due to an increase in the warrant liability fair value through the completion of our IPO on February 15, 2011. Upon completion of our IPO, our outstanding preferred stock warrants converted into warrants to purchase common stock or expired unexercised. A portion of the preferred stock warrants that converted into warrants to purchase common stock were net exercised in connection with our IPO. Liabilities related to the expired warrants were reversed and resulted in a gain reflected in other income. Liabilities related to the warrants that were converted into warrants to purchase common stock and warrants that were exercised for common stock were reclassified to additional paid-in-capital.</w:t>
      </w:r>
    </w:p>
    <w:p>
      <w:pPr>
        <w:spacing w:after="0" w:line="12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Other income decreased $96,000 to $133,000 for the nine months ended September 30, 2011 compared to $229,000 for the nine months ended September 30, 2010, primarily due to unfavorable changes in foreign currency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2011, we had $11.9 million of cash and cash equivalents and $47.0 million of available-for-sale securities. As of September 30, 2011, our working capital was $56.4 million. In February 2011, we completed our IPO which resulted in net proceeds to us of approximately $77.0 million, net of underwriting discounts, commissions and offering expenses. Following the completion of our IPO, we paid the balance on our bank line of credit of $3.1 million, which is collateralized by our accounts receivable and provides us the ability to borrow up to $7.0 million, subject to certain covenants and other restrictions, and paid $5.0 million to satisfy all outstanding principal and interest on the notes we issued in January 2011.</w:t>
      </w:r>
    </w:p>
    <w:p>
      <w:pPr>
        <w:spacing w:after="0" w:line="1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of September 30, 2011, the outstanding balance under our loan and security agreement was $11.6 million, including approximately $2.3 million of additional payment that is included in the current portion of long-term debt on the condensed consolidated balance sheet at September 30, 2011. The loan and security agreement has a maturity date of February 2013 and bears interest of 13.5% per annum upon which interest only payments were paid monthly through February 2011. Commencing in March 2011, we began making principal and interest payments totaling $0.6 million per month and will make an additional payment of $2.3 million in March 2012. As of September 30, 2011, we were in compliance with our loan covenants.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flow summary</w:t>
            </w:r>
          </w:p>
        </w:tc>
        <w:tc>
          <w:tcPr>
            <w:tcW w:w="1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520" w:type="dxa"/>
            <w:vAlign w:val="bottom"/>
            <w:gridSpan w:val="3"/>
          </w:tcPr>
          <w:p>
            <w:pPr>
              <w:jc w:val="right"/>
              <w:ind w:right="220"/>
              <w:spacing w:after="0"/>
              <w:rPr>
                <w:sz w:val="20"/>
                <w:szCs w:val="20"/>
                <w:color w:val="auto"/>
              </w:rPr>
            </w:pPr>
            <w:r>
              <w:rPr>
                <w:rFonts w:ascii="Arial" w:cs="Arial" w:eastAsia="Arial" w:hAnsi="Arial"/>
                <w:sz w:val="18"/>
                <w:szCs w:val="18"/>
                <w:color w:val="auto"/>
              </w:rPr>
              <w:t>$ (15,287)</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$(9,247)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(50,068)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71,432</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(9,519)</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may continue to do so in the future.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Net cash used in operating activities was $15.3 million during the nine months ended September 30, 2011. Net cash used in operating activities primarily consisted of our net loss of $19.0 million, changes in our operating assets and liabilities in the amount of $1.1 million, and non-cash expense items such as stock-based compensation of $2.0 million, depreciation and amortization of our property and equipment of $0.8 million, loss from changes in the fair value of convertible stock warrants of $1.5 million, write offs of debt discounts of $1.2 million upon repayment of notes, and amortization of debt discount and issuance costs of $0.2 million, partially offset by a gain from expiration of unexercised warrants of $0.8 million.</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cash used in operating activities was $9.2 million during the nine months ended September 30, 2010. Net cash used in operating activities primarily consisted of our net loss of $13.8 million, changes in our operating assets and liabilities in the amount of $2.4 million, and non-cash expense items such as stock-based compensation of $1.3 million, depreciation and amortization of our property and equipment of $0.9 million, and amortization of debt discount and issuance costs of $0.3 million, partially offset by a gain from changes in the fair value of convertible stock warrants of $0.3 million.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Historically, our primary investing activities have consisted of capital expenditures for laboratory, manufacturing and computer equipment and software to support our expanding infrastructure and work force; and purchases, sales and maturities of our available-for-sale securities. We expect to continue to expand our manufacturing capability, primarily in Singapore, and expect to incur additional costs for capital expenditures related to these efforts in future periods.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used $50.1 million of cash in investing activities during the nine months ended September 30, 2011 to invest a portion of the net proceeds from our IPO in available-for-sale securities of $60.5 million, payment to Life Technologies to preclude it from pursuing certain patent litigation against us of $2.0 million, and for purchases of capital equipment to support our infrastructure and manufacturing operations of $1.0 million, partially offset by sales and maturities of available-for-sale securities of $13.5 million.</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used $1.0 million of cash in investing activities during the nine months ended September 30, 2010 primarily for purchases of capital equipment to support our infrastructure and manufacturing operations of $1.1 million, partially offset by a decrease in restricted cash of $0.1 million related to the favorable terms of our new lease for our headquarters facility in South San Francisco, California.</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our IPO, we funded our operations principally through issuances of convertible preferred stock and long-term debt.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generated $71.4 million of cash from financing activities during the nine months ended September 30, 2011 primarily from net proceeds from our IPO of approximately $77.0 million, subordinated secured promissory notes with existing stockholders of $5.0 million and proceeds from exercise of stock options of $0.9 million, partially offset by the pay off of our line of credit balance of $3.1 million and repayment of the subordinated secured promissory notes of $5.0 million and repayment of long-term debt of $3.3 million.</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generated $0.7 million of cash from financing activities during the nine months ended September 30, 2010 primarily from net proceeds from the exercise of convertible preferred stock warrants and issuance of convertible preferred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September 30, 2011, our working capital was $56.4 million, including cash, cash equivalents and available-for-sale securities of $58.9 million. We have a bank line of credit agreement that is collateralized by our accounts receivable and provides us the ability to draw up to $7.0 million, subject to certain covenants and restrictions. During the nine months ended September 30, 2011, our capital expenditures were $1.0 million. We are estimating capital expenditures to be higher in 2011 compared to 2010 primarily for the expansion of our manufacturing capacity, research and development equipment and sales demonstration and product support instruments to service our global customer base.</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believe our existing cash and cash equivalents will be sufficient to meet our working capital and capital expenditure needs for at least the next 18 months. However, we may need to raise additional capital to expand the commercialization of our products,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September 30, 2011, we did not have any off-balance sheet arrangements as defined in Item 303(a)(4) of Regulation S-K promulgated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have been no material changes, outside the ordinary course of business, in our outstanding contractual obligations from those disclosed within “Management’s Discussion and Analysis of Financial Condition and Results of Operations” as contained in our Annual Report on Form 10-K filed with the SEC on March 28,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Information with respect to recent accounting pronouncements is included in Note 2 of the notes to our condensed consolidated financial statements included elsewhere in this Form 10-Q.</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September 30, 2011 would not have been material. To date, we have not entered into any material foreign currency hedging contracts although we may do so in the future.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had cash and cash equivalents of $11.9 million at September 30, 2011. These amounts were held primarily in cash on deposit with banks and money market funds which are short-term. We had $47.0 million in available-for-sale securities at September 30, 2011 held primarily in U.S. government agency securities with maturities of less than twelve months. Cash and cash equivalents and available-for-sale securities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 presented, our interest income would not have been materially affected.</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2011, the principal amount of our long-term debt outstanding was $11.6 million and we had no outstanding balance on our bank line of credit. The interest rates on our long-term debt are fixed. If overall interest rates had increased by 10% during the period presented, our interest expense would not have been materially affected.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2011 that have materially affected, or are reasonably likely to materially affect, our internal control over financial reporting.</w:t>
      </w:r>
    </w:p>
    <w:p>
      <w:pPr>
        <w:spacing w:after="0" w:line="11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6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8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$19.0 million, $16.9 million, $19.1 million and $29.5 million during the nine months ended September 30, 2011, and the years 2010, 2009 and 2008, respectively. As of September 30, 2011, we had an accumulated deficit of $218.3 million. These losses have resulted principally from costs incurred in our research and development programs and from our manufacturing costs and selling, general and administrative expenses. We expect to continue to incur operating and net losses and negative cash flow from operations, which may increase, for the foreseeable future due in part to anticipated increases in expenses for significant expansion of our manufacturing, sales and marketing capabilities and research and product development. Additionally,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69"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Compared to some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3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Historically, a significant part of our sales and marketing efforts have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9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This variability may lead to volatility in our stock price as research analysts and investors respond to these quarterly fluctuations. These fluctuations are due to numerous factors,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and fluctuations in foreign currency exchange rates. For example, in 2008, 2009 and 2010, we experienced higher sales in the fourth quarter than in the first quarter of the next fiscal year as a result of one or more of the factors described above. The foregoing factors are difficult to forecast, and these,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Our results of operations may not meet the expectations of research analysts or investors, in which case the price of our common stock could decrease significantly.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customer base is primarily composed of pharmaceutical, biotechnology and Ag-Bio companies, academic institutions and life science laboratories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In addition, certain new applications that we are considering developing are not commonly performed with conventional techniques and therefore may require additional sales efforts to create customer awareness of the utility of these applications. Any failure to expand our existing customer base or launch new applications would adversely affect our ability to increase our revenues.</w:t>
      </w:r>
    </w:p>
    <w:p>
      <w:pPr>
        <w:spacing w:after="0" w:line="19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and consumables for gene expression analysis, single cell analysis, genotyping, polymerase chain reaction, or PCR, digital PCR,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PerkinElmer, Inc., Illumina, Inc., Life Technologies Corporation, Luminex Corporation, Roche Applied Science (a division of Roche Diagnostics Corporation), NanoString Technologies, Inc., Bio-Rad Laboratories, Inc., RainDance Technologies, Inc., Sequenom, Inc., WaferGen Bio-systems, Inc. and LGC Limited have products that compete in certain segments of the market in which we sell our products, including gene expression analysis, genotyping and sequencing. In addition, a number of other companies and academic groups are in the process of developing novel technologies for life science markets.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11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our BioMark HD system for genomic analysis was introduced for commercial sale in 2011 and we recently began producing and selling assays for use with our chips. We may not be able to market, sell and distribute our products effectively enough to support our planned growth.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may be adversely affected by recent events in Japan.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recent earthquake and tsunami in Japan and their aftermath have created significant economic uncertainty in that country. Sales to customers located in Japan represented approximately 13%, 9% and 9% of our product revenue for the fiscal years 2009 and 2010 and the nine month period ended September 30, 2011, respectively. We can give no assurance that our future operating results will not be adversely affected by these natural disasters.</w:t>
      </w:r>
    </w:p>
    <w:p>
      <w:pPr>
        <w:spacing w:after="0" w:line="182"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color w:val="auto"/>
        </w:rPr>
        <w:t>Our business depends on research and development spending levels of pharmaceutical, Ag-Bio and biotechnology companies and academic, clinical and governmental research institutions and any reduction in such spending could limit our ability to sell our products and adversely affect our business.</w:t>
      </w:r>
    </w:p>
    <w:p>
      <w:pPr>
        <w:ind w:firstLine="456"/>
        <w:spacing w:after="0" w:line="287"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and biotechnology, Ag-Bio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microfluidic systems and chips. These reductions and delays may result from factors that are not within our control, such as:</w:t>
      </w:r>
    </w:p>
    <w:p>
      <w:pPr>
        <w:spacing w:after="0" w:line="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as a result of the foregoing or other factors could materially and adversely affect our operations or financial condition.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61" w:lineRule="auto"/>
        <w:rPr>
          <w:sz w:val="20"/>
          <w:szCs w:val="20"/>
          <w:color w:val="auto"/>
        </w:rPr>
      </w:pPr>
      <w:r>
        <w:rPr>
          <w:rFonts w:ascii="Arial" w:cs="Arial" w:eastAsia="Arial" w:hAnsi="Arial"/>
          <w:sz w:val="15"/>
          <w:szCs w:val="15"/>
          <w:b w:val="1"/>
          <w:bCs w:val="1"/>
          <w:color w:val="auto"/>
        </w:rPr>
        <w:t>We may not be able to develop new systems or enhance the capabilities of our existing microfluidic systems to keep pace with rapidly changing technology and customer requirements, which could have a material adverse effect on our business, revenue, financial condition and operating results.</w:t>
      </w:r>
    </w:p>
    <w:p>
      <w:pPr>
        <w:ind w:right="40" w:firstLine="456"/>
        <w:spacing w:after="0" w:line="285" w:lineRule="auto"/>
        <w:rPr>
          <w:sz w:val="20"/>
          <w:szCs w:val="20"/>
          <w:color w:val="auto"/>
        </w:rPr>
      </w:pPr>
      <w:r>
        <w:rPr>
          <w:rFonts w:ascii="Arial" w:cs="Arial" w:eastAsia="Arial" w:hAnsi="Arial"/>
          <w:sz w:val="16"/>
          <w:szCs w:val="16"/>
          <w:color w:val="auto"/>
        </w:rPr>
        <w:t>Our success depends on our ability to develop new applications for our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PCR and single cell analyses,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market opportunities may not develop as quickly as we expect, limiting our ability to successfully market and sell our products.</w:t>
      </w:r>
    </w:p>
    <w:p>
      <w:pPr>
        <w:spacing w:after="0" w:line="9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application of our technologies to molecular diagnostics, single cell analysis, digital PCR and sample preparation for next generation DNA sequencing are emerging market opportunities. We believe these opportunities will take several years to develop or mature and we cannot be certain that these market opportunities will develop as we expect. Although we believe that there will be applications of our technologies in these markets, there can be no certainty of the technical or commercial success our technologies will achieve in such markets. Our success in the emerging markets of molecular diagnostics, single cell analysis, digital PCR and sample preparation for next generation DNA sequencing may depend to a large extent on our ability to successfully market and sell products using our technologies. In addition, in the case of molecular diagnostics, we will need to obtain regulatory approval for such products in the United States and in overseas markets.</w:t>
      </w:r>
    </w:p>
    <w:p>
      <w:pPr>
        <w:spacing w:after="0" w:line="8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the timeline anticipated, if at all, our business and results of operations will be adversely affected.</w:t>
      </w:r>
    </w:p>
    <w:p>
      <w:pPr>
        <w:spacing w:after="0" w:line="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Our technology is new and complex and the behavior of fluids and surrounding compounds in a nanoscale environment is difficult to predict in advance. Though we have developed design rules for the implementation of our technology, these are frequently revised to reflect new insights we have gained about the technology. In addition, we have discovered that biological or chemical reactions sometimes behave differently when implemented on our systems rather than in a standard laboratory environment. As a result, research and development efforts may be required to transfer certain reactions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63"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b w:val="1"/>
          <w:bCs w:val="1"/>
          <w:color w:val="auto"/>
        </w:rPr>
        <w:t>Our variable and, at times, lengthy sales cycles may cause fluctuations in our quarterly revenue and make it difficult for us to forecast revenue and other operating results. If we fail to meet the expectations of securities analysts or investors, our stock price may decline.</w:t>
      </w:r>
    </w:p>
    <w:p>
      <w:pPr>
        <w:ind w:firstLine="456"/>
        <w:spacing w:after="0" w:line="286" w:lineRule="auto"/>
        <w:rPr>
          <w:sz w:val="20"/>
          <w:szCs w:val="20"/>
          <w:color w:val="auto"/>
        </w:rPr>
      </w:pPr>
      <w:r>
        <w:rPr>
          <w:rFonts w:ascii="Arial" w:cs="Arial" w:eastAsia="Arial" w:hAnsi="Arial"/>
          <w:sz w:val="16"/>
          <w:szCs w:val="16"/>
          <w:color w:val="auto"/>
        </w:rPr>
        <w:t>Due in part to the high up-front cost associated with our systems, potential customers for our systems typically need to commit significant time and resources to evaluate our technology and their decision to purchase our instruments and consumables may be further limited by budgetary constraints and several layers of internal review and approval, which are beyond our control. In addition, the novelty and complexity of our products often requires us to spend substantial time and effort assisting potential customers in evaluating our instruments, including providing demonstrations and benchmarking our products against other available technologies.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rely on strategic partnerships for research and development and commercialization purposes.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joint ventures and alliances with other participants in the life science, Ag-Bio and molecular diagnostics industries. For example, in 2010, we entered into a collaboration agreement in molecular diagnostics and a co-marketing agreement in next generation sequencing.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with regard to our strategic partnerships, joint ventures and alliances. We may be required to 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our collaboration agreements with Novartis Vaccines &amp; Diagnostics, Inc., or Novartis V&amp;D,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technical feasibility milestones in 2011 and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As we approach the end of the first phase of the collaboration plan, we are engaged in discussions with Novartis V&amp;D regarding the terms of the next phase. There can be no assurance that the discussions will lead to continued collaboration, that the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our manufacturing facility becomes unavailable or inoperable, we will be unable to continue manufacturing our products and, as a result, our business will be harmed until we are able to secure a new facility.</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manufacture and assemble all of our instruments and chips for commercial sale at our facility in Singapore. No other manufacturing or assembly facilities are currently available to us. Our facility and the equipment we use to manufacture our products would be costly to replace and could require substantial lead time to repair or replace. The facility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current leases for our manufacturing facility in Singapore expire at various times through September 2014. If we are unable to secure new leases upon the expiration of our current leases or if the facility becomes otherwise unavailable to us, and we are required to move our operations to a new manufacturing facility, we will incur significant expense in connection with the establishment of a new facility. A move would be administratively and logistically challenging and would delay and otherwise adversely affect our manufacturing activities and business operations. We cannot provide assurances that we will be able to secure new leases on our existing manufacturing facility or a new manufacturing facility on acceptable terms, if at all.</w:t>
      </w:r>
    </w:p>
    <w:p>
      <w:pPr>
        <w:spacing w:after="0" w:line="19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to:</w:t>
      </w:r>
    </w:p>
    <w:p>
      <w:pPr>
        <w:spacing w:after="0" w:line="8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our research and 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and license technologies.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14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of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18"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35% of our product revenue for the nine months ended September 30, 2011 and 43% of our product revenue in 2010, involve real-time quantitative polymerase chain reaction, or real-time qPCR. Leading suppliers of reagents for real-time qPCR reactions include Life Technologies Corporation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provide quality technical support, we could lose customers and our operating results could suffer.</w:t>
      </w:r>
    </w:p>
    <w:p>
      <w:pPr>
        <w:spacing w:after="0" w:line="9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7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systems, and the loss of any of these suppliers could harm our business.</w:t>
      </w:r>
    </w:p>
    <w:p>
      <w:pPr>
        <w:spacing w:after="0" w:line="4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rely on single source suppliers for certain components and materials used in our systems. We do not have long term contracts with our suppliers of these components and materials. Of these single source suppliers, the loss of any of the following would require significant time and effort to locate and qualify an alternative source of supply:</w:t>
      </w:r>
    </w:p>
    <w:p>
      <w:pPr>
        <w:spacing w:after="0" w:line="59" w:lineRule="exact"/>
        <w:rPr>
          <w:sz w:val="20"/>
          <w:szCs w:val="20"/>
          <w:color w:val="auto"/>
        </w:rPr>
      </w:pPr>
    </w:p>
    <w:p>
      <w:pPr>
        <w:ind w:left="900" w:right="14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custom camera lenses, fiber light guides and other components that are available from a limited number of sources.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systems or cause delays in shipment of our systems;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All of our instruments and chips are manufactured at our facility in Singapore. We began commercial production of our chips in Singapore in October 2006 and have transitioned the commercial production of our microfluidic systems to Singapore as well.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Such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Because all our instruments and chips are manufactured at our facility in Singapore, we rely on shipping providers to deliver our products to our customers. To the extent that there are disruptions or delays in shipping our products from Singapore or off-loading our products upon arrival at their destination due to labor disputes, tariff or World Trade Organization-related disputes, piracy, physical damage to shipping facilities or equipment caused by severe weather or terrorist incidents, congestion at shipping facilities, inadequate equipment to load, dock and offload our products or energy-related tie-ups or otherwise, or for other reasons, product shipments to our customers will be delayed. Depending on the severity of such consequences, this may have an adverse effect on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recruit and retain key executives and scientists, we may be unable to achieve our goals.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218"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global economy has been experiencing a significant economic downturn, and global credit and capital markets have experienced substantial volatility and disruption.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believe our commercial manufacturing facility located in Singapore is sufficient to meet our short-term manufacturing needs. The current leases for our manufacturing facility in Singapore expire at various times through September 2014. In order to meet the long-term demand for our microfluidic systems, we believe that we will need to add to our existing manufacturing space in Singapore or move all of our manufacturing facilities to a new location in Singapore in 2012.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 We cannot provide assurances that we will be able to secure a lease on a new manufacturing facility on acceptable terms, if at all.</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technology could be reduced by legal, social and ethical concerns surrounding the use of genetic information and biological materials.</w:t>
      </w:r>
    </w:p>
    <w:p>
      <w:pPr>
        <w:spacing w:after="0" w:line="13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agricultural crops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21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products, although not currently subject to regulation by the U.S. Food and Drug Administration or other regulatory agencies as medical devices, could become subject to regulation in the future.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are currently labeled and sold to biotechnology and pharmaceutical companies, academic institutions, and life sciences laboratories for research purposes only, and not as diagnostic tests or procedures. As research use only products, they are not subject to regulation as medical devices by the U.S. Food and Drug Administration, or FDA, or comparable agencies of other countries. However, if we change the labeling of our products in the future to include indications for human diagnostic applications, our products or related applications could be subject to the FDA’s pre- and post-market regulations. For example, if we wish to label and market our products for use in performing clinical diagnostics, we would first need to obtain FDA premarket clearance or approval. Obtaining FDA clearance or approval can be expensive and uncertain,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1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Further, the FDA may expand its jurisdiction over our products or the products of our customers, which could impose restrictions on our ability to market and sell our products. For example, our customers may use our research use only labeled products in their own laboratory developed tests, or LDTs,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Additionally, in June 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or intends for its product to be, offered for clinical diagnostic uses. These circumstances may include written or verbal marketing claims regarding a product’s performance in clinical applications and a manufacturer’s provision of technical support for such activities. If the FDA imposes significant changes to the regulation of LDTs, or modifies its approach to our research use only tests which may be used by our customers for clinical use, it could reduce our revenues or increase our costs and adversely affect our business, prospects, results of operations or financial condition.</w:t>
      </w:r>
    </w:p>
    <w:p>
      <w:pPr>
        <w:spacing w:after="0" w:line="12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Finally, we may be required to proactively achieve compliance with certain FDA regulations as part of our contracts with customers or as part of our collaborations with third parties. In addition, we may voluntarily seek to conform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For clinical diagnostic products, the FDA enforces the QSR through periodic unannounced inspections of registered manufacturing facilities. If we are required to comply with the QSR,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could have unknown defects or errors, which may give rise to claims against us and adversely affect market adoption of our systems.</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While we do not provide express warranties that our microfluidic systems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microfluidic systems. The costs incurred in correcting any defects or errors may be substantial and could adversely affect our operating margins.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manufacturing our products,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or if the suppliers, or we, use defective materials or workmanship in the manufacturing process, the reliability and performance of our products will be compromised.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4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45"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During 2008, 2009, 2010, and the nine months ended September 30, 2011, approximately 48%, 46%, 45%, and 46%, respectively, of our product revenue was generated from sales to customers located outside of the United States. We believe that a significant percentage of our future revenue will come from international sources as we expand our overseas operations and develop opportunities in additional international areas. In addition, all of our instruments and chips are manufactured in Singapore.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4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use hazardous chemicals and biological materials in our business. Any claims relating to improper handling, storage or disposal of these materials could be time consuming and costly.</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microfluidic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and our management will be required to devote substantial time to new compliance initiatives.</w:t>
      </w:r>
    </w:p>
    <w:p>
      <w:pPr>
        <w:spacing w:after="0" w:line="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began operating as a public company in February 2011. As a public company, we are incurring significant legal, accounting and other expenses that we did not incur as a private company. In addition, the Sarbanes-Oxley Act, as well as new rules subsequently implemented by the SEC and the NASDAQ Global Market, or NASDAQ, have imposed various new requirements on public companies, including requiring changes in corporate governance practices. Our management and other personnel are devoting a substantial amount of time to these new compliance initiatives. Moreover, these rules and regulations have increased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19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procedures. In particular, with respect to our 2011 fiscal year, we must perform system and process evaluation and testing of our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to allow management to report on the effectiveness of our internal control over financial reporting, as required by Section 404 of the Sarbanes-Oxley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Our testing may reveal deficiencies in our internal control over financial reporting that are deemed to be material weaknesses. Our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404 will require that we incur substantial accounting expense and expend significant management time on compliance-related issues. We currently do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have an internal audit group and we will evaluate the need to hire additional accounting and financial staff with appropriate public company experience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technical accounting knowledge. Moreover, if we are not able to comply with the requirements of Section 404 in a timely manner, or if we or our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public accounting firm identifies deficiencies in our internal control over financial reporting that are deemed to be material weaknesses, the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our stock could decline and we could be subject to sanctions or investigations by the NASDAQ, the SEC or other regulatory authorities, which would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 additional financial and management resources.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including our initial public offering. If we undergo an ownership change,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9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patent positions of companies in the life science and Ag-Bio industries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900" w:right="60" w:hanging="325"/>
        <w:spacing w:after="0" w:line="35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93" w:lineRule="exact"/>
        <w:rPr>
          <w:sz w:val="20"/>
          <w:szCs w:val="20"/>
          <w:color w:val="auto"/>
        </w:rPr>
      </w:pPr>
    </w:p>
    <w:p>
      <w:pPr>
        <w:ind w:right="460"/>
        <w:spacing w:after="0" w:line="310" w:lineRule="auto"/>
        <w:rPr>
          <w:sz w:val="20"/>
          <w:szCs w:val="20"/>
          <w:color w:val="auto"/>
        </w:rPr>
      </w:pPr>
      <w:r>
        <w:rPr>
          <w:rFonts w:ascii="Arial" w:cs="Arial" w:eastAsia="Arial" w:hAnsi="Arial"/>
          <w:sz w:val="16"/>
          <w:szCs w:val="16"/>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w:t>
      </w:r>
    </w:p>
    <w:p>
      <w:pPr>
        <w:spacing w:after="0" w:line="2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PCR market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In June 2011, we resolved this dispute by entering into a license agreement with Life Technologies Corporation which, among other matters, granted us a non-exclusive license to the ‘934 patent and its foreign counterparts.</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There can be no assurance that we will prevail in any suit initiated against us by third parties.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9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rights to use the technology we license are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84"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As of September 2011, all of our instruments, including microfluidic systems, and chips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 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9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 and holders may have difficulty selling their shares.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our initial public offering, there had been no public market for shares of our common stock. Our stock is currently traded on the NASDAQ, but we can provide no assurance that there will be active trading on that market or any other market in the future. If there is no active trading market or if the volume of trading is limited, holders of our common stock may have difficulty selling their shares. In addition, the trading price of our common stock may be highly volatile and could be subject to wide fluctuations in response to various factors, some of which are beyond our control. These factors include:</w:t>
      </w:r>
    </w:p>
    <w:p>
      <w:pPr>
        <w:spacing w:after="0" w:line="3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or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stock market in general, and market prices for the securities of technology-based companies like ours in particular, have from time to time experienced volatility that often has been unrelated to the operating performance of the underlying companies. A certain degree of stock price volatility can be attributed to being a newly public company.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9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 trading volume could decline.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stockholders holding shares of our common stock sell, or indicate an intention to sell, substantial amounts of their common stock in the public market, the trading price of our common stock could decline. As of September 30, 2011, we had outstanding a total of 20,231,930 shares of common stock, 14,635,169 of which are currently freely tradable, without restriction, in the public market. In addition, 1,407,396 shares of common stock that are issuable upon exercise of vested options as of September 30, 2011 will become eligible for sale in the public market to the extent permitted by the provisions of various vesting agreements and Rules 144 and 701 under the Securities Act. If a substantial amount of our shares are sold, or if it is perceived that they will be sold, in the public market, the trading price of our common stock could decline.</w:t>
      </w:r>
    </w:p>
    <w:p>
      <w:pPr>
        <w:spacing w:after="0" w:line="195"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and could limit your ability to influence the outcome of key transactions, including changes of control.</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2011, our current executive officers, directors and their affiliates beneficially owned or controlled approximately 7% of the outstanding shares of our common stock. Accordingly, these executive officers, directors and their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initial public offering and may not use them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broad discretion in the application of the net proceeds from our initial public offering and could spend the proceeds in ways that do not improve our results of operations or enhance the value of our common stock. We intend to use the net proceeds from our initial public offering for sales and marketing activities, including expansion of our sales force to support the ongoing commercialization of our products; for research and product development activities; for facilities improvements and the purchase of manufacturing and other equipment; and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Stockholders will not have the opportunity to influence our management’s decisions on how to use the net proceeds, and our failure to apply the funds effectively could have a material adverse effect on our business, delay the development of our product candidates and cause the price of our common stock to decline.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February 9, 2011, our registration statements on Form S-1 (Nos. 333-170965 and 333-172146) relating to our IPO were declared effective by the SEC. Our IPO closed on February 15, 2011, and the net proceeds to us after underwriting discounts, commissions, and offering expenses were approximately</w:t>
      </w:r>
    </w:p>
    <w:p>
      <w:pPr>
        <w:jc w:val="both"/>
        <w:ind w:right="40"/>
        <w:spacing w:after="0" w:line="302" w:lineRule="auto"/>
        <w:rPr>
          <w:sz w:val="20"/>
          <w:szCs w:val="20"/>
          <w:color w:val="auto"/>
        </w:rPr>
      </w:pPr>
      <w:r>
        <w:rPr>
          <w:rFonts w:ascii="Arial" w:cs="Arial" w:eastAsia="Arial" w:hAnsi="Arial"/>
          <w:sz w:val="16"/>
          <w:szCs w:val="16"/>
          <w:color w:val="auto"/>
        </w:rPr>
        <w:t>$77.0 million. Through September 30, 2011, the net proceeds have been applied as follows: $5.0 million for the repayment of promissory notes issued in January 2011, $3.1 million for the repayment of our bank line of credit, $8.3 million for research and development expenses, $22.6 million for general corporate purposes including selling, general and administrative expenses and litigation settlement expense, and $1.0 million for capital expenditures.</w:t>
      </w:r>
    </w:p>
    <w:p>
      <w:pPr>
        <w:spacing w:after="0" w:line="10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final prospectus filed with the SEC pursuant to Rule 424(b) on February 10,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33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2640" w:type="dxa"/>
            <w:vAlign w:val="bottom"/>
          </w:tcPr>
          <w:p>
            <w:pPr>
              <w:spacing w:after="0"/>
              <w:rPr>
                <w:sz w:val="14"/>
                <w:szCs w:val="1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6700" w:type="dxa"/>
            <w:vAlign w:val="bottom"/>
            <w:gridSpan w:val="3"/>
          </w:tcPr>
          <w:p>
            <w:pPr>
              <w:ind w:left="480"/>
              <w:spacing w:after="0"/>
              <w:rPr>
                <w:sz w:val="20"/>
                <w:szCs w:val="20"/>
                <w:color w:val="auto"/>
              </w:rPr>
            </w:pPr>
            <w:r>
              <w:rPr>
                <w:rFonts w:ascii="Arial" w:cs="Arial" w:eastAsia="Arial" w:hAnsi="Arial"/>
                <w:sz w:val="18"/>
                <w:szCs w:val="18"/>
                <w:color w:val="auto"/>
                <w:w w:val="88"/>
              </w:rPr>
              <w:t>Certification Pursuant to 18 U.S.C. Section 1350, as Adopted Pursuant to Section 302 of</w:t>
            </w:r>
          </w:p>
        </w:tc>
      </w:tr>
      <w:tr>
        <w:trPr>
          <w:trHeight w:val="222"/>
        </w:trPr>
        <w:tc>
          <w:tcPr>
            <w:tcW w:w="520" w:type="dxa"/>
            <w:vAlign w:val="bottom"/>
          </w:tcPr>
          <w:p>
            <w:pPr>
              <w:spacing w:after="0"/>
              <w:rPr>
                <w:sz w:val="19"/>
                <w:szCs w:val="19"/>
                <w:color w:val="auto"/>
              </w:rPr>
            </w:pPr>
          </w:p>
        </w:tc>
        <w:tc>
          <w:tcPr>
            <w:tcW w:w="6700" w:type="dxa"/>
            <w:vAlign w:val="bottom"/>
            <w:gridSpan w:val="3"/>
          </w:tcPr>
          <w:p>
            <w:pPr>
              <w:ind w:left="480"/>
              <w:spacing w:after="0"/>
              <w:rPr>
                <w:sz w:val="20"/>
                <w:szCs w:val="20"/>
                <w:color w:val="auto"/>
              </w:rPr>
            </w:pPr>
            <w:r>
              <w:rPr>
                <w:rFonts w:ascii="Arial" w:cs="Arial" w:eastAsia="Arial" w:hAnsi="Arial"/>
                <w:sz w:val="18"/>
                <w:szCs w:val="18"/>
                <w:color w:val="auto"/>
              </w:rPr>
              <w:t>the Sarbanes-Oxley Act of 2002 of President and Chief Executive Officer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179"/>
        <w:spacing w:after="0"/>
        <w:rPr>
          <w:sz w:val="20"/>
          <w:szCs w:val="20"/>
          <w:color w:val="auto"/>
        </w:rPr>
      </w:pPr>
      <w:r>
        <w:rPr>
          <w:rFonts w:ascii="Arial" w:cs="Arial" w:eastAsia="Arial" w:hAnsi="Arial"/>
          <w:sz w:val="12"/>
          <w:szCs w:val="12"/>
          <w:b w:val="1"/>
          <w:bCs w:val="1"/>
          <w:color w:val="auto"/>
        </w:rPr>
        <w:t>Incorporated by</w:t>
      </w:r>
    </w:p>
    <w:p>
      <w:pPr>
        <w:spacing w:after="0" w:line="25" w:lineRule="exact"/>
        <w:rPr>
          <w:sz w:val="20"/>
          <w:szCs w:val="20"/>
          <w:color w:val="auto"/>
        </w:rPr>
      </w:pPr>
    </w:p>
    <w:p>
      <w:pPr>
        <w:jc w:val="center"/>
        <w:ind w:left="-179"/>
        <w:spacing w:after="0"/>
        <w:rPr>
          <w:sz w:val="20"/>
          <w:szCs w:val="20"/>
          <w:color w:val="auto"/>
        </w:rPr>
      </w:pPr>
      <w:r>
        <w:rPr>
          <w:rFonts w:ascii="Arial" w:cs="Arial" w:eastAsia="Arial" w:hAnsi="Arial"/>
          <w:sz w:val="12"/>
          <w:szCs w:val="12"/>
          <w:b w:val="1"/>
          <w:bCs w:val="1"/>
          <w:color w:val="auto"/>
        </w:rPr>
        <w:t>Reference From</w:t>
      </w:r>
    </w:p>
    <w:p>
      <w:pPr>
        <w:spacing w:after="0" w:line="10"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-7620</wp:posOffset>
            </wp:positionV>
            <wp:extent cx="6261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40"/>
        <w:spacing w:after="0"/>
        <w:rPr>
          <w:sz w:val="20"/>
          <w:szCs w:val="20"/>
          <w:color w:val="auto"/>
        </w:rPr>
      </w:pPr>
      <w:r>
        <w:rPr>
          <w:rFonts w:ascii="Arial" w:cs="Arial" w:eastAsia="Arial" w:hAnsi="Arial"/>
          <w:sz w:val="12"/>
          <w:szCs w:val="12"/>
          <w:b w:val="1"/>
          <w:bCs w:val="1"/>
          <w:color w:val="auto"/>
        </w:rPr>
        <w:t>Incorporated</w:t>
      </w:r>
    </w:p>
    <w:p>
      <w:pPr>
        <w:spacing w:after="0" w:line="25" w:lineRule="exact"/>
        <w:rPr>
          <w:sz w:val="20"/>
          <w:szCs w:val="20"/>
          <w:color w:val="auto"/>
        </w:rPr>
      </w:pPr>
    </w:p>
    <w:p>
      <w:pPr>
        <w:jc w:val="center"/>
        <w:ind w:right="840"/>
        <w:spacing w:after="0"/>
        <w:rPr>
          <w:sz w:val="20"/>
          <w:szCs w:val="20"/>
          <w:color w:val="auto"/>
        </w:rPr>
      </w:pPr>
      <w:r>
        <w:rPr>
          <w:rFonts w:ascii="Arial" w:cs="Arial" w:eastAsia="Arial" w:hAnsi="Arial"/>
          <w:sz w:val="12"/>
          <w:szCs w:val="12"/>
          <w:b w:val="1"/>
          <w:bCs w:val="1"/>
          <w:color w:val="auto"/>
        </w:rPr>
        <w:t>by Reference</w:t>
      </w:r>
    </w:p>
    <w:p>
      <w:pPr>
        <w:jc w:val="center"/>
        <w:ind w:right="840"/>
        <w:spacing w:after="0" w:line="237" w:lineRule="auto"/>
        <w:rPr>
          <w:sz w:val="20"/>
          <w:szCs w:val="20"/>
          <w:color w:val="auto"/>
        </w:rPr>
      </w:pPr>
      <w:r>
        <w:rPr>
          <w:rFonts w:ascii="Arial" w:cs="Arial" w:eastAsia="Arial" w:hAnsi="Arial"/>
          <w:sz w:val="14"/>
          <w:szCs w:val="14"/>
          <w:b w:val="1"/>
          <w:bCs w:val="1"/>
          <w:color w:val="auto"/>
        </w:rPr>
        <w:t>From</w:t>
      </w:r>
    </w:p>
    <w:p>
      <w:pPr>
        <w:ind w:left="180"/>
        <w:spacing w:after="0"/>
        <w:tabs>
          <w:tab w:leader="none" w:pos="1280" w:val="left"/>
        </w:tabs>
        <w:rPr>
          <w:sz w:val="20"/>
          <w:szCs w:val="20"/>
          <w:color w:val="auto"/>
        </w:rPr>
      </w:pPr>
      <w:r>
        <w:rPr>
          <w:rFonts w:ascii="Arial" w:cs="Arial" w:eastAsia="Arial" w:hAnsi="Arial"/>
          <w:sz w:val="12"/>
          <w:szCs w:val="12"/>
          <w:b w:val="1"/>
          <w:bCs w:val="1"/>
          <w:color w:val="auto"/>
        </w:rPr>
        <w:t>Exhibit</w:t>
      </w:r>
      <w:r>
        <w:rPr>
          <w:sz w:val="20"/>
          <w:szCs w:val="20"/>
          <w:color w:val="auto"/>
        </w:rPr>
        <w:tab/>
      </w:r>
      <w:r>
        <w:rPr>
          <w:rFonts w:ascii="Arial" w:cs="Arial" w:eastAsia="Arial" w:hAnsi="Arial"/>
          <w:sz w:val="12"/>
          <w:szCs w:val="12"/>
          <w:b w:val="1"/>
          <w:bCs w:val="1"/>
          <w:color w:val="auto"/>
        </w:rPr>
        <w:t>Date</w:t>
      </w:r>
    </w:p>
    <w:p>
      <w:pPr>
        <w:spacing w:after="0" w:line="11"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u w:val="single" w:color="auto"/>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wp:posOffset>
            </wp:positionV>
            <wp:extent cx="514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3">
            <w:col w:w="7220" w:space="720"/>
            <w:col w:w="1160" w:space="720"/>
            <w:col w:w="16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6920" w:type="dxa"/>
            <w:vAlign w:val="bottom"/>
          </w:tcPr>
          <w:p>
            <w:pPr>
              <w:ind w:left="240"/>
              <w:spacing w:after="0"/>
              <w:rPr>
                <w:sz w:val="20"/>
                <w:szCs w:val="20"/>
                <w:color w:val="auto"/>
              </w:rPr>
            </w:pPr>
            <w:r>
              <w:rPr>
                <w:rFonts w:ascii="Arial" w:cs="Arial" w:eastAsia="Arial" w:hAnsi="Arial"/>
                <w:sz w:val="18"/>
                <w:szCs w:val="18"/>
                <w:color w:val="auto"/>
                <w:w w:val="94"/>
              </w:rPr>
              <w:t>Certification Pursuant to 18 U.S.C. Section 1350, as Adopted Pursuant to Section 302 of</w:t>
            </w:r>
          </w:p>
        </w:tc>
        <w:tc>
          <w:tcPr>
            <w:tcW w:w="1620" w:type="dxa"/>
            <w:vAlign w:val="bottom"/>
          </w:tcPr>
          <w:p>
            <w:pPr>
              <w:ind w:left="260"/>
              <w:spacing w:after="0"/>
              <w:rPr>
                <w:sz w:val="20"/>
                <w:szCs w:val="20"/>
                <w:color w:val="auto"/>
              </w:rPr>
            </w:pPr>
            <w:r>
              <w:rPr>
                <w:rFonts w:ascii="Arial" w:cs="Arial" w:eastAsia="Arial" w:hAnsi="Arial"/>
                <w:sz w:val="18"/>
                <w:szCs w:val="18"/>
                <w:color w:val="auto"/>
              </w:rPr>
              <w:t>Filed herewith</w:t>
            </w:r>
          </w:p>
        </w:tc>
      </w:tr>
      <w:tr>
        <w:trPr>
          <w:trHeight w:val="222"/>
        </w:trPr>
        <w:tc>
          <w:tcPr>
            <w:tcW w:w="76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the Sarbanes-Oxley Act of 2002 of Chief Financial Officer</w:t>
            </w:r>
          </w:p>
        </w:tc>
        <w:tc>
          <w:tcPr>
            <w:tcW w:w="1620" w:type="dxa"/>
            <w:vAlign w:val="bottom"/>
          </w:tcPr>
          <w:p>
            <w:pPr>
              <w:spacing w:after="0"/>
              <w:rPr>
                <w:sz w:val="19"/>
                <w:szCs w:val="19"/>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32.1(1)</w:t>
            </w:r>
          </w:p>
        </w:tc>
        <w:tc>
          <w:tcPr>
            <w:tcW w:w="6920" w:type="dxa"/>
            <w:vAlign w:val="bottom"/>
          </w:tcPr>
          <w:p>
            <w:pPr>
              <w:ind w:left="240"/>
              <w:spacing w:after="0"/>
              <w:rPr>
                <w:sz w:val="20"/>
                <w:szCs w:val="20"/>
                <w:color w:val="auto"/>
              </w:rPr>
            </w:pPr>
            <w:r>
              <w:rPr>
                <w:rFonts w:ascii="Arial" w:cs="Arial" w:eastAsia="Arial" w:hAnsi="Arial"/>
                <w:sz w:val="18"/>
                <w:szCs w:val="18"/>
                <w:color w:val="auto"/>
                <w:w w:val="94"/>
              </w:rPr>
              <w:t>Certification Pursuant to 18 U.S.C. Section 1350, as Adopted Pursuant to Section 906 of</w:t>
            </w:r>
          </w:p>
        </w:tc>
        <w:tc>
          <w:tcPr>
            <w:tcW w:w="1620" w:type="dxa"/>
            <w:vAlign w:val="bottom"/>
          </w:tcPr>
          <w:p>
            <w:pPr>
              <w:ind w:left="260"/>
              <w:spacing w:after="0"/>
              <w:rPr>
                <w:sz w:val="20"/>
                <w:szCs w:val="20"/>
                <w:color w:val="auto"/>
              </w:rPr>
            </w:pPr>
            <w:r>
              <w:rPr>
                <w:rFonts w:ascii="Arial" w:cs="Arial" w:eastAsia="Arial" w:hAnsi="Arial"/>
                <w:sz w:val="18"/>
                <w:szCs w:val="18"/>
                <w:color w:val="auto"/>
                <w:w w:val="87"/>
              </w:rPr>
              <w:t>Furnished herewith</w:t>
            </w:r>
          </w:p>
        </w:tc>
      </w:tr>
      <w:tr>
        <w:trPr>
          <w:trHeight w:val="222"/>
        </w:trPr>
        <w:tc>
          <w:tcPr>
            <w:tcW w:w="76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1620" w:type="dxa"/>
            <w:vAlign w:val="bottom"/>
          </w:tcPr>
          <w:p>
            <w:pPr>
              <w:spacing w:after="0"/>
              <w:rPr>
                <w:sz w:val="19"/>
                <w:szCs w:val="19"/>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32.2(1)</w:t>
            </w:r>
          </w:p>
        </w:tc>
        <w:tc>
          <w:tcPr>
            <w:tcW w:w="6920" w:type="dxa"/>
            <w:vAlign w:val="bottom"/>
          </w:tcPr>
          <w:p>
            <w:pPr>
              <w:ind w:left="240"/>
              <w:spacing w:after="0"/>
              <w:rPr>
                <w:sz w:val="20"/>
                <w:szCs w:val="20"/>
                <w:color w:val="auto"/>
              </w:rPr>
            </w:pPr>
            <w:r>
              <w:rPr>
                <w:rFonts w:ascii="Arial" w:cs="Arial" w:eastAsia="Arial" w:hAnsi="Arial"/>
                <w:sz w:val="18"/>
                <w:szCs w:val="18"/>
                <w:color w:val="auto"/>
                <w:w w:val="94"/>
              </w:rPr>
              <w:t>Certification Pursuant to 18 U.S.C. Section 1350, as Adopted Pursuant to Section 906 of</w:t>
            </w:r>
          </w:p>
        </w:tc>
        <w:tc>
          <w:tcPr>
            <w:tcW w:w="1620" w:type="dxa"/>
            <w:vAlign w:val="bottom"/>
          </w:tcPr>
          <w:p>
            <w:pPr>
              <w:ind w:left="260"/>
              <w:spacing w:after="0"/>
              <w:rPr>
                <w:sz w:val="20"/>
                <w:szCs w:val="20"/>
                <w:color w:val="auto"/>
              </w:rPr>
            </w:pPr>
            <w:r>
              <w:rPr>
                <w:rFonts w:ascii="Arial" w:cs="Arial" w:eastAsia="Arial" w:hAnsi="Arial"/>
                <w:sz w:val="18"/>
                <w:szCs w:val="18"/>
                <w:color w:val="auto"/>
                <w:w w:val="87"/>
              </w:rPr>
              <w:t>Furnished herewith</w:t>
            </w:r>
          </w:p>
        </w:tc>
      </w:tr>
      <w:tr>
        <w:trPr>
          <w:trHeight w:val="222"/>
        </w:trPr>
        <w:tc>
          <w:tcPr>
            <w:tcW w:w="76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the Sarbanes-Oxley Act of 2002 of Chief Financial Officer</w:t>
            </w:r>
          </w:p>
        </w:tc>
        <w:tc>
          <w:tcPr>
            <w:tcW w:w="1620" w:type="dxa"/>
            <w:vAlign w:val="bottom"/>
          </w:tcPr>
          <w:p>
            <w:pPr>
              <w:spacing w:after="0"/>
              <w:rPr>
                <w:sz w:val="19"/>
                <w:szCs w:val="19"/>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6920" w:type="dxa"/>
            <w:vAlign w:val="bottom"/>
          </w:tcPr>
          <w:p>
            <w:pPr>
              <w:ind w:left="240"/>
              <w:spacing w:after="0"/>
              <w:rPr>
                <w:sz w:val="20"/>
                <w:szCs w:val="20"/>
                <w:color w:val="auto"/>
              </w:rPr>
            </w:pPr>
            <w:r>
              <w:rPr>
                <w:rFonts w:ascii="Arial" w:cs="Arial" w:eastAsia="Arial" w:hAnsi="Arial"/>
                <w:sz w:val="18"/>
                <w:szCs w:val="18"/>
                <w:color w:val="auto"/>
                <w:w w:val="95"/>
              </w:rPr>
              <w:t>The following materials from Registrant’s Quarterly Report on Form 10-Q for the quarter</w:t>
            </w:r>
          </w:p>
        </w:tc>
        <w:tc>
          <w:tcPr>
            <w:tcW w:w="1620" w:type="dxa"/>
            <w:vAlign w:val="bottom"/>
          </w:tcPr>
          <w:p>
            <w:pPr>
              <w:ind w:left="260"/>
              <w:spacing w:after="0"/>
              <w:rPr>
                <w:sz w:val="20"/>
                <w:szCs w:val="20"/>
                <w:color w:val="auto"/>
              </w:rPr>
            </w:pPr>
            <w:r>
              <w:rPr>
                <w:rFonts w:ascii="Arial" w:cs="Arial" w:eastAsia="Arial" w:hAnsi="Arial"/>
                <w:sz w:val="18"/>
                <w:szCs w:val="18"/>
                <w:color w:val="auto"/>
                <w:w w:val="87"/>
              </w:rPr>
              <w:t>Furnished herewith</w:t>
            </w:r>
          </w:p>
        </w:tc>
      </w:tr>
      <w:tr>
        <w:trPr>
          <w:trHeight w:val="216"/>
        </w:trPr>
        <w:tc>
          <w:tcPr>
            <w:tcW w:w="76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w w:val="92"/>
              </w:rPr>
              <w:t>ended September 30, 2011, formatted in eXtensible Business Reporting Language (XBRL)</w:t>
            </w:r>
          </w:p>
        </w:tc>
        <w:tc>
          <w:tcPr>
            <w:tcW w:w="16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w w:val="89"/>
              </w:rPr>
              <w:t>includes: (i) Condensed Consolidated Balance Sheets at September 30, 2011 and December</w:t>
            </w:r>
          </w:p>
        </w:tc>
        <w:tc>
          <w:tcPr>
            <w:tcW w:w="1620" w:type="dxa"/>
            <w:vAlign w:val="bottom"/>
          </w:tcPr>
          <w:p>
            <w:pPr>
              <w:spacing w:after="0"/>
              <w:rPr>
                <w:sz w:val="18"/>
                <w:szCs w:val="18"/>
                <w:color w:val="auto"/>
              </w:rPr>
            </w:pPr>
          </w:p>
        </w:tc>
      </w:tr>
      <w:tr>
        <w:trPr>
          <w:trHeight w:val="222"/>
        </w:trPr>
        <w:tc>
          <w:tcPr>
            <w:tcW w:w="76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w w:val="94"/>
              </w:rPr>
              <w:t>31, 2010, (ii) Condensed Consolidated Statements of Operations for the Three and Nine</w:t>
            </w:r>
          </w:p>
        </w:tc>
        <w:tc>
          <w:tcPr>
            <w:tcW w:w="1620" w:type="dxa"/>
            <w:vAlign w:val="bottom"/>
          </w:tcPr>
          <w:p>
            <w:pPr>
              <w:spacing w:after="0"/>
              <w:rPr>
                <w:sz w:val="19"/>
                <w:szCs w:val="19"/>
                <w:color w:val="auto"/>
              </w:rPr>
            </w:pPr>
          </w:p>
        </w:tc>
      </w:tr>
    </w:tbl>
    <w:p>
      <w:pPr>
        <w:ind w:left="1000" w:right="4100"/>
        <w:spacing w:after="0" w:line="255" w:lineRule="auto"/>
        <w:rPr>
          <w:sz w:val="20"/>
          <w:szCs w:val="20"/>
          <w:color w:val="auto"/>
        </w:rPr>
      </w:pPr>
      <w:r>
        <w:rPr>
          <w:rFonts w:ascii="Arial" w:cs="Arial" w:eastAsia="Arial" w:hAnsi="Arial"/>
          <w:sz w:val="18"/>
          <w:szCs w:val="18"/>
          <w:color w:val="auto"/>
        </w:rPr>
        <w:t>Months Ended September 30, 2011 and 2010, (iii) Condensed Consolidated Statements of Cash Flows for the Nine Months Ended September 30, 2011 and 2010,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460" w:right="160" w:hanging="452"/>
        <w:spacing w:after="0" w:line="252"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ind w:left="460" w:right="8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XBRL information is furnished and not filed or a part of a registration statement or prospectus for purposes of sections 11 or 12 of the Securities Exchange Act of 1933, as amended, is deemed not filed for purposes of section 18 of the Securities Exchange Act of 1934, as amended,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November 14, 2011</w:t>
      </w:r>
      <w:r>
        <w:rPr>
          <w:sz w:val="20"/>
          <w:szCs w:val="20"/>
          <w:color w:val="auto"/>
        </w:rPr>
        <w:tab/>
      </w:r>
      <w:r>
        <w:rPr>
          <w:rFonts w:ascii="Arial" w:cs="Arial" w:eastAsia="Arial" w:hAnsi="Arial"/>
          <w:sz w:val="16"/>
          <w:szCs w:val="16"/>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November 14, 2011</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80" w:type="dxa"/>
            <w:vAlign w:val="bottom"/>
          </w:tcPr>
          <w:p>
            <w:pPr>
              <w:ind w:left="520"/>
              <w:spacing w:after="0"/>
              <w:rPr>
                <w:sz w:val="20"/>
                <w:szCs w:val="20"/>
                <w:color w:val="auto"/>
              </w:rPr>
            </w:pPr>
            <w:r>
              <w:rPr>
                <w:rFonts w:ascii="Arial" w:cs="Arial" w:eastAsia="Arial" w:hAnsi="Arial"/>
                <w:sz w:val="18"/>
                <w:szCs w:val="18"/>
                <w:b w:val="1"/>
                <w:bCs w:val="1"/>
                <w:color w:val="auto"/>
              </w:rPr>
              <w:t>EXHIBIT LIST</w:t>
            </w:r>
          </w:p>
        </w:tc>
      </w:tr>
      <w:tr>
        <w:trPr>
          <w:trHeight w:val="773"/>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28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980" w:type="dxa"/>
            <w:vAlign w:val="bottom"/>
            <w:gridSpan w:val="3"/>
          </w:tcPr>
          <w:p>
            <w:pPr>
              <w:ind w:left="500"/>
              <w:spacing w:after="0"/>
              <w:rPr>
                <w:sz w:val="20"/>
                <w:szCs w:val="20"/>
                <w:color w:val="auto"/>
              </w:rPr>
            </w:pPr>
            <w:r>
              <w:rPr>
                <w:rFonts w:ascii="Arial" w:cs="Arial" w:eastAsia="Arial" w:hAnsi="Arial"/>
                <w:sz w:val="18"/>
                <w:szCs w:val="18"/>
                <w:color w:val="auto"/>
                <w:w w:val="88"/>
              </w:rPr>
              <w:t>Certification Pursuant to 18 U.S.C. Section 1350, as Adopted Pursuant to Section 302 of the</w:t>
            </w:r>
          </w:p>
        </w:tc>
      </w:tr>
      <w:tr>
        <w:trPr>
          <w:trHeight w:val="222"/>
        </w:trPr>
        <w:tc>
          <w:tcPr>
            <w:tcW w:w="500" w:type="dxa"/>
            <w:vAlign w:val="bottom"/>
          </w:tcPr>
          <w:p>
            <w:pPr>
              <w:spacing w:after="0"/>
              <w:rPr>
                <w:sz w:val="19"/>
                <w:szCs w:val="19"/>
                <w:color w:val="auto"/>
              </w:rPr>
            </w:pPr>
          </w:p>
        </w:tc>
        <w:tc>
          <w:tcPr>
            <w:tcW w:w="6980" w:type="dxa"/>
            <w:vAlign w:val="bottom"/>
            <w:gridSpan w:val="3"/>
          </w:tcPr>
          <w:p>
            <w:pPr>
              <w:ind w:left="500"/>
              <w:spacing w:after="0"/>
              <w:rPr>
                <w:sz w:val="20"/>
                <w:szCs w:val="20"/>
                <w:color w:val="auto"/>
              </w:rPr>
            </w:pPr>
            <w:r>
              <w:rPr>
                <w:rFonts w:ascii="Arial" w:cs="Arial" w:eastAsia="Arial" w:hAnsi="Arial"/>
                <w:sz w:val="18"/>
                <w:szCs w:val="18"/>
                <w:color w:val="auto"/>
              </w:rPr>
              <w:t>Sarbanes-Oxley Act of 2002 of President and Chief Executive Officer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Incorporated</w:t>
            </w:r>
          </w:p>
        </w:tc>
        <w:tc>
          <w:tcPr>
            <w:tcW w:w="300" w:type="dxa"/>
            <w:vAlign w:val="bottom"/>
          </w:tcPr>
          <w:p>
            <w:pPr>
              <w:spacing w:after="0"/>
              <w:rPr>
                <w:sz w:val="14"/>
                <w:szCs w:val="14"/>
                <w:color w:val="auto"/>
              </w:rPr>
            </w:pPr>
          </w:p>
        </w:tc>
      </w:tr>
      <w:tr>
        <w:trPr>
          <w:trHeight w:val="149"/>
        </w:trPr>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300" w:type="dxa"/>
            <w:vAlign w:val="bottom"/>
          </w:tcPr>
          <w:p>
            <w:pPr>
              <w:spacing w:after="0"/>
              <w:rPr>
                <w:sz w:val="12"/>
                <w:szCs w:val="12"/>
                <w:color w:val="auto"/>
              </w:rPr>
            </w:pPr>
          </w:p>
        </w:tc>
      </w:tr>
      <w:tr>
        <w:trPr>
          <w:trHeight w:val="149"/>
        </w:trPr>
        <w:tc>
          <w:tcPr>
            <w:tcW w:w="18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Incorporated by</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From</w:t>
            </w:r>
          </w:p>
        </w:tc>
        <w:tc>
          <w:tcPr>
            <w:tcW w:w="300" w:type="dxa"/>
            <w:vAlign w:val="bottom"/>
          </w:tcPr>
          <w:p>
            <w:pPr>
              <w:spacing w:after="0"/>
              <w:rPr>
                <w:sz w:val="12"/>
                <w:szCs w:val="12"/>
                <w:color w:val="auto"/>
              </w:rPr>
            </w:pPr>
          </w:p>
        </w:tc>
      </w:tr>
      <w:tr>
        <w:trPr>
          <w:trHeight w:val="149"/>
        </w:trPr>
        <w:tc>
          <w:tcPr>
            <w:tcW w:w="1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Reference From</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6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Filed</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ectPr>
          <w:pgSz w:w="11900" w:h="16838" w:orient="portrait"/>
          <w:cols w:equalWidth="0" w:num="2">
            <w:col w:w="7480" w:space="500"/>
            <w:col w:w="344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6980" w:type="dxa"/>
            <w:vAlign w:val="bottom"/>
          </w:tcPr>
          <w:p>
            <w:pPr>
              <w:ind w:left="240"/>
              <w:spacing w:after="0"/>
              <w:rPr>
                <w:sz w:val="20"/>
                <w:szCs w:val="20"/>
                <w:color w:val="auto"/>
              </w:rPr>
            </w:pPr>
            <w:r>
              <w:rPr>
                <w:rFonts w:ascii="Arial" w:cs="Arial" w:eastAsia="Arial" w:hAnsi="Arial"/>
                <w:sz w:val="18"/>
                <w:szCs w:val="18"/>
                <w:color w:val="auto"/>
                <w:w w:val="91"/>
              </w:rPr>
              <w:t>Certification Pursuant to 18 U.S.C. Section 1350, as Adopted Pursuant to Section 302 of the</w:t>
            </w:r>
          </w:p>
        </w:tc>
        <w:tc>
          <w:tcPr>
            <w:tcW w:w="1620" w:type="dxa"/>
            <w:vAlign w:val="bottom"/>
          </w:tcPr>
          <w:p>
            <w:pPr>
              <w:ind w:left="240"/>
              <w:spacing w:after="0"/>
              <w:rPr>
                <w:sz w:val="20"/>
                <w:szCs w:val="20"/>
                <w:color w:val="auto"/>
              </w:rPr>
            </w:pPr>
            <w:r>
              <w:rPr>
                <w:rFonts w:ascii="Arial" w:cs="Arial" w:eastAsia="Arial" w:hAnsi="Arial"/>
                <w:sz w:val="18"/>
                <w:szCs w:val="18"/>
                <w:color w:val="auto"/>
              </w:rPr>
              <w:t>Filed herewith</w:t>
            </w:r>
          </w:p>
        </w:tc>
      </w:tr>
      <w:tr>
        <w:trPr>
          <w:trHeight w:val="222"/>
        </w:trPr>
        <w:tc>
          <w:tcPr>
            <w:tcW w:w="760" w:type="dxa"/>
            <w:vAlign w:val="bottom"/>
          </w:tcPr>
          <w:p>
            <w:pPr>
              <w:spacing w:after="0"/>
              <w:rPr>
                <w:sz w:val="19"/>
                <w:szCs w:val="19"/>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Sarbanes-Oxley Act of 2002 of Chief Financial Officer</w:t>
            </w:r>
          </w:p>
        </w:tc>
        <w:tc>
          <w:tcPr>
            <w:tcW w:w="1620" w:type="dxa"/>
            <w:vAlign w:val="bottom"/>
          </w:tcPr>
          <w:p>
            <w:pPr>
              <w:spacing w:after="0"/>
              <w:rPr>
                <w:sz w:val="19"/>
                <w:szCs w:val="19"/>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32.1(1)</w:t>
            </w:r>
          </w:p>
        </w:tc>
        <w:tc>
          <w:tcPr>
            <w:tcW w:w="6980" w:type="dxa"/>
            <w:vAlign w:val="bottom"/>
          </w:tcPr>
          <w:p>
            <w:pPr>
              <w:ind w:left="24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w:t>
            </w:r>
          </w:p>
        </w:tc>
        <w:tc>
          <w:tcPr>
            <w:tcW w:w="1620" w:type="dxa"/>
            <w:vAlign w:val="bottom"/>
          </w:tcPr>
          <w:p>
            <w:pPr>
              <w:ind w:left="240"/>
              <w:spacing w:after="0"/>
              <w:rPr>
                <w:sz w:val="20"/>
                <w:szCs w:val="20"/>
                <w:color w:val="auto"/>
              </w:rPr>
            </w:pPr>
            <w:r>
              <w:rPr>
                <w:rFonts w:ascii="Arial" w:cs="Arial" w:eastAsia="Arial" w:hAnsi="Arial"/>
                <w:sz w:val="18"/>
                <w:szCs w:val="18"/>
                <w:color w:val="auto"/>
                <w:w w:val="88"/>
              </w:rPr>
              <w:t>Furnished herewith</w:t>
            </w:r>
          </w:p>
        </w:tc>
      </w:tr>
      <w:tr>
        <w:trPr>
          <w:trHeight w:val="222"/>
        </w:trPr>
        <w:tc>
          <w:tcPr>
            <w:tcW w:w="760" w:type="dxa"/>
            <w:vAlign w:val="bottom"/>
          </w:tcPr>
          <w:p>
            <w:pPr>
              <w:spacing w:after="0"/>
              <w:rPr>
                <w:sz w:val="19"/>
                <w:szCs w:val="19"/>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Sarbanes-Oxley Act of 2002 of President and Chief Executive Officer</w:t>
            </w:r>
          </w:p>
        </w:tc>
        <w:tc>
          <w:tcPr>
            <w:tcW w:w="1620" w:type="dxa"/>
            <w:vAlign w:val="bottom"/>
          </w:tcPr>
          <w:p>
            <w:pPr>
              <w:spacing w:after="0"/>
              <w:rPr>
                <w:sz w:val="19"/>
                <w:szCs w:val="19"/>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32.2(1)</w:t>
            </w:r>
          </w:p>
        </w:tc>
        <w:tc>
          <w:tcPr>
            <w:tcW w:w="6980" w:type="dxa"/>
            <w:vAlign w:val="bottom"/>
          </w:tcPr>
          <w:p>
            <w:pPr>
              <w:ind w:left="24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w:t>
            </w:r>
          </w:p>
        </w:tc>
        <w:tc>
          <w:tcPr>
            <w:tcW w:w="1620" w:type="dxa"/>
            <w:vAlign w:val="bottom"/>
          </w:tcPr>
          <w:p>
            <w:pPr>
              <w:ind w:left="240"/>
              <w:spacing w:after="0"/>
              <w:rPr>
                <w:sz w:val="20"/>
                <w:szCs w:val="20"/>
                <w:color w:val="auto"/>
              </w:rPr>
            </w:pPr>
            <w:r>
              <w:rPr>
                <w:rFonts w:ascii="Arial" w:cs="Arial" w:eastAsia="Arial" w:hAnsi="Arial"/>
                <w:sz w:val="18"/>
                <w:szCs w:val="18"/>
                <w:color w:val="auto"/>
                <w:w w:val="88"/>
              </w:rPr>
              <w:t>Furnished herewith</w:t>
            </w:r>
          </w:p>
        </w:tc>
      </w:tr>
      <w:tr>
        <w:trPr>
          <w:trHeight w:val="222"/>
        </w:trPr>
        <w:tc>
          <w:tcPr>
            <w:tcW w:w="760" w:type="dxa"/>
            <w:vAlign w:val="bottom"/>
          </w:tcPr>
          <w:p>
            <w:pPr>
              <w:spacing w:after="0"/>
              <w:rPr>
                <w:sz w:val="19"/>
                <w:szCs w:val="19"/>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Sarbanes-Oxley Act of 2002 of Chief Financial Officer</w:t>
            </w:r>
          </w:p>
        </w:tc>
        <w:tc>
          <w:tcPr>
            <w:tcW w:w="1620" w:type="dxa"/>
            <w:vAlign w:val="bottom"/>
          </w:tcPr>
          <w:p>
            <w:pPr>
              <w:spacing w:after="0"/>
              <w:rPr>
                <w:sz w:val="19"/>
                <w:szCs w:val="19"/>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6980" w:type="dxa"/>
            <w:vAlign w:val="bottom"/>
          </w:tcPr>
          <w:p>
            <w:pPr>
              <w:ind w:left="240"/>
              <w:spacing w:after="0"/>
              <w:rPr>
                <w:sz w:val="20"/>
                <w:szCs w:val="20"/>
                <w:color w:val="auto"/>
              </w:rPr>
            </w:pPr>
            <w:r>
              <w:rPr>
                <w:rFonts w:ascii="Arial" w:cs="Arial" w:eastAsia="Arial" w:hAnsi="Arial"/>
                <w:sz w:val="18"/>
                <w:szCs w:val="18"/>
                <w:color w:val="auto"/>
                <w:w w:val="96"/>
              </w:rPr>
              <w:t>The following materials from Registrant’s Quarterly Report on Form 10-Q for the quarter</w:t>
            </w:r>
          </w:p>
        </w:tc>
        <w:tc>
          <w:tcPr>
            <w:tcW w:w="1620" w:type="dxa"/>
            <w:vAlign w:val="bottom"/>
          </w:tcPr>
          <w:p>
            <w:pPr>
              <w:ind w:left="240"/>
              <w:spacing w:after="0"/>
              <w:rPr>
                <w:sz w:val="20"/>
                <w:szCs w:val="20"/>
                <w:color w:val="auto"/>
              </w:rPr>
            </w:pPr>
            <w:r>
              <w:rPr>
                <w:rFonts w:ascii="Arial" w:cs="Arial" w:eastAsia="Arial" w:hAnsi="Arial"/>
                <w:sz w:val="18"/>
                <w:szCs w:val="18"/>
                <w:color w:val="auto"/>
                <w:w w:val="88"/>
              </w:rPr>
              <w:t>Furnished herewith</w:t>
            </w:r>
          </w:p>
        </w:tc>
      </w:tr>
      <w:tr>
        <w:trPr>
          <w:trHeight w:val="222"/>
        </w:trPr>
        <w:tc>
          <w:tcPr>
            <w:tcW w:w="760" w:type="dxa"/>
            <w:vAlign w:val="bottom"/>
          </w:tcPr>
          <w:p>
            <w:pPr>
              <w:spacing w:after="0"/>
              <w:rPr>
                <w:sz w:val="19"/>
                <w:szCs w:val="19"/>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w w:val="93"/>
              </w:rPr>
              <w:t>ended September 30, 2011, formatted in eXtensible Business Reporting Language (XBRL)</w:t>
            </w:r>
          </w:p>
        </w:tc>
        <w:tc>
          <w:tcPr>
            <w:tcW w:w="1620" w:type="dxa"/>
            <w:vAlign w:val="bottom"/>
          </w:tcPr>
          <w:p>
            <w:pPr>
              <w:spacing w:after="0"/>
              <w:rPr>
                <w:sz w:val="19"/>
                <w:szCs w:val="19"/>
                <w:color w:val="auto"/>
              </w:rPr>
            </w:pPr>
          </w:p>
        </w:tc>
      </w:tr>
    </w:tbl>
    <w:p>
      <w:pPr>
        <w:ind w:left="1000" w:right="3980"/>
        <w:spacing w:after="0" w:line="292" w:lineRule="auto"/>
        <w:rPr>
          <w:sz w:val="20"/>
          <w:szCs w:val="20"/>
          <w:color w:val="auto"/>
        </w:rPr>
      </w:pPr>
      <w:r>
        <w:rPr>
          <w:rFonts w:ascii="Arial" w:cs="Arial" w:eastAsia="Arial" w:hAnsi="Arial"/>
          <w:sz w:val="16"/>
          <w:szCs w:val="16"/>
          <w:color w:val="auto"/>
        </w:rPr>
        <w:t>includes: (i) Condensed Consolidated Balance Sheets at September 30, 2011 and December 31, 2010, (ii) Condensed Consolidated Statements of Operations for the Three and Nine Months Ended September 30, 2011 and 2010, (iii) Condensed Consolidated Statements of Cash Flows for the Nine Months Ended September 30, 2011 and 2010,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460" w:right="160" w:hanging="452"/>
        <w:spacing w:after="0" w:line="25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ind w:left="460" w:right="8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XBRL information is furnished and not filed or a part of a registration statement or prospectus for purposes of sections 11 or 12 of the Securities Exchange Act of 1933, as amended, is deemed not filed for purposes of section 18 of the Securities Exchange Act of 1934, as amended,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1" w:lineRule="exact"/>
        <w:rPr>
          <w:rFonts w:ascii="Arial" w:cs="Arial" w:eastAsia="Arial" w:hAnsi="Arial"/>
          <w:sz w:val="18"/>
          <w:szCs w:val="18"/>
          <w:color w:val="auto"/>
        </w:rPr>
      </w:pPr>
    </w:p>
    <w:p>
      <w:pPr>
        <w:ind w:right="80" w:firstLine="921"/>
        <w:spacing w:after="0" w:line="259" w:lineRule="auto"/>
        <w:tabs>
          <w:tab w:leader="none" w:pos="107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860" w:firstLine="921"/>
        <w:spacing w:after="0" w:line="332" w:lineRule="auto"/>
        <w:tabs>
          <w:tab w:leader="none" w:pos="1088"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jc w:val="both"/>
        <w:ind w:right="360" w:firstLine="921"/>
        <w:spacing w:after="0" w:line="259" w:lineRule="auto"/>
        <w:tabs>
          <w:tab w:leader="none" w:pos="107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80" w:firstLine="921"/>
        <w:spacing w:after="0" w:line="268" w:lineRule="auto"/>
        <w:tabs>
          <w:tab w:leader="none" w:pos="107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0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6"/>
          <w:szCs w:val="16"/>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1" w:lineRule="exact"/>
        <w:rPr>
          <w:rFonts w:ascii="Arial" w:cs="Arial" w:eastAsia="Arial" w:hAnsi="Arial"/>
          <w:sz w:val="18"/>
          <w:szCs w:val="18"/>
          <w:color w:val="auto"/>
        </w:rPr>
      </w:pPr>
    </w:p>
    <w:p>
      <w:pPr>
        <w:ind w:right="80" w:firstLine="921"/>
        <w:spacing w:after="0" w:line="259" w:lineRule="auto"/>
        <w:tabs>
          <w:tab w:leader="none" w:pos="10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860" w:firstLine="921"/>
        <w:spacing w:after="0" w:line="332" w:lineRule="auto"/>
        <w:tabs>
          <w:tab w:leader="none" w:pos="1088"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jc w:val="both"/>
        <w:ind w:right="360" w:firstLine="921"/>
        <w:spacing w:after="0" w:line="259" w:lineRule="auto"/>
        <w:tabs>
          <w:tab w:leader="none" w:pos="10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80" w:firstLine="921"/>
        <w:spacing w:after="0" w:line="268" w:lineRule="auto"/>
        <w:tabs>
          <w:tab w:leader="none" w:pos="10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0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3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132" w:lineRule="exact"/>
        <w:rPr>
          <w:sz w:val="20"/>
          <w:szCs w:val="20"/>
          <w:color w:val="auto"/>
        </w:rPr>
      </w:pPr>
    </w:p>
    <w:p>
      <w:pPr>
        <w:ind w:right="940" w:firstLine="464"/>
        <w:spacing w:after="0" w:line="268" w:lineRule="auto"/>
        <w:tabs>
          <w:tab w:leader="none" w:pos="6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three months ended September 30, 2011 (the “Report”), fully complies with the requirements of section 13(a) or 15(d)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Gajus V. Worthington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November 14, 2011</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32" w:lineRule="exact"/>
        <w:rPr>
          <w:sz w:val="20"/>
          <w:szCs w:val="20"/>
          <w:color w:val="auto"/>
        </w:rPr>
      </w:pPr>
    </w:p>
    <w:p>
      <w:pPr>
        <w:ind w:right="940" w:firstLine="464"/>
        <w:spacing w:after="0" w:line="268"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three months ended September 30, 2011 (the “Report”), fully complies with the requirements of section 13(a) or 15(d)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November 14,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2019-12-10T22:12:11Z</dcterms:created>
  <dcterms:modified xsi:type="dcterms:W3CDTF">2019-12-10T22:12:11Z</dcterms:modified>
</cp:coreProperties>
</file>