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Fluidigm</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w:t>
      </w:r>
    </w:p>
    <w:p>
      <w:pPr>
        <w:sectPr>
          <w:pgSz w:w="11900" w:h="16838" w:orient="portrait"/>
          <w:cols w:equalWidth="0" w:num="1">
            <w:col w:w="11400"/>
          </w:cols>
          <w:pgMar w:left="240" w:top="517"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2080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0800" cy="30035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34385P108</w:t>
      </w:r>
    </w:p>
    <w:p>
      <w:pPr>
        <w:spacing w:after="0" w:line="153" w:lineRule="exact"/>
        <w:rPr>
          <w:sz w:val="20"/>
          <w:szCs w:val="20"/>
          <w:color w:val="auto"/>
        </w:rPr>
      </w:pPr>
    </w:p>
    <w:p>
      <w:pPr>
        <w:ind w:left="540" w:right="8580" w:hanging="285"/>
        <w:spacing w:after="0" w:line="347"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Russell Investments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254875" cy="3302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3302000"/>
                    </a:xfrm>
                    <a:prstGeom prst="rect">
                      <a:avLst/>
                    </a:prstGeom>
                    <a:noFill/>
                  </pic:spPr>
                </pic:pic>
              </a:graphicData>
            </a:graphic>
          </wp:anchor>
        </w:drawing>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IRS Identification No. of Above Persons (Entities Only) 98-1320542</w:t>
      </w:r>
    </w:p>
    <w:p>
      <w:pPr>
        <w:spacing w:after="0" w:line="32" w:lineRule="exact"/>
        <w:rPr>
          <w:sz w:val="20"/>
          <w:szCs w:val="20"/>
          <w:color w:val="auto"/>
        </w:rPr>
      </w:pPr>
    </w:p>
    <w:p>
      <w:pPr>
        <w:ind w:left="540" w:hanging="285"/>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540" w:hanging="285"/>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40" w:hanging="285"/>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Seattle, WA USA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top w:val="single" w:sz="8" w:color="auto"/>
              <w:right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95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87"/>
        </w:trPr>
        <w:tc>
          <w:tcPr>
            <w:tcW w:w="148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3"/>
              </w:rPr>
              <w:t>Number of</w:t>
            </w:r>
          </w:p>
        </w:tc>
        <w:tc>
          <w:tcPr>
            <w:tcW w:w="400" w:type="dxa"/>
            <w:vAlign w:val="bottom"/>
            <w:tcBorders>
              <w:right w:val="single" w:sz="8" w:color="auto"/>
            </w:tcBorders>
          </w:tcPr>
          <w:p>
            <w:pPr>
              <w:spacing w:after="0"/>
              <w:rPr>
                <w:sz w:val="24"/>
                <w:szCs w:val="24"/>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rPr>
              <w:t>2,250,881</w:t>
            </w:r>
          </w:p>
        </w:tc>
        <w:tc>
          <w:tcPr>
            <w:tcW w:w="0" w:type="dxa"/>
            <w:vAlign w:val="bottom"/>
          </w:tcPr>
          <w:p>
            <w:pPr>
              <w:spacing w:after="0"/>
              <w:rPr>
                <w:sz w:val="1"/>
                <w:szCs w:val="1"/>
                <w:color w:val="auto"/>
              </w:rPr>
            </w:pPr>
          </w:p>
        </w:tc>
      </w:tr>
      <w:tr>
        <w:trPr>
          <w:trHeight w:val="68"/>
        </w:trPr>
        <w:tc>
          <w:tcPr>
            <w:tcW w:w="148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b w:val="1"/>
                <w:bCs w:val="1"/>
                <w:color w:val="auto"/>
                <w:w w:val="86"/>
              </w:rPr>
              <w:t>Shares</w:t>
            </w:r>
          </w:p>
        </w:tc>
        <w:tc>
          <w:tcPr>
            <w:tcW w:w="400" w:type="dxa"/>
            <w:vAlign w:val="bottom"/>
            <w:tcBorders>
              <w:bottom w:val="single" w:sz="8" w:color="auto"/>
              <w:right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80" w:type="dxa"/>
            <w:vAlign w:val="bottom"/>
            <w:tcBorders>
              <w:right w:val="single" w:sz="8" w:color="auto"/>
            </w:tcBorders>
            <w:vMerge w:val="continue"/>
          </w:tcPr>
          <w:p>
            <w:pPr>
              <w:spacing w:after="0"/>
              <w:rPr>
                <w:sz w:val="10"/>
                <w:szCs w:val="10"/>
                <w:color w:val="auto"/>
              </w:rPr>
            </w:pPr>
          </w:p>
        </w:tc>
        <w:tc>
          <w:tcPr>
            <w:tcW w:w="4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6</w:t>
            </w:r>
          </w:p>
        </w:tc>
        <w:tc>
          <w:tcPr>
            <w:tcW w:w="95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4"/>
        </w:trPr>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400" w:type="dxa"/>
            <w:vAlign w:val="bottom"/>
            <w:tcBorders>
              <w:right w:val="single" w:sz="8" w:color="auto"/>
            </w:tcBorders>
            <w:vMerge w:val="continue"/>
          </w:tcPr>
          <w:p>
            <w:pPr>
              <w:spacing w:after="0"/>
              <w:rPr>
                <w:sz w:val="9"/>
                <w:szCs w:val="9"/>
                <w:color w:val="auto"/>
              </w:rPr>
            </w:pPr>
          </w:p>
        </w:tc>
        <w:tc>
          <w:tcPr>
            <w:tcW w:w="9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80" w:type="dxa"/>
            <w:vAlign w:val="bottom"/>
            <w:tcBorders>
              <w:right w:val="single" w:sz="8" w:color="auto"/>
            </w:tcBorders>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9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Owned by Each</w:t>
            </w:r>
          </w:p>
        </w:tc>
        <w:tc>
          <w:tcPr>
            <w:tcW w:w="400" w:type="dxa"/>
            <w:vAlign w:val="bottom"/>
            <w:tcBorders>
              <w:bottom w:val="single" w:sz="8" w:color="auto"/>
              <w:right w:val="single" w:sz="8" w:color="auto"/>
            </w:tcBorders>
          </w:tcPr>
          <w:p>
            <w:pPr>
              <w:spacing w:after="0"/>
              <w:rPr>
                <w:sz w:val="10"/>
                <w:szCs w:val="10"/>
                <w:color w:val="auto"/>
              </w:rPr>
            </w:pPr>
          </w:p>
        </w:tc>
        <w:tc>
          <w:tcPr>
            <w:tcW w:w="9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80" w:type="dxa"/>
            <w:vAlign w:val="bottom"/>
            <w:tcBorders>
              <w:right w:val="single" w:sz="8" w:color="auto"/>
            </w:tcBorders>
            <w:vMerge w:val="continue"/>
          </w:tcPr>
          <w:p>
            <w:pPr>
              <w:spacing w:after="0"/>
              <w:rPr>
                <w:sz w:val="6"/>
                <w:szCs w:val="6"/>
                <w:color w:val="auto"/>
              </w:rPr>
            </w:pPr>
          </w:p>
        </w:tc>
        <w:tc>
          <w:tcPr>
            <w:tcW w:w="4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95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1480" w:type="dxa"/>
            <w:vAlign w:val="bottom"/>
            <w:tcBorders>
              <w:righ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91"/>
              </w:rPr>
              <w:t>Reporting</w:t>
            </w:r>
          </w:p>
        </w:tc>
        <w:tc>
          <w:tcPr>
            <w:tcW w:w="400" w:type="dxa"/>
            <w:vAlign w:val="bottom"/>
            <w:tcBorders>
              <w:right w:val="single" w:sz="8" w:color="auto"/>
            </w:tcBorders>
            <w:vMerge w:val="continue"/>
          </w:tcPr>
          <w:p>
            <w:pPr>
              <w:spacing w:after="0"/>
              <w:rPr>
                <w:sz w:val="13"/>
                <w:szCs w:val="13"/>
                <w:color w:val="auto"/>
              </w:rPr>
            </w:pP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80" w:type="dxa"/>
            <w:vAlign w:val="bottom"/>
            <w:tcBorders>
              <w:right w:val="single" w:sz="8" w:color="auto"/>
            </w:tcBorders>
            <w:vMerge w:val="continue"/>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9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480" w:type="dxa"/>
            <w:vAlign w:val="bottom"/>
            <w:tcBorders>
              <w:right w:val="single" w:sz="8" w:color="auto"/>
            </w:tcBorders>
          </w:tcPr>
          <w:p>
            <w:pPr>
              <w:jc w:val="center"/>
              <w:ind w:left="70"/>
              <w:spacing w:after="0" w:line="160" w:lineRule="exact"/>
              <w:rPr>
                <w:sz w:val="20"/>
                <w:szCs w:val="20"/>
                <w:color w:val="auto"/>
              </w:rPr>
            </w:pPr>
            <w:r>
              <w:rPr>
                <w:rFonts w:ascii="Arial" w:cs="Arial" w:eastAsia="Arial" w:hAnsi="Arial"/>
                <w:sz w:val="18"/>
                <w:szCs w:val="18"/>
                <w:b w:val="1"/>
                <w:bCs w:val="1"/>
                <w:color w:val="auto"/>
                <w:w w:val="85"/>
              </w:rPr>
              <w:t>Person</w:t>
            </w:r>
          </w:p>
        </w:tc>
        <w:tc>
          <w:tcPr>
            <w:tcW w:w="400" w:type="dxa"/>
            <w:vAlign w:val="bottom"/>
            <w:tcBorders>
              <w:bottom w:val="single" w:sz="8" w:color="auto"/>
              <w:right w:val="single" w:sz="8" w:color="auto"/>
            </w:tcBorders>
          </w:tcPr>
          <w:p>
            <w:pPr>
              <w:spacing w:after="0"/>
              <w:rPr>
                <w:sz w:val="15"/>
                <w:szCs w:val="15"/>
                <w:color w:val="auto"/>
              </w:rPr>
            </w:pPr>
          </w:p>
        </w:tc>
        <w:tc>
          <w:tcPr>
            <w:tcW w:w="9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8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7"/>
              </w:rPr>
              <w:t>With:</w:t>
            </w:r>
          </w:p>
        </w:tc>
        <w:tc>
          <w:tcPr>
            <w:tcW w:w="4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9560" w:type="dxa"/>
            <w:vAlign w:val="bottom"/>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26"/>
        </w:trPr>
        <w:tc>
          <w:tcPr>
            <w:tcW w:w="148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2,250,881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6</w:t>
      </w:r>
    </w:p>
    <w:p>
      <w:pPr>
        <w:sectPr>
          <w:pgSz w:w="11900" w:h="16838" w:orient="portrait"/>
          <w:cols w:equalWidth="0" w:num="1">
            <w:col w:w="11440"/>
          </w:cols>
          <w:pgMar w:left="240" w:top="270" w:right="219" w:bottom="1440" w:gutter="0" w:footer="0" w:header="0"/>
        </w:sectPr>
      </w:pPr>
    </w:p>
    <w:bookmarkStart w:id="2" w:name="page3"/>
    <w:bookmarkEnd w:id="2"/>
    <w:p>
      <w:pPr>
        <w:ind w:left="365" w:hanging="275"/>
        <w:spacing w:after="0"/>
        <w:tabs>
          <w:tab w:leader="none" w:pos="36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-127635</wp:posOffset>
            </wp:positionV>
            <wp:extent cx="7254875" cy="179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1792605"/>
                    </a:xfrm>
                    <a:prstGeom prst="rect">
                      <a:avLst/>
                    </a:prstGeom>
                    <a:noFill/>
                  </pic:spPr>
                </pic:pic>
              </a:graphicData>
            </a:graphic>
          </wp:anchor>
        </w:drawing>
      </w:r>
    </w:p>
    <w:p>
      <w:pPr>
        <w:spacing w:after="0" w:line="236" w:lineRule="exact"/>
        <w:rPr>
          <w:sz w:val="20"/>
          <w:szCs w:val="20"/>
          <w:color w:val="auto"/>
        </w:rPr>
      </w:pPr>
    </w:p>
    <w:p>
      <w:pPr>
        <w:ind w:left="365"/>
        <w:spacing w:after="0"/>
        <w:rPr>
          <w:sz w:val="20"/>
          <w:szCs w:val="20"/>
          <w:color w:val="auto"/>
        </w:rPr>
      </w:pPr>
      <w:r>
        <w:rPr>
          <w:rFonts w:ascii="Arial" w:cs="Arial" w:eastAsia="Arial" w:hAnsi="Arial"/>
          <w:sz w:val="18"/>
          <w:szCs w:val="18"/>
          <w:color w:val="auto"/>
        </w:rPr>
        <w:t>2,250,881</w:t>
      </w:r>
    </w:p>
    <w:p>
      <w:pPr>
        <w:spacing w:after="0" w:line="32" w:lineRule="exact"/>
        <w:rPr>
          <w:sz w:val="20"/>
          <w:szCs w:val="20"/>
          <w:color w:val="auto"/>
        </w:rPr>
      </w:pPr>
    </w:p>
    <w:p>
      <w:pPr>
        <w:ind w:left="365" w:hanging="365"/>
        <w:spacing w:after="0"/>
        <w:tabs>
          <w:tab w:leader="none" w:pos="36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the aggregate amount in row (9) excludes certain shares (See Instructions)</w:t>
      </w:r>
    </w:p>
    <w:p>
      <w:pPr>
        <w:spacing w:after="0" w:line="246" w:lineRule="exact"/>
        <w:rPr>
          <w:rFonts w:ascii="Arial" w:cs="Arial" w:eastAsia="Arial" w:hAnsi="Arial"/>
          <w:sz w:val="16"/>
          <w:szCs w:val="16"/>
          <w:b w:val="1"/>
          <w:bCs w:val="1"/>
          <w:color w:val="auto"/>
        </w:rPr>
      </w:pPr>
    </w:p>
    <w:p>
      <w:pPr>
        <w:ind w:left="365"/>
        <w:spacing w:after="0" w:line="181" w:lineRule="exact"/>
        <w:rPr>
          <w:rFonts w:ascii="Arial" w:cs="Arial" w:eastAsia="Arial" w:hAnsi="Arial"/>
          <w:sz w:val="16"/>
          <w:szCs w:val="16"/>
          <w:b w:val="1"/>
          <w:bCs w:val="1"/>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6"/>
          <w:szCs w:val="16"/>
          <w:b w:val="1"/>
          <w:bCs w:val="1"/>
          <w:color w:val="auto"/>
        </w:rPr>
      </w:pPr>
    </w:p>
    <w:p>
      <w:pPr>
        <w:ind w:left="365" w:right="5799" w:hanging="365"/>
        <w:spacing w:after="0" w:line="400" w:lineRule="auto"/>
        <w:tabs>
          <w:tab w:leader="none" w:pos="36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5.8%</w:t>
      </w:r>
    </w:p>
    <w:p>
      <w:pPr>
        <w:spacing w:after="0" w:line="1" w:lineRule="exact"/>
        <w:rPr>
          <w:rFonts w:ascii="Arial" w:cs="Arial" w:eastAsia="Arial" w:hAnsi="Arial"/>
          <w:sz w:val="18"/>
          <w:szCs w:val="18"/>
          <w:b w:val="1"/>
          <w:bCs w:val="1"/>
          <w:color w:val="auto"/>
        </w:rPr>
      </w:pPr>
    </w:p>
    <w:p>
      <w:pPr>
        <w:ind w:left="365" w:hanging="365"/>
        <w:spacing w:after="0"/>
        <w:tabs>
          <w:tab w:leader="none" w:pos="36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56" w:lineRule="exact"/>
        <w:rPr>
          <w:rFonts w:ascii="Arial" w:cs="Arial" w:eastAsia="Arial" w:hAnsi="Arial"/>
          <w:sz w:val="18"/>
          <w:szCs w:val="18"/>
          <w:b w:val="1"/>
          <w:bCs w:val="1"/>
          <w:color w:val="auto"/>
        </w:rPr>
      </w:pPr>
    </w:p>
    <w:p>
      <w:pPr>
        <w:ind w:left="365"/>
        <w:spacing w:after="0"/>
        <w:rPr>
          <w:rFonts w:ascii="Arial" w:cs="Arial" w:eastAsia="Arial" w:hAnsi="Arial"/>
          <w:sz w:val="18"/>
          <w:szCs w:val="18"/>
          <w:b w:val="1"/>
          <w:bCs w:val="1"/>
          <w:color w:val="auto"/>
        </w:rPr>
      </w:pPr>
      <w:r>
        <w:rPr>
          <w:rFonts w:ascii="Arial" w:cs="Arial" w:eastAsia="Arial" w:hAnsi="Arial"/>
          <w:sz w:val="18"/>
          <w:szCs w:val="18"/>
          <w:color w:val="auto"/>
        </w:rPr>
        <w:t>HC</w:t>
      </w:r>
    </w:p>
    <w:p>
      <w:pPr>
        <w:spacing w:after="0" w:line="200" w:lineRule="exact"/>
        <w:rPr>
          <w:sz w:val="20"/>
          <w:szCs w:val="20"/>
          <w:color w:val="auto"/>
        </w:rPr>
      </w:pPr>
    </w:p>
    <w:p>
      <w:pPr>
        <w:spacing w:after="0" w:line="228"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9964"/>
          </w:cols>
          <w:pgMar w:left="495" w:top="283"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Fluidigm</w:t>
      </w:r>
    </w:p>
    <w:p>
      <w:pPr>
        <w:spacing w:after="0" w:line="252"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rFonts w:ascii="Arial" w:cs="Arial" w:eastAsia="Arial" w:hAnsi="Arial"/>
          <w:sz w:val="18"/>
          <w:szCs w:val="18"/>
          <w:b w:val="1"/>
          <w:bCs w:val="1"/>
          <w:color w:val="auto"/>
        </w:rPr>
      </w:pPr>
    </w:p>
    <w:p>
      <w:pPr>
        <w:jc w:val="both"/>
        <w:ind w:left="460" w:right="86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7000 Shoreline Court, Suite 100 South San Francisco, CA 94080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60" w:right="8580" w:hanging="452"/>
        <w:spacing w:after="0" w:line="581" w:lineRule="auto"/>
        <w:tabs>
          <w:tab w:leader="none" w:pos="44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Russell Investments Group, Ltd.</w:t>
      </w: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460" w:right="8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1301 Second Ave, Suite 1800 Seattle, WA 98101</w:t>
      </w:r>
    </w:p>
    <w:p>
      <w:pPr>
        <w:spacing w:after="0" w:line="193" w:lineRule="exact"/>
        <w:rPr>
          <w:rFonts w:ascii="Arial" w:cs="Arial" w:eastAsia="Arial" w:hAnsi="Arial"/>
          <w:sz w:val="18"/>
          <w:szCs w:val="18"/>
          <w:b w:val="1"/>
          <w:bCs w:val="1"/>
          <w:color w:val="auto"/>
        </w:rPr>
      </w:pPr>
    </w:p>
    <w:p>
      <w:pPr>
        <w:ind w:left="460" w:right="9660" w:hanging="452"/>
        <w:spacing w:after="0" w:line="581" w:lineRule="auto"/>
        <w:tabs>
          <w:tab w:leader="none" w:pos="44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Seattle, WA USA</w:t>
      </w:r>
    </w:p>
    <w:p>
      <w:pPr>
        <w:ind w:left="460" w:right="8720" w:hanging="452"/>
        <w:spacing w:after="0" w:line="547" w:lineRule="auto"/>
        <w:tabs>
          <w:tab w:leader="none" w:pos="449"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Title and Class of Securities: </w:t>
      </w:r>
      <w:r>
        <w:rPr>
          <w:rFonts w:ascii="Arial" w:cs="Arial" w:eastAsia="Arial" w:hAnsi="Arial"/>
          <w:sz w:val="17"/>
          <w:szCs w:val="17"/>
          <w:color w:val="auto"/>
        </w:rPr>
        <w:t>Common Stock</w:t>
      </w:r>
    </w:p>
    <w:p>
      <w:pPr>
        <w:ind w:left="460" w:right="10020" w:hanging="452"/>
        <w:spacing w:after="0" w:line="578" w:lineRule="auto"/>
        <w:tabs>
          <w:tab w:leader="none" w:pos="449"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34385P108</w:t>
      </w:r>
    </w:p>
    <w:p>
      <w:pPr>
        <w:spacing w:after="0" w:line="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57" w:lineRule="exact"/>
        <w:rPr>
          <w:rFonts w:ascii="Arial" w:cs="Arial" w:eastAsia="Arial" w:hAnsi="Arial"/>
          <w:sz w:val="18"/>
          <w:szCs w:val="18"/>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9" w:lineRule="exact"/>
        <w:rPr>
          <w:rFonts w:ascii="Arial" w:cs="Arial" w:eastAsia="Arial" w:hAnsi="Arial"/>
          <w:sz w:val="18"/>
          <w:szCs w:val="18"/>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9" w:lineRule="exact"/>
        <w:rPr>
          <w:rFonts w:ascii="Arial" w:cs="Arial" w:eastAsia="Arial" w:hAnsi="Arial"/>
          <w:sz w:val="18"/>
          <w:szCs w:val="18"/>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780" w:hanging="326"/>
        <w:spacing w:after="0" w:line="184" w:lineRule="exact"/>
        <w:tabs>
          <w:tab w:leader="none" w:pos="780" w:val="left"/>
        </w:tabs>
        <w:numPr>
          <w:ilvl w:val="0"/>
          <w:numId w:val="1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w:t>
      </w:r>
    </w:p>
    <w:p>
      <w:pPr>
        <w:spacing w:after="0" w:line="32" w:lineRule="exact"/>
        <w:rPr>
          <w:rFonts w:ascii="Arial" w:cs="Arial" w:eastAsia="Arial" w:hAnsi="Arial"/>
          <w:sz w:val="16"/>
          <w:szCs w:val="16"/>
          <w:color w:val="auto"/>
        </w:rPr>
      </w:pPr>
    </w:p>
    <w:p>
      <w:pPr>
        <w:ind w:left="780" w:hanging="326"/>
        <w:spacing w:after="0" w:line="207" w:lineRule="exact"/>
        <w:tabs>
          <w:tab w:leader="none" w:pos="7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9" w:lineRule="exact"/>
        <w:rPr>
          <w:rFonts w:ascii="Arial" w:cs="Arial" w:eastAsia="Arial" w:hAnsi="Arial"/>
          <w:sz w:val="18"/>
          <w:szCs w:val="18"/>
          <w:color w:val="auto"/>
        </w:rPr>
      </w:pPr>
    </w:p>
    <w:p>
      <w:pPr>
        <w:ind w:left="1040" w:hanging="586"/>
        <w:spacing w:after="0" w:line="215" w:lineRule="exact"/>
        <w:tabs>
          <w:tab w:leader="none" w:pos="77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240.13d-1(b)(1)(ii)(J), please specify the type of institution: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380"/>
          </w:cols>
          <w:pgMar w:left="240" w:top="270" w:right="27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460" w:right="8580" w:hanging="452"/>
        <w:spacing w:after="0" w:line="282" w:lineRule="auto"/>
        <w:tabs>
          <w:tab w:leader="none" w:pos="44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2,250,881</w:t>
      </w:r>
    </w:p>
    <w:p>
      <w:pPr>
        <w:spacing w:after="0" w:line="18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5.8%</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920" w:right="7340" w:hanging="466"/>
        <w:spacing w:after="0" w:line="282" w:lineRule="auto"/>
        <w:tabs>
          <w:tab w:leader="none" w:pos="898"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2,250,881</w:t>
      </w:r>
    </w:p>
    <w:p>
      <w:pPr>
        <w:spacing w:after="0" w:line="67" w:lineRule="exact"/>
        <w:rPr>
          <w:rFonts w:ascii="Arial" w:cs="Arial" w:eastAsia="Arial" w:hAnsi="Arial"/>
          <w:sz w:val="18"/>
          <w:szCs w:val="18"/>
          <w:b w:val="1"/>
          <w:bCs w:val="1"/>
          <w:color w:val="auto"/>
        </w:rPr>
      </w:pPr>
    </w:p>
    <w:p>
      <w:pPr>
        <w:ind w:left="920" w:right="7120" w:hanging="466"/>
        <w:spacing w:after="0" w:line="282" w:lineRule="auto"/>
        <w:tabs>
          <w:tab w:leader="none" w:pos="898"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67" w:lineRule="exact"/>
        <w:rPr>
          <w:rFonts w:ascii="Arial" w:cs="Arial" w:eastAsia="Arial" w:hAnsi="Arial"/>
          <w:sz w:val="18"/>
          <w:szCs w:val="18"/>
          <w:b w:val="1"/>
          <w:bCs w:val="1"/>
          <w:color w:val="auto"/>
        </w:rPr>
      </w:pPr>
    </w:p>
    <w:p>
      <w:pPr>
        <w:ind w:left="920" w:right="6400" w:hanging="466"/>
        <w:spacing w:after="0" w:line="282" w:lineRule="auto"/>
        <w:tabs>
          <w:tab w:leader="none" w:pos="898"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0</w:t>
      </w:r>
    </w:p>
    <w:p>
      <w:pPr>
        <w:spacing w:after="0" w:line="67" w:lineRule="exact"/>
        <w:rPr>
          <w:rFonts w:ascii="Arial" w:cs="Arial" w:eastAsia="Arial" w:hAnsi="Arial"/>
          <w:sz w:val="18"/>
          <w:szCs w:val="18"/>
          <w:b w:val="1"/>
          <w:bCs w:val="1"/>
          <w:color w:val="auto"/>
        </w:rPr>
      </w:pPr>
    </w:p>
    <w:p>
      <w:pPr>
        <w:ind w:left="920" w:right="6180" w:hanging="466"/>
        <w:spacing w:after="0" w:line="282" w:lineRule="auto"/>
        <w:tabs>
          <w:tab w:leader="none" w:pos="898"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2,250,881</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right="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right="80"/>
        <w:spacing w:after="0" w:line="277" w:lineRule="auto"/>
        <w:rPr>
          <w:sz w:val="20"/>
          <w:szCs w:val="20"/>
          <w:color w:val="auto"/>
        </w:rPr>
      </w:pPr>
      <w:r>
        <w:rPr>
          <w:rFonts w:ascii="Arial" w:cs="Arial" w:eastAsia="Arial" w:hAnsi="Arial"/>
          <w:sz w:val="18"/>
          <w:szCs w:val="18"/>
          <w:color w:val="auto"/>
        </w:rPr>
        <w:t>Certain indirect clients that are advised by Russell Investments Group have the right to receive and the ultimate power to direct the receipt of dividends from, or the proceeds of the sale of such securities.</w:t>
      </w:r>
    </w:p>
    <w:p>
      <w:pPr>
        <w:spacing w:after="0" w:line="315" w:lineRule="exact"/>
        <w:rPr>
          <w:sz w:val="20"/>
          <w:szCs w:val="20"/>
          <w:color w:val="auto"/>
        </w:rPr>
      </w:pPr>
    </w:p>
    <w:p>
      <w:pPr>
        <w:ind w:left="1040" w:right="26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0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260"/>
          </w:cols>
          <w:pgMar w:left="240" w:top="270" w:right="399" w:bottom="1440" w:gutter="0" w:footer="0" w:header="0"/>
        </w:sectPr>
      </w:pPr>
    </w:p>
    <w:bookmarkStart w:id="5" w:name="page6"/>
    <w:bookmarkEnd w:id="5"/>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July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E.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Mark E. Swanson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Global Head of Fund Services</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6 of 6</w:t>
      </w:r>
    </w:p>
    <w:sectPr>
      <w:pgSz w:w="11900" w:h="16838" w:orient="portrait"/>
      <w:cols w:equalWidth="0" w:num="1">
        <w:col w:w="11060"/>
      </w:cols>
      <w:pgMar w:left="2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2019-12-06T19:39:09Z</dcterms:created>
  <dcterms:modified xsi:type="dcterms:W3CDTF">2019-12-06T19:39:09Z</dcterms:modified>
</cp:coreProperties>
</file>