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7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345"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42"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7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4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Standard BioTools Inc.</w:t>
      </w:r>
    </w:p>
    <w:p>
      <w:pPr>
        <w:spacing w:after="0" w:line="142"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w:t>
      </w:r>
    </w:p>
    <w:p>
      <w:pPr>
        <w:sectPr>
          <w:pgSz w:w="11900" w:h="16838" w:orient="portrait"/>
          <w:cols w:equalWidth="0" w:num="1">
            <w:col w:w="10260"/>
          </w:cols>
          <w:pgMar w:left="320" w:top="1321" w:right="1319" w:bottom="1440" w:gutter="0" w:footer="0" w:header="0"/>
        </w:sectPr>
      </w:pPr>
    </w:p>
    <w:p>
      <w:pPr>
        <w:spacing w:after="0" w:line="30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b w:val="1"/>
          <w:bCs w:val="1"/>
          <w:color w:val="auto"/>
        </w:rPr>
        <w:t>001-34180</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155" w:lineRule="exact"/>
        <w:rPr>
          <w:sz w:val="24"/>
          <w:szCs w:val="24"/>
          <w:color w:val="auto"/>
        </w:rPr>
      </w:pPr>
    </w:p>
    <w:p>
      <w:pPr>
        <w:sectPr>
          <w:pgSz w:w="11900" w:h="16838" w:orient="portrait"/>
          <w:cols w:equalWidth="0" w:num="3">
            <w:col w:w="4520" w:space="720"/>
            <w:col w:w="3300" w:space="720"/>
            <w:col w:w="1000"/>
          </w:cols>
          <w:pgMar w:left="320" w:top="1321" w:right="1319" w:bottom="1440" w:gutter="0" w:footer="0" w:header="0"/>
          <w:type w:val="continuous"/>
        </w:sectPr>
      </w:pPr>
    </w:p>
    <w:p>
      <w:pPr>
        <w:spacing w:after="0" w:line="17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3200" w:space="720"/>
            <w:col w:w="1120"/>
          </w:cols>
          <w:pgMar w:left="320" w:top="1321" w:right="1319" w:bottom="1440" w:gutter="0" w:footer="0" w:header="0"/>
          <w:type w:val="continuous"/>
        </w:sectPr>
      </w:pPr>
    </w:p>
    <w:p>
      <w:pPr>
        <w:spacing w:after="0" w:line="24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2 Tower Place, Suite 2000, South San Francisco, California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4" w:lineRule="exact"/>
        <w:rPr>
          <w:sz w:val="24"/>
          <w:szCs w:val="24"/>
          <w:color w:val="auto"/>
        </w:rPr>
      </w:pPr>
    </w:p>
    <w:p>
      <w:pPr>
        <w:sectPr>
          <w:pgSz w:w="11900" w:h="16838" w:orient="portrait"/>
          <w:cols w:equalWidth="0" w:num="2">
            <w:col w:w="4820" w:space="720"/>
            <w:col w:w="4720"/>
          </w:cols>
          <w:pgMar w:left="320" w:top="1321" w:right="131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2880" w:space="720"/>
            <w:col w:w="6660"/>
          </w:cols>
          <w:pgMar w:left="320" w:top="1321" w:right="1319" w:bottom="1440" w:gutter="0" w:footer="0" w:header="0"/>
          <w:type w:val="continuous"/>
        </w:sectPr>
      </w:pPr>
    </w:p>
    <w:p>
      <w:pPr>
        <w:spacing w:after="0" w:line="8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Nicholas Khadder</w:t>
      </w:r>
    </w:p>
    <w:p>
      <w:pPr>
        <w:spacing w:after="0" w:line="5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4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3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17" w:lineRule="exact"/>
        <w:rPr>
          <w:sz w:val="24"/>
          <w:szCs w:val="24"/>
          <w:color w:val="auto"/>
        </w:rPr>
      </w:pPr>
    </w:p>
    <w:p>
      <w:pPr>
        <w:ind w:left="720" w:hanging="483"/>
        <w:spacing w:after="0"/>
        <w:tabs>
          <w:tab w:leader="none" w:pos="720" w:val="left"/>
        </w:tabs>
        <w:numPr>
          <w:ilvl w:val="0"/>
          <w:numId w:val="1"/>
        </w:numPr>
        <w:rPr>
          <w:rFonts w:ascii="MS PGothic" w:cs="MS PGothic" w:eastAsia="MS PGothic" w:hAnsi="MS PGothic"/>
          <w:sz w:val="41"/>
          <w:szCs w:val="41"/>
          <w:color w:val="auto"/>
          <w:vertAlign w:val="subscript"/>
        </w:rPr>
      </w:pPr>
      <w:r>
        <w:rPr>
          <w:rFonts w:ascii="Times New Roman" w:cs="Times New Roman" w:eastAsia="Times New Roman" w:hAnsi="Times New Roman"/>
          <w:sz w:val="17"/>
          <w:szCs w:val="17"/>
          <w:color w:val="auto"/>
        </w:rPr>
        <w:t>Rule 13p-1 under the Securities Exchange Act (17 CFR 240.13p-1) for the reporting period from January 1 to December 31, 2021.</w:t>
      </w:r>
    </w:p>
    <w:p>
      <w:pPr>
        <w:spacing w:after="0" w:line="90"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320" w:top="1321"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66"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89"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For the reporting period from January 1, 2021 to December 31, 2021, Standard BioTools Inc. (the “Company”) evaluated its current products and determined that certain “conflict minerals,” as defined in Section 1, Item 1.01(d)(3) of Form SD, are necessary to the functionality or production of products manufactured by the Company, which are referred to in this Form SD as “necessary conflict minerals.” Accordingly, the Company conducted a reasonable country of origin inquiry to determine whether during 2021 its necessary conflict minerals originated in the Democratic Republic of the Congo or certain adjoining countries, which are referred to in this Form SD collectively as the “covered countries.” The Company then conducted due diligence designed to conform to the Organisation for Economic Co-operation and Development, or OECD, Due Diligence Guidance for Responsible Supply Chains of Minerals from Conflict-Affected and High-Risk Areas in order to determine whether any of the Company’s necessary conflict minerals originated from any of the covered countries during 2021 and whether these conflict minerals benefited, directly or indirectly, armed groups in any of the covered countries.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89" w:lineRule="exact"/>
        <w:rPr>
          <w:sz w:val="20"/>
          <w:szCs w:val="20"/>
          <w:color w:val="auto"/>
        </w:rPr>
      </w:pPr>
    </w:p>
    <w:p>
      <w:pPr>
        <w:jc w:val="both"/>
        <w:ind w:right="120" w:firstLine="324"/>
        <w:spacing w:after="0" w:line="305" w:lineRule="auto"/>
        <w:rPr>
          <w:sz w:val="20"/>
          <w:szCs w:val="20"/>
          <w:color w:val="auto"/>
        </w:rPr>
      </w:pPr>
      <w:r>
        <w:rPr>
          <w:rFonts w:ascii="Times New Roman" w:cs="Times New Roman" w:eastAsia="Times New Roman" w:hAnsi="Times New Roman"/>
          <w:sz w:val="18"/>
          <w:szCs w:val="18"/>
          <w:color w:val="auto"/>
        </w:rPr>
        <w:t>In accordance with Rule 13p-1 promulgated under the Securities Exchange Act of 1934, as amended, and this Specialized Disclosure Report on Form SD, the Company is filing a Conflict Minerals Report, which is attached as Exhibit 1.01 hereto. A copy of this Form SD and the Conflict Minerals Report are publicly available at https://investors.fluidigm.com/financial-information/sec-filings.</w:t>
      </w:r>
    </w:p>
    <w:p>
      <w:pPr>
        <w:spacing w:after="0" w:line="102" w:lineRule="exact"/>
        <w:rPr>
          <w:sz w:val="20"/>
          <w:szCs w:val="20"/>
          <w:color w:val="auto"/>
        </w:rPr>
      </w:pPr>
    </w:p>
    <w:p>
      <w:pPr>
        <w:ind w:right="300" w:firstLine="324"/>
        <w:spacing w:after="0" w:line="329" w:lineRule="auto"/>
        <w:rPr>
          <w:sz w:val="20"/>
          <w:szCs w:val="20"/>
          <w:color w:val="auto"/>
        </w:rPr>
      </w:pPr>
      <w:r>
        <w:rPr>
          <w:rFonts w:ascii="Times New Roman" w:cs="Times New Roman" w:eastAsia="Times New Roman" w:hAnsi="Times New Roman"/>
          <w:sz w:val="18"/>
          <w:szCs w:val="18"/>
          <w:color w:val="auto"/>
        </w:rPr>
        <w:t>Information contained on, or that can be accessed through, the Company’s website, does not constitute part of, and is not incorporated by reference into, this Form SD and inclusion of the Company’s website address in this Form SD is an inactive textual reference only.</w:t>
      </w:r>
    </w:p>
    <w:p>
      <w:pPr>
        <w:spacing w:after="0" w:line="1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Rule 13p-1, and this Form SD, the Company is filing its Conflict Minerals Report, which is attached as Exhibit 1.01 to this Form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w:t>
      </w:r>
    </w:p>
    <w:p>
      <w:pPr>
        <w:spacing w:after="0" w:line="26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Resource Extraction Issuer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No.</w:t>
            </w:r>
          </w:p>
        </w:tc>
        <w:tc>
          <w:tcPr>
            <w:tcW w:w="6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54"/>
        </w:trPr>
        <w:tc>
          <w:tcPr>
            <w:tcW w:w="1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36"/>
        </w:trPr>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Standard BioTools Inc. Conflict Minerals Report as required by Items 1.01 and 1.02 of this Form SD.</w:t>
            </w: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0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ectPr>
          <w:pgSz w:w="11900" w:h="16838" w:orient="portrait"/>
          <w:cols w:equalWidth="0" w:num="1">
            <w:col w:w="11220"/>
          </w:cols>
          <w:pgMar w:left="320" w:top="900" w:right="35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43" w:lineRule="exact"/>
        <w:rPr>
          <w:sz w:val="20"/>
          <w:szCs w:val="20"/>
          <w:color w:val="auto"/>
        </w:rPr>
      </w:pPr>
    </w:p>
    <w:p>
      <w:pPr>
        <w:ind w:right="160" w:firstLine="324"/>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Nicholas Khadder</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27, 2022</w:t>
            </w:r>
          </w:p>
        </w:tc>
      </w:tr>
      <w:tr>
        <w:trPr>
          <w:trHeight w:val="54"/>
        </w:trPr>
        <w:tc>
          <w:tcPr>
            <w:tcW w:w="70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r>
        <w:trPr>
          <w:trHeight w:val="290"/>
        </w:trPr>
        <w:tc>
          <w:tcPr>
            <w:tcW w:w="700" w:type="dxa"/>
            <w:vAlign w:val="bottom"/>
          </w:tcPr>
          <w:p>
            <w:pPr>
              <w:spacing w:after="0"/>
              <w:rPr>
                <w:sz w:val="24"/>
                <w:szCs w:val="24"/>
                <w:color w:val="auto"/>
              </w:rPr>
            </w:pP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Nicholas Khadder</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365"/>
        </w:trPr>
        <w:tc>
          <w:tcPr>
            <w:tcW w:w="700" w:type="dxa"/>
            <w:vAlign w:val="bottom"/>
          </w:tcPr>
          <w:p>
            <w:pPr>
              <w:spacing w:after="0"/>
              <w:rPr>
                <w:sz w:val="24"/>
                <w:szCs w:val="24"/>
                <w:color w:val="auto"/>
              </w:rPr>
            </w:pP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4860" w:type="dxa"/>
            <w:vAlign w:val="bottom"/>
          </w:tcPr>
          <w:p>
            <w:pPr>
              <w:spacing w:after="0"/>
              <w:rPr>
                <w:sz w:val="24"/>
                <w:szCs w:val="24"/>
                <w:color w:val="auto"/>
              </w:rPr>
            </w:pPr>
          </w:p>
        </w:tc>
      </w:tr>
    </w:tbl>
    <w:p>
      <w:pPr>
        <w:sectPr>
          <w:pgSz w:w="11900" w:h="16838" w:orient="portrait"/>
          <w:cols w:equalWidth="0" w:num="1">
            <w:col w:w="11140"/>
          </w:cols>
          <w:pgMar w:left="320" w:top="1004"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Standard BioTools Inc. (formerly, Fluidigm Corporation)</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2021 to December 31, 2021</w:t>
      </w:r>
    </w:p>
    <w:p>
      <w:pPr>
        <w:spacing w:after="0" w:line="295" w:lineRule="exact"/>
        <w:rPr>
          <w:sz w:val="20"/>
          <w:szCs w:val="20"/>
          <w:color w:val="auto"/>
        </w:rPr>
      </w:pPr>
    </w:p>
    <w:p>
      <w:pPr>
        <w:ind w:right="60" w:firstLine="324"/>
        <w:spacing w:after="0" w:line="294" w:lineRule="auto"/>
        <w:rPr>
          <w:sz w:val="20"/>
          <w:szCs w:val="20"/>
          <w:color w:val="auto"/>
        </w:rPr>
      </w:pPr>
      <w:r>
        <w:rPr>
          <w:rFonts w:ascii="Times New Roman" w:cs="Times New Roman" w:eastAsia="Times New Roman" w:hAnsi="Times New Roman"/>
          <w:sz w:val="18"/>
          <w:szCs w:val="18"/>
          <w:i w:val="1"/>
          <w:iCs w:val="1"/>
          <w:color w:val="auto"/>
        </w:rPr>
        <w:t>Cautionary Note Concerning Forward-Looking Statements: This Conflict Minerals Report contains forward-looking statements within the meaning of federal securities laws. These forward-looking statements include statements concerning Standard BioTools Inc.’s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Standard BioTools Inc. files with the United States Securities and Exchange Commission, including Standard BioTools Inc.’s Annual Report on Form 10-K for the year ended December 31, 2021 and its subsequent Quarterly Reports on Form 10-Q. The risk factors included in these filings are not exhaustive, and risks that are not identified therein could materially affect whether Standard BioTools Inc. realizes the results anticipated or implied by any forward-looking statements contained in this Conflict Minerals Report. Except as required by law, Standard BioTools Inc. disclaims any obligation to update these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This Conflict Minerals Report (this “Report”) for Standard BioTools Inc. (“Standard BioTools” or “we” or “our”) covers the reporting period from January 1, 2021 to December 31, 2021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https://investors.fluidigm.com/financial-information/sec-filings. Information contained on, or that can be accessed through, our website, does not constitute part of this Report and inclusion of our website address in this Report is an inactive textual reference only.</w:t>
      </w:r>
    </w:p>
    <w:p>
      <w:pPr>
        <w:spacing w:after="0" w:line="110" w:lineRule="exact"/>
        <w:rPr>
          <w:sz w:val="20"/>
          <w:szCs w:val="20"/>
          <w:color w:val="auto"/>
        </w:rPr>
      </w:pPr>
    </w:p>
    <w:p>
      <w:pPr>
        <w:ind w:right="80" w:firstLine="324"/>
        <w:spacing w:after="0" w:line="294" w:lineRule="auto"/>
        <w:rPr>
          <w:sz w:val="20"/>
          <w:szCs w:val="20"/>
          <w:color w:val="auto"/>
        </w:rPr>
      </w:pPr>
      <w:r>
        <w:rPr>
          <w:rFonts w:ascii="Times New Roman" w:cs="Times New Roman" w:eastAsia="Times New Roman" w:hAnsi="Times New Roman"/>
          <w:sz w:val="18"/>
          <w:szCs w:val="18"/>
          <w:color w:val="auto"/>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the minerals specified in Rule 13p-1 and their derivatives, limited to tungsten, tantalum, tin, and gold (referred to as the “3TG minerals”), used in their products benefited,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minerals contained in components used in our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BioTools Background and Covered Products</w:t>
      </w:r>
    </w:p>
    <w:p>
      <w:pPr>
        <w:spacing w:after="0" w:line="189" w:lineRule="exact"/>
        <w:rPr>
          <w:sz w:val="20"/>
          <w:szCs w:val="20"/>
          <w:color w:val="auto"/>
        </w:rPr>
      </w:pPr>
    </w:p>
    <w:p>
      <w:pPr>
        <w:ind w:right="20" w:firstLine="324"/>
        <w:spacing w:after="0" w:line="293" w:lineRule="auto"/>
        <w:rPr>
          <w:sz w:val="20"/>
          <w:szCs w:val="20"/>
          <w:color w:val="auto"/>
        </w:rPr>
      </w:pPr>
      <w:r>
        <w:rPr>
          <w:rFonts w:ascii="Times New Roman" w:cs="Times New Roman" w:eastAsia="Times New Roman" w:hAnsi="Times New Roman"/>
          <w:sz w:val="18"/>
          <w:szCs w:val="18"/>
          <w:color w:val="auto"/>
        </w:rPr>
        <w:t>Standard BioTools Inc., previously known as Fluidigm Corporation, is driven by a bold vision – unleashing tools to accelerate breakthroughs in human health. Standard BioTools has an established portfolio of essential, standardized next-generation technologies that help biomedical researchers develop medicines faster and better. As a leading solutions provider, we provide reliable and repeatable insights in health and disease using our proprietary mass cytometry and microfluidics technologies that help transform scientific discoveries into better patient outcomes. We work with leading academic, government, pharmaceutical, biotechnology, plant and animal research, and clinical laboratories worldwide, focusing on the most pressing needs in translational and clinical research, including oncology, immunology, and immunotherapy. 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integrated fluidic</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95" w:right="339" w:bottom="1440" w:gutter="0" w:footer="0" w:header="0"/>
        </w:sectPr>
      </w:pPr>
    </w:p>
    <w:bookmarkStart w:id="4" w:name="page5"/>
    <w:bookmarkEnd w:id="4"/>
    <w:p>
      <w:pPr>
        <w:ind w:right="100"/>
        <w:spacing w:after="0" w:line="313" w:lineRule="auto"/>
        <w:rPr>
          <w:sz w:val="20"/>
          <w:szCs w:val="20"/>
          <w:color w:val="auto"/>
        </w:rPr>
      </w:pPr>
      <w:r>
        <w:rPr>
          <w:rFonts w:ascii="Times New Roman" w:cs="Times New Roman" w:eastAsia="Times New Roman" w:hAnsi="Times New Roman"/>
          <w:sz w:val="18"/>
          <w:szCs w:val="18"/>
          <w:color w:val="auto"/>
        </w:rPr>
        <w:t>circuits (IFCs) as well as our microfluidics instruments, which are assembled by our contract manufacturer located within our Singapore facility. Our mass cytometry instruments, assays and reagents are manufactured at our facility in Canada.</w:t>
      </w:r>
    </w:p>
    <w:p>
      <w:pPr>
        <w:spacing w:after="0" w:line="95" w:lineRule="exact"/>
        <w:rPr>
          <w:sz w:val="20"/>
          <w:szCs w:val="20"/>
          <w:color w:val="auto"/>
        </w:rPr>
      </w:pPr>
    </w:p>
    <w:p>
      <w:pPr>
        <w:ind w:right="60" w:firstLine="324"/>
        <w:spacing w:after="0" w:line="313" w:lineRule="auto"/>
        <w:rPr>
          <w:sz w:val="20"/>
          <w:szCs w:val="20"/>
          <w:color w:val="auto"/>
        </w:rPr>
      </w:pPr>
      <w:r>
        <w:rPr>
          <w:rFonts w:ascii="Times New Roman" w:cs="Times New Roman" w:eastAsia="Times New Roman" w:hAnsi="Times New Roman"/>
          <w:sz w:val="18"/>
          <w:szCs w:val="18"/>
          <w:color w:val="auto"/>
        </w:rPr>
        <w:t>We have determined that one or more of the 3TG minerals (tin, tantalum, tungsten, and gold) may be necessary to the functionality or production of certain products we manufactured, or contracted to manufacture, as applicable, during 2021, including our C1™, Juno™, Access Array™, Biomark™ HD, EP1™, Flow Conductor™ sample prep, Helios™, Hyperion™ Imaging, and AccuLift™ Laser Capture Microdissection systems. As a result, all of our marketed systems and IFCs are considered “covered products” for purposes of this Report.</w:t>
      </w:r>
    </w:p>
    <w:p>
      <w:pPr>
        <w:spacing w:after="0" w:line="95" w:lineRule="exact"/>
        <w:rPr>
          <w:sz w:val="20"/>
          <w:szCs w:val="20"/>
          <w:color w:val="auto"/>
        </w:rPr>
      </w:pPr>
    </w:p>
    <w:p>
      <w:pPr>
        <w:ind w:right="60" w:firstLine="324"/>
        <w:spacing w:after="0" w:line="302" w:lineRule="auto"/>
        <w:rPr>
          <w:sz w:val="20"/>
          <w:szCs w:val="20"/>
          <w:color w:val="auto"/>
        </w:rPr>
      </w:pPr>
      <w:r>
        <w:rPr>
          <w:rFonts w:ascii="Times New Roman" w:cs="Times New Roman" w:eastAsia="Times New Roman" w:hAnsi="Times New Roman"/>
          <w:sz w:val="18"/>
          <w:szCs w:val="18"/>
          <w:color w:val="auto"/>
        </w:rPr>
        <w:t>Our supply chain with respect to the covered products is complex, and there are many third parties in the supply chain between the original source of the 3TG minerals and the manufacture of the covered products. We do not purchase raw ore or unrefined 3TG minerals directly and make no purchases in the Covered Countries. As a result and as described more fully below, we rely on our suppliers to provide information on the origin of the conflict minerals contained in our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BioTools Reasonable Country of Origin Inquiry</w:t>
      </w:r>
    </w:p>
    <w:p>
      <w:pPr>
        <w:spacing w:after="0" w:line="189" w:lineRule="exact"/>
        <w:rPr>
          <w:sz w:val="20"/>
          <w:szCs w:val="20"/>
          <w:color w:val="auto"/>
        </w:rPr>
      </w:pPr>
    </w:p>
    <w:p>
      <w:pPr>
        <w:ind w:right="40" w:firstLine="324"/>
        <w:spacing w:after="0" w:line="302" w:lineRule="auto"/>
        <w:rPr>
          <w:sz w:val="20"/>
          <w:szCs w:val="20"/>
          <w:color w:val="auto"/>
        </w:rPr>
      </w:pPr>
      <w:r>
        <w:rPr>
          <w:rFonts w:ascii="Times New Roman" w:cs="Times New Roman" w:eastAsia="Times New Roman" w:hAnsi="Times New Roman"/>
          <w:sz w:val="18"/>
          <w:szCs w:val="18"/>
          <w:color w:val="auto"/>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spacing w:after="0" w:line="106" w:lineRule="exact"/>
        <w:rPr>
          <w:sz w:val="20"/>
          <w:szCs w:val="20"/>
          <w:color w:val="auto"/>
        </w:rPr>
      </w:pPr>
    </w:p>
    <w:p>
      <w:pPr>
        <w:jc w:val="both"/>
        <w:ind w:right="260" w:firstLine="324"/>
        <w:spacing w:after="0" w:line="297" w:lineRule="auto"/>
        <w:rPr>
          <w:sz w:val="20"/>
          <w:szCs w:val="20"/>
          <w:color w:val="auto"/>
        </w:rPr>
      </w:pPr>
      <w:r>
        <w:rPr>
          <w:rFonts w:ascii="Times New Roman" w:cs="Times New Roman" w:eastAsia="Times New Roman" w:hAnsi="Times New Roman"/>
          <w:sz w:val="18"/>
          <w:szCs w:val="18"/>
          <w:color w:val="auto"/>
        </w:rPr>
        <w:t>Our RCOI consisted principally of submitting the conflict minerals reporting template (the “RMI Template”) prepared by the Responsible Minerals Initiative (“RMI”), formerly the Conflict-Free Sourcing Initiative (CFSI), an initiative of the Responsible Business Alliance and Global e-Sustainability Initiative, to suppliers of components for our products that are considered necessary to the functionality or production of our products and for which any 3TG minerals or their derivatives may be included (“first tier suppliers”). We reviewed all responses for completeness, reasonableness, and consistency, and we followed up for corrections and clarifications as we determined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BioTools’s Due Diligence Process</w:t>
      </w:r>
    </w:p>
    <w:p>
      <w:pPr>
        <w:spacing w:after="0" w:line="189" w:lineRule="exact"/>
        <w:rPr>
          <w:sz w:val="20"/>
          <w:szCs w:val="20"/>
          <w:color w:val="auto"/>
        </w:rPr>
      </w:pPr>
    </w:p>
    <w:p>
      <w:pPr>
        <w:ind w:right="20" w:firstLine="324"/>
        <w:spacing w:after="0" w:line="294" w:lineRule="auto"/>
        <w:rPr>
          <w:sz w:val="20"/>
          <w:szCs w:val="20"/>
          <w:color w:val="auto"/>
        </w:rPr>
      </w:pPr>
      <w:r>
        <w:rPr>
          <w:rFonts w:ascii="Times New Roman" w:cs="Times New Roman" w:eastAsia="Times New Roman" w:hAnsi="Times New Roman"/>
          <w:sz w:val="18"/>
          <w:szCs w:val="18"/>
          <w:color w:val="auto"/>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any of the 3TG minerals are incorporated into our products; whether any such 3TG minerals incorporated into our products were necessary for the functionality and/or production of our products; the source and chain of custody of the 3TG minerals necessary for the functionality and/or production of our products; and whether any such 3TG minerals originated in the Covered Countries. In the event that 3TG minerals from the Covered Countries which benefit armed groups are found in our supply chain, we will take appropriate actions in a timely manner to resolve the situation.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diligence measures that we implemented included, but were not limited, to the following:</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Internal Management Systems</w:t>
      </w:r>
    </w:p>
    <w:p>
      <w:pPr>
        <w:spacing w:after="0" w:line="182" w:lineRule="exact"/>
        <w:rPr>
          <w:rFonts w:ascii="Times New Roman" w:cs="Times New Roman" w:eastAsia="Times New Roman" w:hAnsi="Times New Roman"/>
          <w:sz w:val="18"/>
          <w:szCs w:val="18"/>
          <w:color w:val="auto"/>
        </w:rPr>
      </w:pPr>
    </w:p>
    <w:p>
      <w:pPr>
        <w:ind w:left="980" w:right="400" w:hanging="324"/>
        <w:spacing w:after="0" w:line="306"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 Minerals Policy</w:t>
      </w:r>
      <w:r>
        <w:rPr>
          <w:rFonts w:ascii="Times New Roman" w:cs="Times New Roman" w:eastAsia="Times New Roman" w:hAnsi="Times New Roman"/>
          <w:sz w:val="18"/>
          <w:szCs w:val="18"/>
          <w:color w:val="auto"/>
        </w:rPr>
        <w:t>. In 2013, we adopted a written policy relating to the use of conflict minerals in our supply chain.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communicated this written policy to each of our first tier suppliers. A copy of the Standard BioTools Conflict Minerals Policy is publicly available at https://investors.fluidigm.com/social-responsibility.</w:t>
      </w:r>
    </w:p>
    <w:p>
      <w:pPr>
        <w:spacing w:after="0" w:line="99" w:lineRule="exact"/>
        <w:rPr>
          <w:rFonts w:ascii="Times New Roman" w:cs="Times New Roman" w:eastAsia="Times New Roman" w:hAnsi="Times New Roman"/>
          <w:sz w:val="18"/>
          <w:szCs w:val="18"/>
          <w:color w:val="auto"/>
        </w:rPr>
      </w:pPr>
    </w:p>
    <w:p>
      <w:pPr>
        <w:ind w:left="980" w:right="220" w:hanging="324"/>
        <w:spacing w:after="0" w:line="315"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Management to Support Supply Chain Due Diligence</w:t>
      </w:r>
      <w:r>
        <w:rPr>
          <w:rFonts w:ascii="Times New Roman" w:cs="Times New Roman" w:eastAsia="Times New Roman" w:hAnsi="Times New Roman"/>
          <w:sz w:val="18"/>
          <w:szCs w:val="18"/>
          <w:color w:val="auto"/>
        </w:rPr>
        <w:t>. Our legal department has been charged with the management of our conflict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minerals program, working in collaboration with members from our operations team in Singapore, Canada, and the United States.</w:t>
      </w:r>
    </w:p>
    <w:p>
      <w:pPr>
        <w:spacing w:after="0" w:line="104" w:lineRule="exact"/>
        <w:rPr>
          <w:rFonts w:ascii="Times New Roman" w:cs="Times New Roman" w:eastAsia="Times New Roman" w:hAnsi="Times New Roman"/>
          <w:sz w:val="18"/>
          <w:szCs w:val="18"/>
          <w:color w:val="auto"/>
        </w:rPr>
      </w:pPr>
    </w:p>
    <w:p>
      <w:pPr>
        <w:jc w:val="both"/>
        <w:ind w:left="980" w:hanging="324"/>
        <w:spacing w:after="0" w:line="306"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Controls and Transparency</w:t>
      </w:r>
      <w:r>
        <w:rPr>
          <w:rFonts w:ascii="Times New Roman" w:cs="Times New Roman" w:eastAsia="Times New Roman" w:hAnsi="Times New Roman"/>
          <w:sz w:val="18"/>
          <w:szCs w:val="18"/>
          <w:color w:val="auto"/>
        </w:rPr>
        <w:t>. As described above, we undertook an RCOI with respect to conflict minerals in our supply chain by providing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RMI Template to each of our first tier suppliers to gather information about their use of 3TG minerals, the smelters and refiners in their supply chain that are included in our products, and the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53" w:right="339" w:bottom="1440" w:gutter="0" w:footer="0" w:header="0"/>
        </w:sectPr>
      </w:pPr>
    </w:p>
    <w:bookmarkStart w:id="5" w:name="page6"/>
    <w:bookmarkEnd w:id="5"/>
    <w:p>
      <w:pPr>
        <w:ind w:left="980" w:right="100"/>
        <w:spacing w:after="0" w:line="313" w:lineRule="auto"/>
        <w:rPr>
          <w:sz w:val="20"/>
          <w:szCs w:val="20"/>
          <w:color w:val="auto"/>
        </w:rPr>
      </w:pPr>
      <w:r>
        <w:rPr>
          <w:rFonts w:ascii="Times New Roman" w:cs="Times New Roman" w:eastAsia="Times New Roman" w:hAnsi="Times New Roman"/>
          <w:sz w:val="18"/>
          <w:szCs w:val="18"/>
          <w:color w:val="auto"/>
        </w:rPr>
        <w:t>countries of origin for 3TG minerals used in our products. We reviewed all responses for completeness, reasonableness, and consistency. We followed up for corrections and clarifications as we determined appropriate.</w:t>
      </w:r>
    </w:p>
    <w:p>
      <w:pPr>
        <w:spacing w:after="0" w:line="93" w:lineRule="exact"/>
        <w:rPr>
          <w:sz w:val="20"/>
          <w:szCs w:val="20"/>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Supplier Engagement</w:t>
      </w:r>
      <w:r>
        <w:rPr>
          <w:rFonts w:ascii="Times New Roman" w:cs="Times New Roman" w:eastAsia="Times New Roman" w:hAnsi="Times New Roman"/>
          <w:sz w:val="18"/>
          <w:szCs w:val="18"/>
          <w:color w:val="auto"/>
        </w:rPr>
        <w:t>. We continue to engage actively with our first tier suppliers to strengthen our relationship with them. We have</w:t>
      </w:r>
    </w:p>
    <w:p>
      <w:pPr>
        <w:spacing w:after="0" w:line="51" w:lineRule="exact"/>
        <w:rPr>
          <w:rFonts w:ascii="Times New Roman" w:cs="Times New Roman" w:eastAsia="Times New Roman" w:hAnsi="Times New Roman"/>
          <w:sz w:val="18"/>
          <w:szCs w:val="18"/>
          <w:color w:val="auto"/>
        </w:rPr>
      </w:pPr>
    </w:p>
    <w:p>
      <w:pPr>
        <w:ind w:left="980" w:right="16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generally request conflict minerals information from each new supplier of potentially applicable products.</w:t>
      </w:r>
    </w:p>
    <w:p>
      <w:pPr>
        <w:spacing w:after="0" w:line="103" w:lineRule="exact"/>
        <w:rPr>
          <w:rFonts w:ascii="Times New Roman" w:cs="Times New Roman" w:eastAsia="Times New Roman" w:hAnsi="Times New Roman"/>
          <w:sz w:val="18"/>
          <w:szCs w:val="18"/>
          <w:color w:val="auto"/>
        </w:rPr>
      </w:pPr>
    </w:p>
    <w:p>
      <w:pPr>
        <w:ind w:left="980" w:right="400" w:hanging="324"/>
        <w:spacing w:after="0" w:line="306" w:lineRule="auto"/>
        <w:tabs>
          <w:tab w:leader="none" w:pos="9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Grievance Mechanism</w:t>
      </w:r>
      <w:r>
        <w:rPr>
          <w:rFonts w:ascii="Times New Roman" w:cs="Times New Roman" w:eastAsia="Times New Roman" w:hAnsi="Times New Roman"/>
          <w:sz w:val="18"/>
          <w:szCs w:val="18"/>
          <w:color w:val="auto"/>
        </w:rPr>
        <w:t>. Our code of conduct includes procedures for reporting violations of our policies, including our Conflict Minerals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We provide mechanisms for anonymous reporting of violations or concerns about the conduct of our business, including the implementation and enforcement of our Conflict Minerals Policy.</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Assessment of Risks in the Supply Chain</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we identified our first tier suppliers and relied on them to provide the necessary information about the use of 3TG minerals in</w:t>
      </w:r>
    </w:p>
    <w:p>
      <w:pPr>
        <w:spacing w:after="0" w:line="49" w:lineRule="exact"/>
        <w:rPr>
          <w:rFonts w:ascii="Times New Roman" w:cs="Times New Roman" w:eastAsia="Times New Roman" w:hAnsi="Times New Roman"/>
          <w:sz w:val="18"/>
          <w:szCs w:val="18"/>
          <w:color w:val="auto"/>
        </w:rPr>
      </w:pPr>
    </w:p>
    <w:p>
      <w:pPr>
        <w:ind w:left="660" w:right="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we purchase and incorporate into the manufacture of our systems and IFCs, and the source of such 3TG minerals. Similarly, our first tier suppliers rely on information provided by their suppliers to provide information regarding the country of origin of 3TG minerals included in our products.</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Designing and Implementing a Strategy to Respond to Identified Risks</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formal risk management plan through which our conflict minerals program is managed and monitored. As part of this risk</w:t>
      </w:r>
    </w:p>
    <w:p>
      <w:pPr>
        <w:spacing w:after="0" w:line="49" w:lineRule="exact"/>
        <w:rPr>
          <w:rFonts w:ascii="Times New Roman" w:cs="Times New Roman" w:eastAsia="Times New Roman" w:hAnsi="Times New Roman"/>
          <w:sz w:val="18"/>
          <w:szCs w:val="18"/>
          <w:color w:val="auto"/>
        </w:rPr>
      </w:pPr>
    </w:p>
    <w:p>
      <w:pPr>
        <w:ind w:left="660" w:right="1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plan, where applicable, we will review circumstances in which certain suppliers are unable to provide us with complete or reliable responses to the RMI Template including, without limitation, considering whether to continue such contract or relationship or find a replacement supplier.</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Carrying Out Independent Third-Party Audit of Supply Chain Due Diligence at Identified Points in the Supply Chain</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direct relationship with any smelters or refiners in our supply chain. As a result, we do not and cannot conduct any audits</w:t>
      </w:r>
    </w:p>
    <w:p>
      <w:pPr>
        <w:spacing w:after="0" w:line="49" w:lineRule="exact"/>
        <w:rPr>
          <w:rFonts w:ascii="Times New Roman" w:cs="Times New Roman" w:eastAsia="Times New Roman" w:hAnsi="Times New Roman"/>
          <w:sz w:val="18"/>
          <w:szCs w:val="18"/>
          <w:color w:val="auto"/>
        </w:rPr>
      </w:pPr>
    </w:p>
    <w:p>
      <w:pPr>
        <w:ind w:left="660" w:right="1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Instead, we support the development and implementation of independent third party audits of smelters such as the Responsible Minerals Assurance Process (“RMAP”) by encouraging our suppliers to purchase materials from audited, conflict-free smelters and determining whether the smelters that were used to process these minerals were validated as conflict-free by the RMAP.</w:t>
      </w:r>
    </w:p>
    <w:p>
      <w:pPr>
        <w:spacing w:after="0" w:line="10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on Supply Chain Due Diligence</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publicly filed the Form SD and this Report with the SEC. A copy of this Report and the Form SD are publicly available at</w:t>
      </w:r>
    </w:p>
    <w:p>
      <w:pPr>
        <w:spacing w:after="0" w:line="49" w:lineRule="exact"/>
        <w:rPr>
          <w:rFonts w:ascii="Times New Roman" w:cs="Times New Roman" w:eastAsia="Times New Roman" w:hAnsi="Times New Roman"/>
          <w:sz w:val="18"/>
          <w:szCs w:val="18"/>
          <w:color w:val="auto"/>
        </w:rPr>
      </w:pPr>
    </w:p>
    <w:p>
      <w:pPr>
        <w:ind w:left="660" w:right="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https://investors.fluidigm.com/financial-information/sec-filings. This Report includes information about the RCOI methodology used by Standard BioTools, the design of our due diligence process in conformance with the OECD Framework, the list of known smelters and refiners utilized in</w:t>
      </w:r>
    </w:p>
    <w:p>
      <w:pPr>
        <w:spacing w:after="0" w:line="1" w:lineRule="exact"/>
        <w:rPr>
          <w:rFonts w:ascii="Times New Roman" w:cs="Times New Roman" w:eastAsia="Times New Roman" w:hAnsi="Times New Roman"/>
          <w:sz w:val="18"/>
          <w:szCs w:val="18"/>
          <w:color w:val="auto"/>
        </w:rPr>
      </w:pPr>
    </w:p>
    <w:p>
      <w:pPr>
        <w:ind w:left="660" w:right="6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identified in our due diligence process, and a description of our products that incorporate 3TG minerals necessary to the functionality or production of such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 in Standard BioTools’s Supply Chain</w:t>
      </w:r>
    </w:p>
    <w:p>
      <w:pPr>
        <w:spacing w:after="0" w:line="189" w:lineRule="exact"/>
        <w:rPr>
          <w:sz w:val="20"/>
          <w:szCs w:val="20"/>
          <w:color w:val="auto"/>
        </w:rPr>
      </w:pPr>
    </w:p>
    <w:p>
      <w:pPr>
        <w:ind w:right="100" w:firstLine="324"/>
        <w:spacing w:after="0" w:line="297" w:lineRule="auto"/>
        <w:rPr>
          <w:sz w:val="20"/>
          <w:szCs w:val="20"/>
          <w:color w:val="auto"/>
        </w:rPr>
      </w:pPr>
      <w:r>
        <w:rPr>
          <w:rFonts w:ascii="Times New Roman" w:cs="Times New Roman" w:eastAsia="Times New Roman" w:hAnsi="Times New Roman"/>
          <w:sz w:val="18"/>
          <w:szCs w:val="18"/>
          <w:color w:val="auto"/>
        </w:rPr>
        <w:t>We adopted RMI’s industry approach to trace back the origin of 3TG minerals by identifying smelters, refineries, or recyclers and scrap supplier sources. We have leveraged industry initiatives such as the RMAP, which is a voluntary initiative in which an independent third party audits smelters and refiners to determine if all of the minerals processed by the smelter or refiner originated from conflict free sources. Participation in the RMAP provides us with verified information about the sourcing activities of the smelters and refiners in our supply chain.</w:t>
      </w:r>
    </w:p>
    <w:p>
      <w:pPr>
        <w:spacing w:after="0" w:line="123" w:lineRule="exact"/>
        <w:rPr>
          <w:sz w:val="20"/>
          <w:szCs w:val="20"/>
          <w:color w:val="auto"/>
        </w:rPr>
      </w:pPr>
    </w:p>
    <w:p>
      <w:pPr>
        <w:ind w:firstLine="324"/>
        <w:spacing w:after="0" w:line="305" w:lineRule="auto"/>
        <w:rPr>
          <w:sz w:val="20"/>
          <w:szCs w:val="20"/>
          <w:color w:val="auto"/>
        </w:rPr>
      </w:pPr>
      <w:r>
        <w:rPr>
          <w:rFonts w:ascii="Times New Roman" w:cs="Times New Roman" w:eastAsia="Times New Roman" w:hAnsi="Times New Roman"/>
          <w:sz w:val="18"/>
          <w:szCs w:val="18"/>
          <w:color w:val="auto"/>
        </w:rPr>
        <w:t>As discussed above, we submitted the RMI Template to our first tier suppliers. Most of the responses received from our first tier suppliers provided information at company/division levels, rather than specific product/part number levels. As a result, we were unable to determine whether or to what extent any of the 3TG minerals reported as used by these first tier suppliers</w:t>
      </w:r>
    </w:p>
    <w:p>
      <w:pPr>
        <w:sectPr>
          <w:pgSz w:w="11900" w:h="16838" w:orient="portrait"/>
          <w:cols w:equalWidth="0" w:num="1">
            <w:col w:w="11200"/>
          </w:cols>
          <w:pgMar w:left="320" w:top="1053" w:right="3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20" w:top="1053" w:right="379" w:bottom="1440" w:gutter="0" w:footer="0" w:header="0"/>
          <w:type w:val="continuous"/>
        </w:sectPr>
      </w:pPr>
    </w:p>
    <w:bookmarkStart w:id="6" w:name="page7"/>
    <w:bookmarkEnd w:id="6"/>
    <w:p>
      <w:pPr>
        <w:ind w:right="280"/>
        <w:spacing w:after="0" w:line="297" w:lineRule="auto"/>
        <w:rPr>
          <w:sz w:val="20"/>
          <w:szCs w:val="20"/>
          <w:color w:val="auto"/>
        </w:rPr>
      </w:pPr>
      <w:r>
        <w:rPr>
          <w:rFonts w:ascii="Times New Roman" w:cs="Times New Roman" w:eastAsia="Times New Roman" w:hAnsi="Times New Roman"/>
          <w:sz w:val="18"/>
          <w:szCs w:val="18"/>
          <w:color w:val="auto"/>
        </w:rPr>
        <w:t>were contained specifically in components supplied to us. We also were unable to validate whether the smelters or refiners reported by such first tier suppliers are actually in our supply chain. Accordingly, based on information that was provided by our first tier suppliers or that was otherwise obtained through our due diligence process, we are unable to determine and describe all facilities used to process the 3TG minerals contained in our covered products.</w:t>
      </w:r>
    </w:p>
    <w:p>
      <w:pPr>
        <w:spacing w:after="0" w:line="109" w:lineRule="exact"/>
        <w:rPr>
          <w:sz w:val="20"/>
          <w:szCs w:val="20"/>
          <w:color w:val="auto"/>
        </w:rPr>
      </w:pPr>
    </w:p>
    <w:p>
      <w:pPr>
        <w:ind w:right="100" w:firstLine="324"/>
        <w:spacing w:after="0" w:line="295" w:lineRule="auto"/>
        <w:rPr>
          <w:sz w:val="20"/>
          <w:szCs w:val="20"/>
          <w:color w:val="auto"/>
        </w:rPr>
      </w:pPr>
      <w:r>
        <w:rPr>
          <w:rFonts w:ascii="Times New Roman" w:cs="Times New Roman" w:eastAsia="Times New Roman" w:hAnsi="Times New Roman"/>
          <w:sz w:val="18"/>
          <w:szCs w:val="18"/>
          <w:color w:val="auto"/>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smelters and refiners listed in Annex A attached hereto. This table excludes facilities that are not listed in the RMI Smelter Reference List as of May 25, 2022. An indication of “Conformant” in the far right column of the table indicates that the smelter or refinery successfully completed an assessment against the applicable RMAP standard or an equivalent cross-recognized assessment or is presently undergoing a re-audit to maintain its “conflict free” designation. An indication of “Active” in the far right column of the table indicates that the smelter or refinery has not yet received a “conflict free” designation, but is undergoing an audit process that will determine such status. An indication of “Unknown” in the far right column of the table indicates that the smelter or refinery was not included in the RMI “Conformant” or “Active” lists and thus the facility’s designation is undeterminable.</w:t>
      </w:r>
    </w:p>
    <w:p>
      <w:pPr>
        <w:spacing w:after="0" w:line="111" w:lineRule="exact"/>
        <w:rPr>
          <w:sz w:val="20"/>
          <w:szCs w:val="20"/>
          <w:color w:val="auto"/>
        </w:rPr>
      </w:pPr>
    </w:p>
    <w:p>
      <w:pPr>
        <w:ind w:right="40" w:firstLine="324"/>
        <w:spacing w:after="0" w:line="297" w:lineRule="auto"/>
        <w:rPr>
          <w:sz w:val="20"/>
          <w:szCs w:val="20"/>
          <w:color w:val="auto"/>
        </w:rPr>
      </w:pPr>
      <w:r>
        <w:rPr>
          <w:rFonts w:ascii="Times New Roman" w:cs="Times New Roman" w:eastAsia="Times New Roman" w:hAnsi="Times New Roman"/>
          <w:sz w:val="18"/>
          <w:szCs w:val="18"/>
          <w:color w:val="auto"/>
        </w:rPr>
        <w:t>Because the RMI Smelter Reference List generally did not indicate individual countries of origin of the conflict minerals processed by smelters and refiners, we were not able to determine the countries of origin of the 3TG minerals processed by the listed smelters and refiners with greater specificity. Furthermore, as stated earlier, submission of these smelters by our first-tier suppliers does not guarantee that these smelters or refiners are present in Standard BioTools’s supply chain as our first tier suppliers were generally only able to provide company-level RMI Templates and were not able to provide product-level RMI Templates directly linking those smelters or refiners to such covered products. Therefore, based on our due diligence efforts, we do not have sufficient information to conclusively determine the countries of origin of the 3TG minerals contained in the covered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 Factors</w:t>
      </w:r>
    </w:p>
    <w:p>
      <w:pPr>
        <w:spacing w:after="0" w:line="189" w:lineRule="exact"/>
        <w:rPr>
          <w:sz w:val="20"/>
          <w:szCs w:val="20"/>
          <w:color w:val="auto"/>
        </w:rPr>
      </w:pPr>
    </w:p>
    <w:p>
      <w:pPr>
        <w:ind w:right="40" w:firstLine="324"/>
        <w:spacing w:after="0" w:line="293" w:lineRule="auto"/>
        <w:rPr>
          <w:sz w:val="20"/>
          <w:szCs w:val="20"/>
          <w:color w:val="auto"/>
        </w:rPr>
      </w:pPr>
      <w:r>
        <w:rPr>
          <w:rFonts w:ascii="Times New Roman" w:cs="Times New Roman" w:eastAsia="Times New Roman" w:hAnsi="Times New Roman"/>
          <w:sz w:val="18"/>
          <w:szCs w:val="18"/>
          <w:color w:val="auto"/>
        </w:rPr>
        <w:t>The statements above are based on the RCOI process and due diligence performed in good faith by Standard BioTools. These statements are based on the infrastructure and information available at the time. A number of factors could introduce errors or otherwise affect our 3TG mineral status. These factors include, but are not limited to, gaps in supplier data; gaps in smelter data; errors or omissions by suppliers; errors or omissions by smelters; all instances of 3TG minerals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minerals; oversight or errors in conflict free smelter audits; Covered Countries sourced materials being declared secondary materials; companies going out of business in 2021; certification programs being not equally advanced for all industry segments and metals; and smuggling of 3TG minerals from the Covered Countries to other countries; and the effects of COVID-19 and similar pandemics.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Steps</w:t>
      </w:r>
    </w:p>
    <w:p>
      <w:pPr>
        <w:spacing w:after="0" w:line="189"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We have communicated our expectations to our first tier suppliers regarding our commitment to sourcing minerals for our products in a manner that does not, directly or indirectly, finance or benefit armed groups in the DRC or adjoining countries. We expect to continue our engagement with our relevant suppliers over the next year to build their knowledge and capacity so they are able to provide us with more complete and accurate information on the source and chain of custody of the 3TG included in components and parts purchased by us and incorporated into our products. We also plan to continue to investigate other minerals of concern, including cobalt and mica, and other global regions of high risk.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5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7140" w:type="dxa"/>
            <w:vAlign w:val="bottom"/>
            <w:gridSpan w:val="2"/>
          </w:tcPr>
          <w:p>
            <w:pPr>
              <w:ind w:left="3020"/>
              <w:spacing w:after="0"/>
              <w:rPr>
                <w:sz w:val="20"/>
                <w:szCs w:val="20"/>
                <w:color w:val="auto"/>
              </w:rPr>
            </w:pPr>
            <w:r>
              <w:rPr>
                <w:rFonts w:ascii="Times New Roman" w:cs="Times New Roman" w:eastAsia="Times New Roman" w:hAnsi="Times New Roman"/>
                <w:sz w:val="18"/>
                <w:szCs w:val="18"/>
                <w:b w:val="1"/>
                <w:bCs w:val="1"/>
                <w:color w:val="auto"/>
              </w:rPr>
              <w:t>2021 Facility and Country List</w:t>
            </w:r>
          </w:p>
        </w:tc>
        <w:tc>
          <w:tcPr>
            <w:tcW w:w="2280" w:type="dxa"/>
            <w:vAlign w:val="bottom"/>
          </w:tcPr>
          <w:p>
            <w:pPr>
              <w:spacing w:after="0"/>
              <w:rPr>
                <w:sz w:val="20"/>
                <w:szCs w:val="20"/>
                <w:color w:val="auto"/>
              </w:rPr>
            </w:pPr>
          </w:p>
        </w:tc>
      </w:tr>
      <w:tr>
        <w:trPr>
          <w:trHeight w:val="64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00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8853 S.p.A.</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African Gold Refinery</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Uganda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Agosi AG</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Arab Emirates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Alexy Metals</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Uzbekistan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Argor-Heraeus S.A.</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Asahi Pretec Corp.</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Asahi Refining USA Inc.</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Asaka Riken Co., Ltd.</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Turkey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 Traders and Refiners</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Aurubis AG</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Bangalore Refinery</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5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000" w:type="dxa"/>
            <w:vAlign w:val="bottom"/>
          </w:tcPr>
          <w:p>
            <w:pPr>
              <w:spacing w:after="0"/>
              <w:rPr>
                <w:sz w:val="20"/>
                <w:szCs w:val="20"/>
                <w:color w:val="auto"/>
              </w:rPr>
            </w:pP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Philippines)</w:t>
            </w:r>
          </w:p>
        </w:tc>
        <w:tc>
          <w:tcPr>
            <w:tcW w:w="24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Boliden AB</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Sweden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 Hafner GmbH + Co. KG</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Colombia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Caridad</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Cendres + Metaux S.A.</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Chimet S.p.A.</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Chugai Mining</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Arab Emirates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Dowa</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DSC (Do Sung Corporation)</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bl>
    <w:p>
      <w:pPr>
        <w:spacing w:after="0" w:line="200" w:lineRule="exact"/>
        <w:rPr>
          <w:sz w:val="20"/>
          <w:szCs w:val="20"/>
          <w:color w:val="auto"/>
        </w:rPr>
      </w:pPr>
    </w:p>
    <w:p>
      <w:pPr>
        <w:sectPr>
          <w:pgSz w:w="11900" w:h="16838" w:orient="portrait"/>
          <w:cols w:equalWidth="0" w:num="1">
            <w:col w:w="10820"/>
          </w:cols>
          <w:pgMar w:left="740" w:top="954" w:right="339" w:bottom="1440" w:gutter="0" w:footer="0" w:header="0"/>
        </w:sectPr>
      </w:pPr>
    </w:p>
    <w:p>
      <w:pPr>
        <w:spacing w:after="0" w:line="3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820"/>
          </w:cols>
          <w:pgMar w:left="740" w:top="954"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0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Emirates Gold DMCC</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Arab Emirates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Zimbabwe</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Fujairah Gold FZC</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Arab Emirates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Gold Coast Refinery</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Ghana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Heimerle + Meule GmbH</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HwaSeong CJ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5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Inner Mongolia Qiankun Gold and Silver Refinery Share</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000" w:type="dxa"/>
            <w:vAlign w:val="bottom"/>
          </w:tcPr>
          <w:p>
            <w:pPr>
              <w:spacing w:after="0"/>
              <w:rPr>
                <w:sz w:val="20"/>
                <w:szCs w:val="20"/>
                <w:color w:val="auto"/>
              </w:rPr>
            </w:pP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22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Arab Emirates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Istanbul Gold Refinery</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Turkey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Italpreziosi</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JALAN &amp; Company</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Japan Mint</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Jiangxi Copper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JSC Novosibirsk Refinery</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JSC Uralelectromed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 Rasmussen</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Norway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Kaloti Precious Metals</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Arab Emirates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Kazakhmys Smelting LLC</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Kazzinc</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Poland</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Kojima Chemicals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Korea Zinc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Kyrgyzaltyn JSC</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Kyrgyzstan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Saudi Arabia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Lingbao Gold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2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bl>
    <w:p>
      <w:pPr>
        <w:spacing w:after="0" w:line="200" w:lineRule="exact"/>
        <w:rPr>
          <w:sz w:val="20"/>
          <w:szCs w:val="20"/>
          <w:color w:val="auto"/>
        </w:rPr>
      </w:pPr>
    </w:p>
    <w:p>
      <w:pPr>
        <w:sectPr>
          <w:pgSz w:w="11900" w:h="16838" w:orient="portrait"/>
          <w:cols w:equalWidth="0" w:num="1">
            <w:col w:w="10420"/>
          </w:cols>
          <w:pgMar w:left="740" w:top="941" w:right="739" w:bottom="1440"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420"/>
          </w:cols>
          <w:pgMar w:left="740" w:top="941" w:right="7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00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L'Orfebre S.A.</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Andorra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LS-NIKKO Copper Inc.</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Korea, Republic of</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LT Metal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Korea, Republic of</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Marsam Metals</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Materion</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Matsuda Sangyo Co.,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MD Overseas</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Africa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Metallix Refining Inc.</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S.A.</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MMTC-PAMP India Pvt.,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Modeltech Sdn Bhd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Morris and Watson</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Zealand</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Russian Federation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Turkey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Uzbekistan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NH Recytech Company</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Korea, Republic of</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Nihon Material Co.,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5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Ogussa Osterreichische Gold- und Silber-Scheideanstalt</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Austria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000" w:type="dxa"/>
            <w:vAlign w:val="bottom"/>
          </w:tcPr>
          <w:p>
            <w:pPr>
              <w:spacing w:after="0"/>
              <w:rPr>
                <w:sz w:val="20"/>
                <w:szCs w:val="20"/>
                <w:color w:val="auto"/>
              </w:rPr>
            </w:pP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GmbH</w:t>
            </w:r>
          </w:p>
        </w:tc>
        <w:tc>
          <w:tcPr>
            <w:tcW w:w="23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5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OJSC "The Gulidov Krasnoyarsk Non-Ferrous Metals</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Russian Federation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34"/>
        </w:trPr>
        <w:tc>
          <w:tcPr>
            <w:tcW w:w="1000" w:type="dxa"/>
            <w:vAlign w:val="bottom"/>
          </w:tcPr>
          <w:p>
            <w:pPr>
              <w:spacing w:after="0"/>
              <w:rPr>
                <w:sz w:val="20"/>
                <w:szCs w:val="20"/>
                <w:color w:val="auto"/>
              </w:rPr>
            </w:pP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Plant" (OJSC Krastsvetmet)</w:t>
            </w:r>
          </w:p>
        </w:tc>
        <w:tc>
          <w:tcPr>
            <w:tcW w:w="23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PAMP S.A.</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Pease &amp; Curren</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Chile</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Russian Federation</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PX Precinox S.A.</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QG Refining, LLC</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Rand Refinery (Pty)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Africa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REMONDIS PMR B.V.</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Netherlands</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Royal Canadian Mint</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SAAMP</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Sabin Metal Corp.</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Safimet S.p.A</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SAFINA A.S.</w:t>
            </w: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Czechia</w:t>
            </w:r>
          </w:p>
        </w:tc>
        <w:tc>
          <w:tcPr>
            <w:tcW w:w="2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ectPr>
          <w:pgSz w:w="11900" w:h="16838" w:orient="portrait"/>
          <w:cols w:equalWidth="0" w:num="1">
            <w:col w:w="10420"/>
          </w:cols>
          <w:pgMar w:left="740" w:top="941" w:right="739" w:bottom="1440" w:gutter="0" w:footer="0" w:header="0"/>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420"/>
          </w:cols>
          <w:pgMar w:left="740" w:top="941" w:right="7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1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Sai Refinery</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Samduck Precious Metals</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Republic of</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Samwon Metals Corp.</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Republic of</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Sancus ZFS (L’Orfebre, SA)</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Colombia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Sellem Industries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Mauritania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Spain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Sovereign Metals</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5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Lithuania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34"/>
        </w:trPr>
        <w:tc>
          <w:tcPr>
            <w:tcW w:w="1120" w:type="dxa"/>
            <w:vAlign w:val="bottom"/>
          </w:tcPr>
          <w:p>
            <w:pPr>
              <w:spacing w:after="0"/>
              <w:rPr>
                <w:sz w:val="20"/>
                <w:szCs w:val="20"/>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Technology</w:t>
            </w:r>
          </w:p>
        </w:tc>
        <w:tc>
          <w:tcPr>
            <w:tcW w:w="24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Sudan Gold Refinery</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Sudan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SungEel HiMetal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Republic of</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T.C.A S.p.A</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Tokuriki Honten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TOO Tau-Ken-Altyn</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Kazakhstan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Torecom</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Republic of</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Belgium</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Valcambi S.A.</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Value Trading</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Belgium</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WEEEREFINING</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Yamakin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Yokohama Metal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AMG Brasil</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783"/>
        </w:trPr>
        <w:tc>
          <w:tcPr>
            <w:tcW w:w="1120" w:type="dxa"/>
            <w:vAlign w:val="bottom"/>
          </w:tcPr>
          <w:p>
            <w:pPr>
              <w:spacing w:after="0"/>
              <w:rPr>
                <w:sz w:val="24"/>
                <w:szCs w:val="24"/>
                <w:color w:val="auto"/>
              </w:rPr>
            </w:pPr>
          </w:p>
        </w:tc>
        <w:tc>
          <w:tcPr>
            <w:tcW w:w="46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8</w:t>
            </w:r>
          </w:p>
        </w:tc>
        <w:tc>
          <w:tcPr>
            <w:tcW w:w="24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0420"/>
          </w:cols>
          <w:pgMar w:left="740" w:top="941" w:right="7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12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Asaka Riken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 Block Metals, LLC</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H.C. Starck Hermsdorf GmbH</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Jiujiang Tanbre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KEMET de Mexico</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Materion Newton Inc.</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5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Meta Materials</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Macedonia, The Former Yugoslav</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Republic of</w:t>
            </w:r>
          </w:p>
        </w:tc>
        <w:tc>
          <w:tcPr>
            <w:tcW w:w="1960" w:type="dxa"/>
            <w:vAlign w:val="bottom"/>
          </w:tcPr>
          <w:p>
            <w:pPr>
              <w:spacing w:after="0"/>
              <w:rPr>
                <w:sz w:val="20"/>
                <w:szCs w:val="20"/>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Mineracao Taboca S.A.</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NPM Silmet AS</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Estonia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QuantumClean</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Taki Chemical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TANIOBIS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TANIOBIS GmbH</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TANIOBIS Japan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Telex Metals</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Alpha</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China Tin Group Co., Ltd.</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783"/>
        </w:trPr>
        <w:tc>
          <w:tcPr>
            <w:tcW w:w="1120" w:type="dxa"/>
            <w:vAlign w:val="bottom"/>
          </w:tcPr>
          <w:p>
            <w:pPr>
              <w:spacing w:after="0"/>
              <w:rPr>
                <w:sz w:val="24"/>
                <w:szCs w:val="24"/>
                <w:color w:val="auto"/>
              </w:rPr>
            </w:pPr>
          </w:p>
        </w:tc>
        <w:tc>
          <w:tcPr>
            <w:tcW w:w="47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9</w:t>
            </w:r>
          </w:p>
        </w:tc>
        <w:tc>
          <w:tcPr>
            <w:tcW w:w="26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420"/>
          </w:cols>
          <w:pgMar w:left="740" w:top="941" w:right="7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0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1000" w:type="dxa"/>
            <w:vAlign w:val="bottom"/>
          </w:tcPr>
          <w:p>
            <w:pPr>
              <w:spacing w:after="0"/>
              <w:rPr>
                <w:sz w:val="20"/>
                <w:szCs w:val="20"/>
                <w:color w:val="auto"/>
              </w:rPr>
            </w:pP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25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CRM Synergies</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CV Venus Inti Perkasa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Dowa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5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34"/>
        </w:trPr>
        <w:tc>
          <w:tcPr>
            <w:tcW w:w="1000" w:type="dxa"/>
            <w:vAlign w:val="bottom"/>
          </w:tcPr>
          <w:p>
            <w:pPr>
              <w:spacing w:after="0"/>
              <w:rPr>
                <w:sz w:val="20"/>
                <w:szCs w:val="20"/>
                <w:color w:val="auto"/>
              </w:rPr>
            </w:pP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25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 Vinto</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Estanho de Rondonia S.A.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Fenix Metals</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Luna Smelter,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Rwanda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Melt Metais e Ligas S.A.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Metallic Resources, Inc.</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Metallo Belgium N.V.</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Metallo Spain S.L.U.</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Mineracao Taboca S.A.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Minsur</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Modeltech Sdn Bhd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Novosibirsk Tin Combine</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Myanmar</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Artha Cipta Langgeng</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Babel Inti Perkasa</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ectPr>
          <w:pgSz w:w="11900" w:h="16838" w:orient="portrait"/>
          <w:cols w:equalWidth="0" w:num="1">
            <w:col w:w="10420"/>
          </w:cols>
          <w:pgMar w:left="740" w:top="941" w:right="7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20"/>
          </w:cols>
          <w:pgMar w:left="740" w:top="941" w:right="7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1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Bangka Serumpun</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Bukit Timah</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Cipta Persada Mulia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Menara Cipta Mulia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Mitra Stania Prima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Panca Mega Persada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Prima Timah Utama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Rajehan Ariq</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Refined Bangka Tin</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Sukses Inti Makmur</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Timah Nusantara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Timah Tbk Kundur</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Timah Tbk Mentok</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Tinindo Inter Nusa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Tirus Putra Mandiri</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PT Tommy Utama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Rui Da Hung</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Soft Metais Ltda.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Super Ligas</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Thaisarco</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Thailand</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A.L.M.T. Corp.</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ACL Metais Eireli</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7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 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Artek LLC</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Cronimet Brasil Ltda</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ectPr>
          <w:pgSz w:w="11900" w:h="16838" w:orient="portrait"/>
          <w:cols w:equalWidth="0" w:num="1">
            <w:col w:w="10420"/>
          </w:cols>
          <w:pgMar w:left="740" w:top="941" w:right="7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20"/>
          </w:cols>
          <w:pgMar w:left="740" w:top="941" w:right="7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Facility Name</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Conformance Status</w:t>
            </w:r>
          </w:p>
        </w:tc>
      </w:tr>
      <w:tr>
        <w:trPr>
          <w:trHeight w:val="27"/>
        </w:trPr>
        <w:tc>
          <w:tcPr>
            <w:tcW w:w="11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H.C. Starck Tungsten GmbH</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Hunan Chunchang Nonferrous Metals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5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120" w:type="dxa"/>
            <w:vAlign w:val="bottom"/>
          </w:tcPr>
          <w:p>
            <w:pPr>
              <w:spacing w:after="0"/>
              <w:rPr>
                <w:sz w:val="20"/>
                <w:szCs w:val="20"/>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Tungsten Products Branch</w:t>
            </w: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Hydrometallurg, JSC</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Japan New Metals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Unknown</w:t>
            </w:r>
          </w:p>
        </w:tc>
      </w:tr>
      <w:tr>
        <w:trPr>
          <w:trHeight w:val="25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7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120" w:type="dxa"/>
            <w:vAlign w:val="bottom"/>
          </w:tcPr>
          <w:p>
            <w:pPr>
              <w:spacing w:after="0"/>
              <w:rPr>
                <w:sz w:val="20"/>
                <w:szCs w:val="20"/>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Ltd.</w:t>
            </w: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Kennametal Fallon</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Kennametal Huntsville</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KGETS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Lianyou Metals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Viet Nam</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Moliren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Niagara Refining LLC</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NPP Tyazhmetprom LLC</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OOO “Technolom” 1</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OOO “Technolom” 2</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Active</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Philippines</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Germany</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Austria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Woltech Korea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Xiamen Tungsten Co., Ltd.</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5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Xinfeng Huarui Tungsten &amp; Molybdenum New Material</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120" w:type="dxa"/>
            <w:vAlign w:val="bottom"/>
          </w:tcPr>
          <w:p>
            <w:pPr>
              <w:spacing w:after="0"/>
              <w:rPr>
                <w:sz w:val="20"/>
                <w:szCs w:val="20"/>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 Ltd.</w:t>
            </w: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0420"/>
      </w:cols>
      <w:pgMar w:left="740" w:top="94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4"/>
    </w:lvl>
  </w:abstractNum>
  <w:abstractNum w:abstractNumId="4">
    <w:nsid w:val="46E87CCD"/>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2022-05-31T06:50:49Z</dcterms:created>
  <dcterms:modified xsi:type="dcterms:W3CDTF">2022-05-31T06:50:49Z</dcterms:modified>
</cp:coreProperties>
</file>