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As filed with the Securities and Exchange Commission on April 28, 2017</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333-216542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108585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AMENDMENT NO. 1</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TO</w:t>
      </w:r>
    </w:p>
    <w:p>
      <w:pPr>
        <w:jc w:val="center"/>
        <w:spacing w:after="0" w:line="237" w:lineRule="auto"/>
        <w:rPr>
          <w:sz w:val="20"/>
          <w:szCs w:val="20"/>
          <w:color w:val="auto"/>
        </w:rPr>
      </w:pPr>
      <w:r>
        <w:rPr>
          <w:rFonts w:ascii="Arial" w:cs="Arial" w:eastAsia="Arial" w:hAnsi="Arial"/>
          <w:sz w:val="32"/>
          <w:szCs w:val="32"/>
          <w:b w:val="1"/>
          <w:bCs w:val="1"/>
          <w:color w:val="auto"/>
        </w:rPr>
        <w:t>FORM S-3</w:t>
      </w:r>
    </w:p>
    <w:p>
      <w:pPr>
        <w:jc w:val="center"/>
        <w:spacing w:after="0"/>
        <w:rPr>
          <w:sz w:val="20"/>
          <w:szCs w:val="20"/>
          <w:color w:val="auto"/>
        </w:rPr>
      </w:pPr>
      <w:r>
        <w:rPr>
          <w:rFonts w:ascii="Arial" w:cs="Arial" w:eastAsia="Arial" w:hAnsi="Arial"/>
          <w:sz w:val="32"/>
          <w:szCs w:val="32"/>
          <w:b w:val="1"/>
          <w:bCs w:val="1"/>
          <w:color w:val="auto"/>
        </w:rPr>
        <w:t>REGISTRATION STATEMENT</w:t>
      </w:r>
    </w:p>
    <w:p>
      <w:pPr>
        <w:jc w:val="center"/>
        <w:spacing w:after="0" w:line="230" w:lineRule="auto"/>
        <w:rPr>
          <w:sz w:val="20"/>
          <w:szCs w:val="20"/>
          <w:color w:val="auto"/>
        </w:rPr>
      </w:pPr>
      <w:r>
        <w:rPr>
          <w:rFonts w:ascii="Arial" w:cs="Arial" w:eastAsia="Arial" w:hAnsi="Arial"/>
          <w:sz w:val="22"/>
          <w:szCs w:val="22"/>
          <w:b w:val="1"/>
          <w:bCs w:val="1"/>
          <w:i w:val="1"/>
          <w:iCs w:val="1"/>
          <w:color w:val="auto"/>
        </w:rPr>
        <w:t>Under</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1"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FLUIDIGM CORPORATION</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227965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960" w:type="dxa"/>
        <w:tblCellMar>
          <w:top w:w="0" w:type="dxa"/>
          <w:left w:w="0" w:type="dxa"/>
          <w:bottom w:w="0" w:type="dxa"/>
          <w:right w:w="0" w:type="dxa"/>
        </w:tblCellMar>
      </w:tblPr>
      <w:tr>
        <w:trPr>
          <w:trHeight w:val="212"/>
        </w:trPr>
        <w:tc>
          <w:tcPr>
            <w:tcW w:w="3920" w:type="dxa"/>
            <w:vAlign w:val="bottom"/>
          </w:tcPr>
          <w:p>
            <w:pPr>
              <w:jc w:val="center"/>
              <w:ind w:right="1982"/>
              <w:spacing w:after="0"/>
              <w:rPr>
                <w:sz w:val="20"/>
                <w:szCs w:val="20"/>
                <w:color w:val="auto"/>
              </w:rPr>
            </w:pPr>
            <w:r>
              <w:rPr>
                <w:rFonts w:ascii="Arial" w:cs="Arial" w:eastAsia="Arial" w:hAnsi="Arial"/>
                <w:sz w:val="18"/>
                <w:szCs w:val="18"/>
                <w:b w:val="1"/>
                <w:bCs w:val="1"/>
                <w:color w:val="auto"/>
                <w:w w:val="93"/>
              </w:rPr>
              <w:t>Delaware</w:t>
            </w:r>
          </w:p>
        </w:tc>
        <w:tc>
          <w:tcPr>
            <w:tcW w:w="3480" w:type="dxa"/>
            <w:vAlign w:val="bottom"/>
          </w:tcPr>
          <w:p>
            <w:pPr>
              <w:jc w:val="center"/>
              <w:ind w:left="1982"/>
              <w:spacing w:after="0"/>
              <w:rPr>
                <w:sz w:val="20"/>
                <w:szCs w:val="20"/>
                <w:color w:val="auto"/>
              </w:rPr>
            </w:pPr>
            <w:r>
              <w:rPr>
                <w:rFonts w:ascii="Arial" w:cs="Arial" w:eastAsia="Arial" w:hAnsi="Arial"/>
                <w:sz w:val="18"/>
                <w:szCs w:val="18"/>
                <w:b w:val="1"/>
                <w:bCs w:val="1"/>
                <w:color w:val="auto"/>
                <w:w w:val="89"/>
              </w:rPr>
              <w:t>77-0513190</w:t>
            </w:r>
          </w:p>
        </w:tc>
      </w:tr>
      <w:tr>
        <w:trPr>
          <w:trHeight w:val="149"/>
        </w:trPr>
        <w:tc>
          <w:tcPr>
            <w:tcW w:w="3920" w:type="dxa"/>
            <w:vAlign w:val="bottom"/>
          </w:tcPr>
          <w:p>
            <w:pPr>
              <w:jc w:val="center"/>
              <w:ind w:right="1962"/>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480" w:type="dxa"/>
            <w:vAlign w:val="bottom"/>
          </w:tcPr>
          <w:p>
            <w:pPr>
              <w:jc w:val="center"/>
              <w:ind w:left="2002"/>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3920" w:type="dxa"/>
            <w:vAlign w:val="bottom"/>
          </w:tcPr>
          <w:p>
            <w:pPr>
              <w:jc w:val="center"/>
              <w:ind w:right="1962"/>
              <w:spacing w:after="0"/>
              <w:rPr>
                <w:sz w:val="20"/>
                <w:szCs w:val="20"/>
                <w:color w:val="auto"/>
              </w:rPr>
            </w:pPr>
            <w:r>
              <w:rPr>
                <w:rFonts w:ascii="Arial" w:cs="Arial" w:eastAsia="Arial" w:hAnsi="Arial"/>
                <w:sz w:val="14"/>
                <w:szCs w:val="14"/>
                <w:b w:val="1"/>
                <w:bCs w:val="1"/>
                <w:color w:val="auto"/>
                <w:w w:val="94"/>
              </w:rPr>
              <w:t>incorporation or organization)</w:t>
            </w:r>
          </w:p>
        </w:tc>
        <w:tc>
          <w:tcPr>
            <w:tcW w:w="3480" w:type="dxa"/>
            <w:vAlign w:val="bottom"/>
          </w:tcPr>
          <w:p>
            <w:pPr>
              <w:jc w:val="center"/>
              <w:ind w:left="1982"/>
              <w:spacing w:after="0"/>
              <w:rPr>
                <w:sz w:val="20"/>
                <w:szCs w:val="20"/>
                <w:color w:val="auto"/>
              </w:rPr>
            </w:pPr>
            <w:r>
              <w:rPr>
                <w:rFonts w:ascii="Arial" w:cs="Arial" w:eastAsia="Arial" w:hAnsi="Arial"/>
                <w:sz w:val="14"/>
                <w:szCs w:val="14"/>
                <w:b w:val="1"/>
                <w:bCs w:val="1"/>
                <w:color w:val="auto"/>
                <w:w w:val="95"/>
              </w:rPr>
              <w:t>Identification Number)</w:t>
            </w:r>
          </w:p>
        </w:tc>
      </w:tr>
    </w:tbl>
    <w:p>
      <w:pPr>
        <w:spacing w:after="0" w:line="19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7000 Shoreline Court, Suite 100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South San Francisco, CA 94080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(650) 266-6000</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Stephen Christopher Linthwaite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President and Chief Executive Officer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7000 Shoreline Court, Suite 100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South San Francisco, CA 94080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(650) 266-6000</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227965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tbl>
      <w:tblPr>
        <w:tblLayout w:type="fixed"/>
        <w:tblInd w:w="1340" w:type="dxa"/>
        <w:tblCellMar>
          <w:top w:w="0" w:type="dxa"/>
          <w:left w:w="0" w:type="dxa"/>
          <w:bottom w:w="0" w:type="dxa"/>
          <w:right w:w="0" w:type="dxa"/>
        </w:tblCellMar>
      </w:tblPr>
      <w:tr>
        <w:trPr>
          <w:trHeight w:val="230"/>
        </w:trPr>
        <w:tc>
          <w:tcPr>
            <w:tcW w:w="3560" w:type="dxa"/>
            <w:vAlign w:val="bottom"/>
          </w:tcPr>
          <w:p>
            <w:pPr>
              <w:spacing w:after="0"/>
              <w:rPr>
                <w:sz w:val="20"/>
                <w:szCs w:val="20"/>
                <w:color w:val="auto"/>
              </w:rPr>
            </w:pPr>
          </w:p>
        </w:tc>
        <w:tc>
          <w:tcPr>
            <w:tcW w:w="5080" w:type="dxa"/>
            <w:vAlign w:val="bottom"/>
          </w:tcPr>
          <w:p>
            <w:pPr>
              <w:ind w:left="440"/>
              <w:spacing w:after="0"/>
              <w:rPr>
                <w:sz w:val="20"/>
                <w:szCs w:val="20"/>
                <w:color w:val="auto"/>
              </w:rPr>
            </w:pPr>
            <w:r>
              <w:rPr>
                <w:rFonts w:ascii="Arial" w:cs="Arial" w:eastAsia="Arial" w:hAnsi="Arial"/>
                <w:sz w:val="18"/>
                <w:szCs w:val="18"/>
                <w:b w:val="1"/>
                <w:bCs w:val="1"/>
                <w:i w:val="1"/>
                <w:iCs w:val="1"/>
                <w:color w:val="auto"/>
              </w:rPr>
              <w:t>Copies to:</w:t>
            </w:r>
          </w:p>
        </w:tc>
      </w:tr>
      <w:tr>
        <w:trPr>
          <w:trHeight w:val="441"/>
        </w:trPr>
        <w:tc>
          <w:tcPr>
            <w:tcW w:w="3560" w:type="dxa"/>
            <w:vAlign w:val="bottom"/>
          </w:tcPr>
          <w:p>
            <w:pPr>
              <w:jc w:val="center"/>
              <w:ind w:right="370"/>
              <w:spacing w:after="0"/>
              <w:rPr>
                <w:sz w:val="20"/>
                <w:szCs w:val="20"/>
                <w:color w:val="auto"/>
              </w:rPr>
            </w:pPr>
            <w:r>
              <w:rPr>
                <w:rFonts w:ascii="Arial" w:cs="Arial" w:eastAsia="Arial" w:hAnsi="Arial"/>
                <w:sz w:val="18"/>
                <w:szCs w:val="18"/>
                <w:b w:val="1"/>
                <w:bCs w:val="1"/>
                <w:color w:val="auto"/>
                <w:w w:val="90"/>
              </w:rPr>
              <w:t>Nicholas Khadder</w:t>
            </w:r>
          </w:p>
        </w:tc>
        <w:tc>
          <w:tcPr>
            <w:tcW w:w="5080" w:type="dxa"/>
            <w:vAlign w:val="bottom"/>
          </w:tcPr>
          <w:p>
            <w:pPr>
              <w:jc w:val="center"/>
              <w:ind w:left="2330"/>
              <w:spacing w:after="0"/>
              <w:rPr>
                <w:sz w:val="20"/>
                <w:szCs w:val="20"/>
                <w:color w:val="auto"/>
              </w:rPr>
            </w:pPr>
            <w:r>
              <w:rPr>
                <w:rFonts w:ascii="Arial" w:cs="Arial" w:eastAsia="Arial" w:hAnsi="Arial"/>
                <w:sz w:val="18"/>
                <w:szCs w:val="18"/>
                <w:b w:val="1"/>
                <w:bCs w:val="1"/>
                <w:color w:val="auto"/>
                <w:w w:val="92"/>
              </w:rPr>
              <w:t>Robert F. Kornegay</w:t>
            </w:r>
          </w:p>
        </w:tc>
      </w:tr>
      <w:tr>
        <w:trPr>
          <w:trHeight w:val="216"/>
        </w:trPr>
        <w:tc>
          <w:tcPr>
            <w:tcW w:w="3560" w:type="dxa"/>
            <w:vAlign w:val="bottom"/>
          </w:tcPr>
          <w:p>
            <w:pPr>
              <w:jc w:val="center"/>
              <w:ind w:right="370"/>
              <w:spacing w:after="0"/>
              <w:rPr>
                <w:sz w:val="20"/>
                <w:szCs w:val="20"/>
                <w:color w:val="auto"/>
              </w:rPr>
            </w:pPr>
            <w:r>
              <w:rPr>
                <w:rFonts w:ascii="Arial" w:cs="Arial" w:eastAsia="Arial" w:hAnsi="Arial"/>
                <w:sz w:val="18"/>
                <w:szCs w:val="18"/>
                <w:b w:val="1"/>
                <w:bCs w:val="1"/>
                <w:color w:val="auto"/>
                <w:w w:val="89"/>
              </w:rPr>
              <w:t>Senior Vice President, General Counsel,</w:t>
            </w:r>
          </w:p>
        </w:tc>
        <w:tc>
          <w:tcPr>
            <w:tcW w:w="5080" w:type="dxa"/>
            <w:vAlign w:val="bottom"/>
          </w:tcPr>
          <w:p>
            <w:pPr>
              <w:jc w:val="center"/>
              <w:ind w:left="2330"/>
              <w:spacing w:after="0"/>
              <w:rPr>
                <w:sz w:val="20"/>
                <w:szCs w:val="20"/>
                <w:color w:val="auto"/>
              </w:rPr>
            </w:pPr>
            <w:r>
              <w:rPr>
                <w:rFonts w:ascii="Arial" w:cs="Arial" w:eastAsia="Arial" w:hAnsi="Arial"/>
                <w:sz w:val="18"/>
                <w:szCs w:val="18"/>
                <w:b w:val="1"/>
                <w:bCs w:val="1"/>
                <w:color w:val="auto"/>
                <w:w w:val="91"/>
              </w:rPr>
              <w:t>Wilson Sonsini Goodrich &amp; Rosati</w:t>
            </w:r>
          </w:p>
        </w:tc>
      </w:tr>
      <w:tr>
        <w:trPr>
          <w:trHeight w:val="216"/>
        </w:trPr>
        <w:tc>
          <w:tcPr>
            <w:tcW w:w="3560" w:type="dxa"/>
            <w:vAlign w:val="bottom"/>
          </w:tcPr>
          <w:p>
            <w:pPr>
              <w:jc w:val="center"/>
              <w:ind w:right="370"/>
              <w:spacing w:after="0"/>
              <w:rPr>
                <w:sz w:val="20"/>
                <w:szCs w:val="20"/>
                <w:color w:val="auto"/>
              </w:rPr>
            </w:pPr>
            <w:r>
              <w:rPr>
                <w:rFonts w:ascii="Arial" w:cs="Arial" w:eastAsia="Arial" w:hAnsi="Arial"/>
                <w:sz w:val="18"/>
                <w:szCs w:val="18"/>
                <w:b w:val="1"/>
                <w:bCs w:val="1"/>
                <w:color w:val="auto"/>
                <w:w w:val="91"/>
              </w:rPr>
              <w:t>Chief Compliance Officer and Secretary</w:t>
            </w:r>
          </w:p>
        </w:tc>
        <w:tc>
          <w:tcPr>
            <w:tcW w:w="5080" w:type="dxa"/>
            <w:vAlign w:val="bottom"/>
          </w:tcPr>
          <w:p>
            <w:pPr>
              <w:jc w:val="center"/>
              <w:ind w:left="2330"/>
              <w:spacing w:after="0"/>
              <w:rPr>
                <w:sz w:val="20"/>
                <w:szCs w:val="20"/>
                <w:color w:val="auto"/>
              </w:rPr>
            </w:pPr>
            <w:r>
              <w:rPr>
                <w:rFonts w:ascii="Arial" w:cs="Arial" w:eastAsia="Arial" w:hAnsi="Arial"/>
                <w:sz w:val="18"/>
                <w:szCs w:val="18"/>
                <w:b w:val="1"/>
                <w:bCs w:val="1"/>
                <w:color w:val="auto"/>
                <w:w w:val="89"/>
              </w:rPr>
              <w:t>Professional Corporation</w:t>
            </w:r>
          </w:p>
        </w:tc>
      </w:tr>
      <w:tr>
        <w:trPr>
          <w:trHeight w:val="216"/>
        </w:trPr>
        <w:tc>
          <w:tcPr>
            <w:tcW w:w="3560" w:type="dxa"/>
            <w:vAlign w:val="bottom"/>
          </w:tcPr>
          <w:p>
            <w:pPr>
              <w:jc w:val="center"/>
              <w:ind w:right="370"/>
              <w:spacing w:after="0"/>
              <w:rPr>
                <w:sz w:val="20"/>
                <w:szCs w:val="20"/>
                <w:color w:val="auto"/>
              </w:rPr>
            </w:pPr>
            <w:r>
              <w:rPr>
                <w:rFonts w:ascii="Arial" w:cs="Arial" w:eastAsia="Arial" w:hAnsi="Arial"/>
                <w:sz w:val="18"/>
                <w:szCs w:val="18"/>
                <w:b w:val="1"/>
                <w:bCs w:val="1"/>
                <w:color w:val="auto"/>
                <w:w w:val="89"/>
              </w:rPr>
              <w:t>7000 Shoreline Court, Suite 100</w:t>
            </w:r>
          </w:p>
        </w:tc>
        <w:tc>
          <w:tcPr>
            <w:tcW w:w="5080" w:type="dxa"/>
            <w:vAlign w:val="bottom"/>
          </w:tcPr>
          <w:p>
            <w:pPr>
              <w:jc w:val="center"/>
              <w:ind w:left="2330"/>
              <w:spacing w:after="0"/>
              <w:rPr>
                <w:sz w:val="20"/>
                <w:szCs w:val="20"/>
                <w:color w:val="auto"/>
              </w:rPr>
            </w:pPr>
            <w:r>
              <w:rPr>
                <w:rFonts w:ascii="Arial" w:cs="Arial" w:eastAsia="Arial" w:hAnsi="Arial"/>
                <w:sz w:val="18"/>
                <w:szCs w:val="18"/>
                <w:b w:val="1"/>
                <w:bCs w:val="1"/>
                <w:color w:val="auto"/>
                <w:w w:val="91"/>
              </w:rPr>
              <w:t>650 Page Mill Road</w:t>
            </w:r>
          </w:p>
        </w:tc>
      </w:tr>
      <w:tr>
        <w:trPr>
          <w:trHeight w:val="216"/>
        </w:trPr>
        <w:tc>
          <w:tcPr>
            <w:tcW w:w="3560" w:type="dxa"/>
            <w:vAlign w:val="bottom"/>
          </w:tcPr>
          <w:p>
            <w:pPr>
              <w:jc w:val="center"/>
              <w:ind w:right="370"/>
              <w:spacing w:after="0"/>
              <w:rPr>
                <w:sz w:val="20"/>
                <w:szCs w:val="20"/>
                <w:color w:val="auto"/>
              </w:rPr>
            </w:pPr>
            <w:r>
              <w:rPr>
                <w:rFonts w:ascii="Arial" w:cs="Arial" w:eastAsia="Arial" w:hAnsi="Arial"/>
                <w:sz w:val="18"/>
                <w:szCs w:val="18"/>
                <w:b w:val="1"/>
                <w:bCs w:val="1"/>
                <w:color w:val="auto"/>
                <w:w w:val="89"/>
              </w:rPr>
              <w:t>South San Francisco, CA 94080</w:t>
            </w:r>
          </w:p>
        </w:tc>
        <w:tc>
          <w:tcPr>
            <w:tcW w:w="5080" w:type="dxa"/>
            <w:vAlign w:val="bottom"/>
          </w:tcPr>
          <w:p>
            <w:pPr>
              <w:jc w:val="center"/>
              <w:ind w:left="2350"/>
              <w:spacing w:after="0"/>
              <w:rPr>
                <w:sz w:val="20"/>
                <w:szCs w:val="20"/>
                <w:color w:val="auto"/>
              </w:rPr>
            </w:pPr>
            <w:r>
              <w:rPr>
                <w:rFonts w:ascii="Arial" w:cs="Arial" w:eastAsia="Arial" w:hAnsi="Arial"/>
                <w:sz w:val="18"/>
                <w:szCs w:val="18"/>
                <w:b w:val="1"/>
                <w:bCs w:val="1"/>
                <w:color w:val="auto"/>
                <w:w w:val="92"/>
              </w:rPr>
              <w:t>Palo Alto, CA 94304</w:t>
            </w:r>
          </w:p>
        </w:tc>
      </w:tr>
      <w:tr>
        <w:trPr>
          <w:trHeight w:val="234"/>
        </w:trPr>
        <w:tc>
          <w:tcPr>
            <w:tcW w:w="3560" w:type="dxa"/>
            <w:vAlign w:val="bottom"/>
          </w:tcPr>
          <w:p>
            <w:pPr>
              <w:jc w:val="center"/>
              <w:ind w:right="370"/>
              <w:spacing w:after="0"/>
              <w:rPr>
                <w:sz w:val="20"/>
                <w:szCs w:val="20"/>
                <w:color w:val="auto"/>
              </w:rPr>
            </w:pPr>
            <w:r>
              <w:rPr>
                <w:rFonts w:ascii="Arial" w:cs="Arial" w:eastAsia="Arial" w:hAnsi="Arial"/>
                <w:sz w:val="18"/>
                <w:szCs w:val="18"/>
                <w:b w:val="1"/>
                <w:bCs w:val="1"/>
                <w:color w:val="auto"/>
                <w:w w:val="90"/>
              </w:rPr>
              <w:t>Telephone: (650) 266-6000</w:t>
            </w:r>
          </w:p>
        </w:tc>
        <w:tc>
          <w:tcPr>
            <w:tcW w:w="5080" w:type="dxa"/>
            <w:vAlign w:val="bottom"/>
          </w:tcPr>
          <w:p>
            <w:pPr>
              <w:jc w:val="center"/>
              <w:ind w:left="2330"/>
              <w:spacing w:after="0"/>
              <w:rPr>
                <w:sz w:val="20"/>
                <w:szCs w:val="20"/>
                <w:color w:val="auto"/>
              </w:rPr>
            </w:pPr>
            <w:r>
              <w:rPr>
                <w:rFonts w:ascii="Arial" w:cs="Arial" w:eastAsia="Arial" w:hAnsi="Arial"/>
                <w:sz w:val="18"/>
                <w:szCs w:val="18"/>
                <w:b w:val="1"/>
                <w:bCs w:val="1"/>
                <w:color w:val="auto"/>
                <w:w w:val="92"/>
              </w:rPr>
              <w:t>(650) 493-9300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222885</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2" w:lineRule="exact"/>
        <w:rPr>
          <w:sz w:val="24"/>
          <w:szCs w:val="24"/>
          <w:color w:val="auto"/>
        </w:rPr>
      </w:pPr>
    </w:p>
    <w:p>
      <w:pPr>
        <w:ind w:left="460"/>
        <w:spacing w:after="0"/>
        <w:rPr>
          <w:sz w:val="20"/>
          <w:szCs w:val="20"/>
          <w:color w:val="auto"/>
        </w:rPr>
      </w:pPr>
      <w:r>
        <w:rPr>
          <w:rFonts w:ascii="Arial" w:cs="Arial" w:eastAsia="Arial" w:hAnsi="Arial"/>
          <w:sz w:val="16"/>
          <w:szCs w:val="16"/>
          <w:b w:val="1"/>
          <w:bCs w:val="1"/>
          <w:color w:val="auto"/>
        </w:rPr>
        <w:t>Approximate date of commencement of proposed sale to the public: From time to time after the effective date of this registration statement.</w:t>
      </w:r>
    </w:p>
    <w:p>
      <w:pPr>
        <w:spacing w:after="0" w:line="252" w:lineRule="exact"/>
        <w:rPr>
          <w:sz w:val="24"/>
          <w:szCs w:val="24"/>
          <w:color w:val="auto"/>
        </w:rPr>
      </w:pPr>
    </w:p>
    <w:p>
      <w:pPr>
        <w:ind w:right="340" w:firstLine="456"/>
        <w:spacing w:after="0" w:line="233" w:lineRule="exact"/>
        <w:rPr>
          <w:sz w:val="20"/>
          <w:szCs w:val="20"/>
          <w:color w:val="auto"/>
        </w:rPr>
      </w:pPr>
      <w:r>
        <w:rPr>
          <w:rFonts w:ascii="Arial" w:cs="Arial" w:eastAsia="Arial" w:hAnsi="Arial"/>
          <w:sz w:val="18"/>
          <w:szCs w:val="18"/>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8"/>
          <w:szCs w:val="18"/>
          <w:color w:val="auto"/>
        </w:rPr>
        <w:t>☐</w:t>
      </w:r>
    </w:p>
    <w:p>
      <w:pPr>
        <w:spacing w:after="0" w:line="183" w:lineRule="exact"/>
        <w:rPr>
          <w:sz w:val="24"/>
          <w:szCs w:val="24"/>
          <w:color w:val="auto"/>
        </w:rPr>
      </w:pPr>
    </w:p>
    <w:p>
      <w:pPr>
        <w:ind w:right="40" w:firstLine="456"/>
        <w:spacing w:after="0" w:line="233" w:lineRule="exact"/>
        <w:rPr>
          <w:sz w:val="20"/>
          <w:szCs w:val="20"/>
          <w:color w:val="auto"/>
        </w:rPr>
      </w:pPr>
      <w:r>
        <w:rPr>
          <w:rFonts w:ascii="Arial" w:cs="Arial" w:eastAsia="Arial" w:hAnsi="Arial"/>
          <w:sz w:val="18"/>
          <w:szCs w:val="18"/>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8"/>
          <w:szCs w:val="18"/>
          <w:color w:val="auto"/>
        </w:rPr>
        <w:t>☒</w:t>
      </w:r>
    </w:p>
    <w:p>
      <w:pPr>
        <w:spacing w:after="0" w:line="183" w:lineRule="exact"/>
        <w:rPr>
          <w:sz w:val="24"/>
          <w:szCs w:val="24"/>
          <w:color w:val="auto"/>
        </w:rPr>
      </w:pPr>
    </w:p>
    <w:p>
      <w:pPr>
        <w:ind w:right="40" w:firstLine="456"/>
        <w:spacing w:after="0" w:line="233" w:lineRule="exact"/>
        <w:rPr>
          <w:sz w:val="20"/>
          <w:szCs w:val="20"/>
          <w:color w:val="auto"/>
        </w:rPr>
      </w:pPr>
      <w:r>
        <w:rPr>
          <w:rFonts w:ascii="Arial" w:cs="Arial" w:eastAsia="Arial" w:hAnsi="Arial"/>
          <w:sz w:val="18"/>
          <w:szCs w:val="18"/>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83" w:lineRule="exact"/>
        <w:rPr>
          <w:sz w:val="24"/>
          <w:szCs w:val="24"/>
          <w:color w:val="auto"/>
        </w:rPr>
      </w:pPr>
    </w:p>
    <w:p>
      <w:pPr>
        <w:ind w:right="260" w:firstLine="456"/>
        <w:spacing w:after="0" w:line="233" w:lineRule="exact"/>
        <w:rPr>
          <w:sz w:val="20"/>
          <w:szCs w:val="20"/>
          <w:color w:val="auto"/>
        </w:rPr>
      </w:pPr>
      <w:r>
        <w:rPr>
          <w:rFonts w:ascii="Arial" w:cs="Arial" w:eastAsia="Arial" w:hAnsi="Arial"/>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83" w:lineRule="exact"/>
        <w:rPr>
          <w:sz w:val="24"/>
          <w:szCs w:val="24"/>
          <w:color w:val="auto"/>
        </w:rPr>
      </w:pPr>
    </w:p>
    <w:p>
      <w:pPr>
        <w:ind w:right="440" w:firstLine="456"/>
        <w:spacing w:after="0" w:line="233" w:lineRule="exact"/>
        <w:rPr>
          <w:sz w:val="20"/>
          <w:szCs w:val="20"/>
          <w:color w:val="auto"/>
        </w:rPr>
      </w:pPr>
      <w:r>
        <w:rPr>
          <w:rFonts w:ascii="Arial" w:cs="Arial" w:eastAsia="Arial" w:hAnsi="Arial"/>
          <w:sz w:val="18"/>
          <w:szCs w:val="18"/>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8"/>
          <w:szCs w:val="18"/>
          <w:color w:val="auto"/>
        </w:rPr>
        <w:t>☐</w:t>
      </w:r>
    </w:p>
    <w:p>
      <w:pPr>
        <w:sectPr>
          <w:pgSz w:w="11900" w:h="16838" w:orient="portrait"/>
          <w:cols w:equalWidth="0" w:num="1">
            <w:col w:w="11420"/>
          </w:cols>
          <w:pgMar w:left="240" w:top="229" w:right="239" w:bottom="138" w:gutter="0" w:footer="0" w:header="0"/>
        </w:sectPr>
      </w:pPr>
    </w:p>
    <w:bookmarkStart w:id="1" w:name="page2"/>
    <w:bookmarkEnd w:id="1"/>
    <w:p>
      <w:pPr>
        <w:ind w:right="160" w:firstLine="456"/>
        <w:spacing w:after="0" w:line="233" w:lineRule="exact"/>
        <w:rPr>
          <w:sz w:val="20"/>
          <w:szCs w:val="20"/>
          <w:color w:val="auto"/>
        </w:rPr>
      </w:pPr>
      <w:r>
        <w:rPr>
          <w:rFonts w:ascii="Arial" w:cs="Arial" w:eastAsia="Arial" w:hAnsi="Arial"/>
          <w:sz w:val="18"/>
          <w:szCs w:val="18"/>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8"/>
          <w:szCs w:val="18"/>
          <w:color w:val="auto"/>
        </w:rPr>
        <w:t>☐</w:t>
      </w:r>
    </w:p>
    <w:p>
      <w:pPr>
        <w:spacing w:after="0" w:line="183" w:lineRule="exact"/>
        <w:rPr>
          <w:sz w:val="20"/>
          <w:szCs w:val="20"/>
          <w:color w:val="auto"/>
        </w:rPr>
      </w:pPr>
    </w:p>
    <w:p>
      <w:pPr>
        <w:jc w:val="both"/>
        <w:ind w:right="60" w:firstLine="456"/>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ectPr>
          <w:pgSz w:w="11900" w:h="16838" w:orient="portrait"/>
          <w:cols w:equalWidth="0" w:num="1">
            <w:col w:w="11420"/>
          </w:cols>
          <w:pgMar w:left="240" w:top="125" w:right="239" w:bottom="1440" w:gutter="0" w:footer="0" w:header="0"/>
        </w:sectPr>
      </w:pP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Large accelerated filer</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color w:val="auto"/>
        </w:rPr>
        <w:t>Accelerated filer</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64" w:lineRule="exact"/>
        <w:rPr>
          <w:sz w:val="20"/>
          <w:szCs w:val="20"/>
          <w:color w:val="auto"/>
        </w:rPr>
      </w:pPr>
    </w:p>
    <w:p>
      <w:pPr>
        <w:sectPr>
          <w:pgSz w:w="11900" w:h="16838" w:orient="portrait"/>
          <w:cols w:equalWidth="0" w:num="4">
            <w:col w:w="1620" w:space="300"/>
            <w:col w:w="6220" w:space="720"/>
            <w:col w:w="1680" w:space="720"/>
            <w:col w:w="160"/>
          </w:cols>
          <w:pgMar w:left="240" w:top="125" w:right="239" w:bottom="1440" w:gutter="0" w:footer="0" w:header="0"/>
          <w:type w:val="continuous"/>
        </w:sectPr>
      </w:pPr>
    </w:p>
    <w:p>
      <w:pPr>
        <w:spacing w:after="0" w:line="33" w:lineRule="exact"/>
        <w:rPr>
          <w:sz w:val="20"/>
          <w:szCs w:val="20"/>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0"/>
          <w:szCs w:val="20"/>
          <w:color w:val="auto"/>
        </w:rPr>
      </w:pPr>
      <w:r>
        <w:rPr>
          <w:sz w:val="20"/>
          <w:szCs w:val="20"/>
          <w:color w:val="auto"/>
        </w:rPr>
        <w:br w:type="column"/>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63" w:lineRule="exact"/>
        <w:rPr>
          <w:sz w:val="20"/>
          <w:szCs w:val="20"/>
          <w:color w:val="auto"/>
        </w:rPr>
      </w:pPr>
    </w:p>
    <w:p>
      <w:pPr>
        <w:sectPr>
          <w:pgSz w:w="11900" w:h="16838" w:orient="portrait"/>
          <w:cols w:equalWidth="0" w:num="5">
            <w:col w:w="1540" w:space="380"/>
            <w:col w:w="160" w:space="100"/>
            <w:col w:w="5960" w:space="720"/>
            <w:col w:w="1980" w:space="420"/>
            <w:col w:w="160"/>
          </w:cols>
          <w:pgMar w:left="240" w:top="125" w:right="239" w:bottom="1440" w:gutter="0" w:footer="0" w:header="0"/>
          <w:type w:val="continuous"/>
        </w:sectPr>
      </w:pPr>
    </w:p>
    <w:p>
      <w:pPr>
        <w:spacing w:after="0" w:line="33" w:lineRule="exact"/>
        <w:rPr>
          <w:sz w:val="20"/>
          <w:szCs w:val="20"/>
          <w:color w:val="auto"/>
        </w:rPr>
      </w:pPr>
    </w:p>
    <w:p>
      <w:pPr>
        <w:spacing w:after="0"/>
        <w:rPr>
          <w:sz w:val="20"/>
          <w:szCs w:val="20"/>
          <w:color w:val="auto"/>
        </w:rPr>
      </w:pPr>
      <w:r>
        <w:rPr>
          <w:rFonts w:ascii="Arial" w:cs="Arial" w:eastAsia="Arial" w:hAnsi="Arial"/>
          <w:sz w:val="16"/>
          <w:szCs w:val="16"/>
          <w:color w:val="auto"/>
        </w:rPr>
        <w:t>Emerging growth company</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56" w:lineRule="exact"/>
        <w:rPr>
          <w:sz w:val="20"/>
          <w:szCs w:val="20"/>
          <w:color w:val="auto"/>
        </w:rPr>
      </w:pPr>
    </w:p>
    <w:p>
      <w:pPr>
        <w:sectPr>
          <w:pgSz w:w="11900" w:h="16838" w:orient="portrait"/>
          <w:cols w:equalWidth="0" w:num="2">
            <w:col w:w="1980" w:space="420"/>
            <w:col w:w="9020"/>
          </w:cols>
          <w:pgMar w:left="240" w:top="125" w:right="239" w:bottom="1440" w:gutter="0" w:footer="0" w:header="0"/>
          <w:type w:val="continuous"/>
        </w:sectPr>
      </w:pPr>
    </w:p>
    <w:p>
      <w:pPr>
        <w:spacing w:after="0" w:line="48" w:lineRule="exact"/>
        <w:rPr>
          <w:sz w:val="20"/>
          <w:szCs w:val="20"/>
          <w:color w:val="auto"/>
        </w:rPr>
      </w:pPr>
    </w:p>
    <w:p>
      <w:pPr>
        <w:ind w:right="38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210820</wp:posOffset>
            </wp:positionV>
            <wp:extent cx="15176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CALCULATION OF REGISTRATION FEE</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1140" w:type="dxa"/>
            <w:vAlign w:val="bottom"/>
            <w:tcBorders>
              <w:top w:val="single" w:sz="8" w:color="auto"/>
              <w:bottom w:val="single" w:sz="8" w:color="auto"/>
            </w:tcBorders>
          </w:tcPr>
          <w:p>
            <w:pPr>
              <w:spacing w:after="0"/>
              <w:rPr>
                <w:sz w:val="3"/>
                <w:szCs w:val="3"/>
                <w:color w:val="auto"/>
              </w:rPr>
            </w:pPr>
          </w:p>
        </w:tc>
        <w:tc>
          <w:tcPr>
            <w:tcW w:w="3900" w:type="dxa"/>
            <w:vAlign w:val="bottom"/>
            <w:tcBorders>
              <w:top w:val="single" w:sz="8" w:color="auto"/>
              <w:bottom w:val="single" w:sz="8" w:color="auto"/>
            </w:tcBorders>
          </w:tcPr>
          <w:p>
            <w:pPr>
              <w:spacing w:after="0"/>
              <w:rPr>
                <w:sz w:val="3"/>
                <w:szCs w:val="3"/>
                <w:color w:val="auto"/>
              </w:rPr>
            </w:pPr>
          </w:p>
        </w:tc>
        <w:tc>
          <w:tcPr>
            <w:tcW w:w="1600" w:type="dxa"/>
            <w:vAlign w:val="bottom"/>
            <w:tcBorders>
              <w:top w:val="single" w:sz="8" w:color="auto"/>
              <w:bottom w:val="single" w:sz="8" w:color="auto"/>
            </w:tcBorders>
          </w:tcPr>
          <w:p>
            <w:pPr>
              <w:spacing w:after="0"/>
              <w:rPr>
                <w:sz w:val="3"/>
                <w:szCs w:val="3"/>
                <w:color w:val="auto"/>
              </w:rPr>
            </w:pPr>
          </w:p>
        </w:tc>
        <w:tc>
          <w:tcPr>
            <w:tcW w:w="1600" w:type="dxa"/>
            <w:vAlign w:val="bottom"/>
            <w:tcBorders>
              <w:top w:val="single" w:sz="8" w:color="auto"/>
              <w:bottom w:val="single" w:sz="8" w:color="auto"/>
            </w:tcBorders>
          </w:tcPr>
          <w:p>
            <w:pPr>
              <w:spacing w:after="0"/>
              <w:rPr>
                <w:sz w:val="3"/>
                <w:szCs w:val="3"/>
                <w:color w:val="auto"/>
              </w:rPr>
            </w:pPr>
          </w:p>
        </w:tc>
        <w:tc>
          <w:tcPr>
            <w:tcW w:w="1600" w:type="dxa"/>
            <w:vAlign w:val="bottom"/>
            <w:tcBorders>
              <w:top w:val="single" w:sz="8" w:color="auto"/>
              <w:bottom w:val="single" w:sz="8" w:color="auto"/>
            </w:tcBorders>
          </w:tcPr>
          <w:p>
            <w:pPr>
              <w:spacing w:after="0"/>
              <w:rPr>
                <w:sz w:val="3"/>
                <w:szCs w:val="3"/>
                <w:color w:val="auto"/>
              </w:rPr>
            </w:pPr>
          </w:p>
        </w:tc>
        <w:tc>
          <w:tcPr>
            <w:tcW w:w="1560" w:type="dxa"/>
            <w:vAlign w:val="bottom"/>
            <w:tcBorders>
              <w:top w:val="single" w:sz="8" w:color="auto"/>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3900" w:type="dxa"/>
            <w:vAlign w:val="bottom"/>
            <w:tcBorders>
              <w:right w:val="single" w:sz="8" w:color="auto"/>
            </w:tcBorders>
          </w:tcPr>
          <w:p>
            <w:pPr>
              <w:spacing w:after="0"/>
              <w:rPr>
                <w:sz w:val="9"/>
                <w:szCs w:val="9"/>
                <w:color w:val="auto"/>
              </w:rPr>
            </w:pPr>
          </w:p>
        </w:tc>
        <w:tc>
          <w:tcPr>
            <w:tcW w:w="16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4"/>
              </w:rPr>
              <w:t>Amount</w:t>
            </w:r>
          </w:p>
        </w:tc>
        <w:tc>
          <w:tcPr>
            <w:tcW w:w="1600" w:type="dxa"/>
            <w:vAlign w:val="bottom"/>
            <w:tcBorders>
              <w:right w:val="single" w:sz="8" w:color="auto"/>
            </w:tcBorders>
          </w:tcPr>
          <w:p>
            <w:pPr>
              <w:jc w:val="center"/>
              <w:ind w:left="31"/>
              <w:spacing w:after="0" w:line="106" w:lineRule="exact"/>
              <w:rPr>
                <w:sz w:val="20"/>
                <w:szCs w:val="20"/>
                <w:color w:val="auto"/>
              </w:rPr>
            </w:pPr>
            <w:r>
              <w:rPr>
                <w:rFonts w:ascii="Arial" w:cs="Arial" w:eastAsia="Arial" w:hAnsi="Arial"/>
                <w:sz w:val="12"/>
                <w:szCs w:val="12"/>
                <w:b w:val="1"/>
                <w:bCs w:val="1"/>
                <w:color w:val="auto"/>
              </w:rPr>
              <w:t>Proposed</w:t>
            </w:r>
          </w:p>
        </w:tc>
        <w:tc>
          <w:tcPr>
            <w:tcW w:w="1600" w:type="dxa"/>
            <w:vAlign w:val="bottom"/>
            <w:tcBorders>
              <w:right w:val="single" w:sz="8" w:color="auto"/>
            </w:tcBorders>
          </w:tcPr>
          <w:p>
            <w:pPr>
              <w:jc w:val="center"/>
              <w:ind w:left="26"/>
              <w:spacing w:after="0" w:line="106" w:lineRule="exact"/>
              <w:rPr>
                <w:sz w:val="20"/>
                <w:szCs w:val="20"/>
                <w:color w:val="auto"/>
              </w:rPr>
            </w:pPr>
            <w:r>
              <w:rPr>
                <w:rFonts w:ascii="Arial" w:cs="Arial" w:eastAsia="Arial" w:hAnsi="Arial"/>
                <w:sz w:val="12"/>
                <w:szCs w:val="12"/>
                <w:b w:val="1"/>
                <w:bCs w:val="1"/>
                <w:color w:val="auto"/>
              </w:rPr>
              <w:t>Proposed</w:t>
            </w:r>
          </w:p>
        </w:tc>
        <w:tc>
          <w:tcPr>
            <w:tcW w:w="1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900" w:type="dxa"/>
            <w:vAlign w:val="bottom"/>
            <w:tcBorders>
              <w:right w:val="single" w:sz="8" w:color="auto"/>
            </w:tcBorders>
            <w:vMerge w:val="restart"/>
          </w:tcPr>
          <w:p>
            <w:pPr>
              <w:jc w:val="center"/>
              <w:ind w:right="1108"/>
              <w:spacing w:after="0"/>
              <w:rPr>
                <w:sz w:val="20"/>
                <w:szCs w:val="20"/>
                <w:color w:val="auto"/>
              </w:rPr>
            </w:pPr>
            <w:r>
              <w:rPr>
                <w:rFonts w:ascii="Arial" w:cs="Arial" w:eastAsia="Arial" w:hAnsi="Arial"/>
                <w:sz w:val="14"/>
                <w:szCs w:val="14"/>
                <w:b w:val="1"/>
                <w:bCs w:val="1"/>
                <w:color w:val="auto"/>
                <w:w w:val="93"/>
              </w:rPr>
              <w:t>Title of Each Class of</w:t>
            </w:r>
          </w:p>
        </w:tc>
        <w:tc>
          <w:tcPr>
            <w:tcW w:w="1600" w:type="dxa"/>
            <w:vAlign w:val="bottom"/>
            <w:tcBorders>
              <w:right w:val="single" w:sz="8" w:color="auto"/>
            </w:tcBorders>
            <w:vMerge w:val="continue"/>
          </w:tcPr>
          <w:p>
            <w:pPr>
              <w:spacing w:after="0"/>
              <w:rPr>
                <w:sz w:val="12"/>
                <w:szCs w:val="12"/>
                <w:color w:val="auto"/>
              </w:rPr>
            </w:pPr>
          </w:p>
        </w:tc>
        <w:tc>
          <w:tcPr>
            <w:tcW w:w="1600" w:type="dxa"/>
            <w:vAlign w:val="bottom"/>
            <w:tcBorders>
              <w:right w:val="single" w:sz="8" w:color="auto"/>
            </w:tcBorders>
          </w:tcPr>
          <w:p>
            <w:pPr>
              <w:jc w:val="center"/>
              <w:ind w:left="11"/>
              <w:spacing w:after="0" w:line="149" w:lineRule="exact"/>
              <w:rPr>
                <w:sz w:val="20"/>
                <w:szCs w:val="20"/>
                <w:color w:val="auto"/>
              </w:rPr>
            </w:pPr>
            <w:r>
              <w:rPr>
                <w:rFonts w:ascii="Arial" w:cs="Arial" w:eastAsia="Arial" w:hAnsi="Arial"/>
                <w:sz w:val="14"/>
                <w:szCs w:val="14"/>
                <w:b w:val="1"/>
                <w:bCs w:val="1"/>
                <w:color w:val="auto"/>
                <w:w w:val="99"/>
              </w:rPr>
              <w:t>Maximum</w:t>
            </w:r>
          </w:p>
        </w:tc>
        <w:tc>
          <w:tcPr>
            <w:tcW w:w="1600" w:type="dxa"/>
            <w:vAlign w:val="bottom"/>
            <w:tcBorders>
              <w:right w:val="single" w:sz="8" w:color="auto"/>
            </w:tcBorders>
          </w:tcPr>
          <w:p>
            <w:pPr>
              <w:jc w:val="center"/>
              <w:ind w:left="6"/>
              <w:spacing w:after="0" w:line="149" w:lineRule="exact"/>
              <w:rPr>
                <w:sz w:val="20"/>
                <w:szCs w:val="20"/>
                <w:color w:val="auto"/>
              </w:rPr>
            </w:pPr>
            <w:r>
              <w:rPr>
                <w:rFonts w:ascii="Arial" w:cs="Arial" w:eastAsia="Arial" w:hAnsi="Arial"/>
                <w:sz w:val="14"/>
                <w:szCs w:val="14"/>
                <w:b w:val="1"/>
                <w:bCs w:val="1"/>
                <w:color w:val="auto"/>
                <w:w w:val="99"/>
              </w:rPr>
              <w:t>Maximum</w:t>
            </w:r>
          </w:p>
        </w:tc>
        <w:tc>
          <w:tcPr>
            <w:tcW w:w="1560" w:type="dxa"/>
            <w:vAlign w:val="bottom"/>
            <w:vMerge w:val="restart"/>
          </w:tcPr>
          <w:p>
            <w:pPr>
              <w:jc w:val="center"/>
              <w:ind w:left="22"/>
              <w:spacing w:after="0"/>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900" w:type="dxa"/>
            <w:vAlign w:val="bottom"/>
            <w:tcBorders>
              <w:right w:val="single" w:sz="8" w:color="auto"/>
            </w:tcBorders>
            <w:vMerge w:val="continue"/>
          </w:tcPr>
          <w:p>
            <w:pPr>
              <w:spacing w:after="0"/>
              <w:rPr>
                <w:sz w:val="12"/>
                <w:szCs w:val="12"/>
                <w:color w:val="auto"/>
              </w:rPr>
            </w:pPr>
          </w:p>
        </w:tc>
        <w:tc>
          <w:tcPr>
            <w:tcW w:w="16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9"/>
              </w:rPr>
              <w:t>to be</w:t>
            </w:r>
          </w:p>
        </w:tc>
        <w:tc>
          <w:tcPr>
            <w:tcW w:w="1600" w:type="dxa"/>
            <w:vAlign w:val="bottom"/>
            <w:tcBorders>
              <w:right w:val="single" w:sz="8" w:color="auto"/>
            </w:tcBorders>
          </w:tcPr>
          <w:p>
            <w:pPr>
              <w:jc w:val="center"/>
              <w:ind w:left="11"/>
              <w:spacing w:after="0" w:line="149" w:lineRule="exact"/>
              <w:rPr>
                <w:sz w:val="20"/>
                <w:szCs w:val="20"/>
                <w:color w:val="auto"/>
              </w:rPr>
            </w:pPr>
            <w:r>
              <w:rPr>
                <w:rFonts w:ascii="Arial" w:cs="Arial" w:eastAsia="Arial" w:hAnsi="Arial"/>
                <w:sz w:val="14"/>
                <w:szCs w:val="14"/>
                <w:b w:val="1"/>
                <w:bCs w:val="1"/>
                <w:color w:val="auto"/>
                <w:w w:val="94"/>
              </w:rPr>
              <w:t>Offering Price</w:t>
            </w:r>
          </w:p>
        </w:tc>
        <w:tc>
          <w:tcPr>
            <w:tcW w:w="1600" w:type="dxa"/>
            <w:vAlign w:val="bottom"/>
            <w:tcBorders>
              <w:right w:val="single" w:sz="8" w:color="auto"/>
            </w:tcBorders>
          </w:tcPr>
          <w:p>
            <w:pPr>
              <w:jc w:val="center"/>
              <w:ind w:left="6"/>
              <w:spacing w:after="0" w:line="149" w:lineRule="exact"/>
              <w:rPr>
                <w:sz w:val="20"/>
                <w:szCs w:val="20"/>
                <w:color w:val="auto"/>
              </w:rPr>
            </w:pPr>
            <w:r>
              <w:rPr>
                <w:rFonts w:ascii="Arial" w:cs="Arial" w:eastAsia="Arial" w:hAnsi="Arial"/>
                <w:sz w:val="14"/>
                <w:szCs w:val="14"/>
                <w:b w:val="1"/>
                <w:bCs w:val="1"/>
                <w:color w:val="auto"/>
                <w:w w:val="92"/>
              </w:rPr>
              <w:t>Aggregate</w:t>
            </w:r>
          </w:p>
        </w:tc>
        <w:tc>
          <w:tcPr>
            <w:tcW w:w="15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3900" w:type="dxa"/>
            <w:vAlign w:val="bottom"/>
            <w:tcBorders>
              <w:bottom w:val="single" w:sz="8" w:color="auto"/>
              <w:right w:val="single" w:sz="8" w:color="auto"/>
            </w:tcBorders>
          </w:tcPr>
          <w:p>
            <w:pPr>
              <w:jc w:val="center"/>
              <w:ind w:right="1108"/>
              <w:spacing w:after="0"/>
              <w:rPr>
                <w:sz w:val="20"/>
                <w:szCs w:val="20"/>
                <w:color w:val="auto"/>
              </w:rPr>
            </w:pPr>
            <w:r>
              <w:rPr>
                <w:rFonts w:ascii="Arial" w:cs="Arial" w:eastAsia="Arial" w:hAnsi="Arial"/>
                <w:sz w:val="14"/>
                <w:szCs w:val="14"/>
                <w:b w:val="1"/>
                <w:bCs w:val="1"/>
                <w:color w:val="auto"/>
                <w:w w:val="90"/>
              </w:rPr>
              <w:t>Securities to be Registered</w:t>
            </w:r>
          </w:p>
        </w:tc>
        <w:tc>
          <w:tcPr>
            <w:tcW w:w="1600" w:type="dxa"/>
            <w:vAlign w:val="bottom"/>
            <w:tcBorders>
              <w:bottom w:val="single" w:sz="8" w:color="auto"/>
              <w:right w:val="single" w:sz="8" w:color="auto"/>
            </w:tcBorders>
          </w:tcPr>
          <w:p>
            <w:pPr>
              <w:jc w:val="center"/>
              <w:ind w:left="4"/>
              <w:spacing w:after="0"/>
              <w:rPr>
                <w:sz w:val="20"/>
                <w:szCs w:val="20"/>
                <w:color w:val="auto"/>
              </w:rPr>
            </w:pPr>
            <w:r>
              <w:rPr>
                <w:rFonts w:ascii="Arial" w:cs="Arial" w:eastAsia="Arial" w:hAnsi="Arial"/>
                <w:sz w:val="14"/>
                <w:szCs w:val="14"/>
                <w:b w:val="1"/>
                <w:bCs w:val="1"/>
                <w:color w:val="auto"/>
                <w:w w:val="94"/>
              </w:rPr>
              <w:t>Registered (1)(2)(3)</w:t>
            </w:r>
          </w:p>
        </w:tc>
        <w:tc>
          <w:tcPr>
            <w:tcW w:w="1600" w:type="dxa"/>
            <w:vAlign w:val="bottom"/>
            <w:tcBorders>
              <w:bottom w:val="single" w:sz="8" w:color="auto"/>
              <w:right w:val="single" w:sz="8" w:color="auto"/>
            </w:tcBorders>
          </w:tcPr>
          <w:p>
            <w:pPr>
              <w:jc w:val="center"/>
              <w:ind w:left="31"/>
              <w:spacing w:after="0"/>
              <w:rPr>
                <w:sz w:val="20"/>
                <w:szCs w:val="20"/>
                <w:color w:val="auto"/>
              </w:rPr>
            </w:pPr>
            <w:r>
              <w:rPr>
                <w:rFonts w:ascii="Arial" w:cs="Arial" w:eastAsia="Arial" w:hAnsi="Arial"/>
                <w:sz w:val="14"/>
                <w:szCs w:val="14"/>
                <w:b w:val="1"/>
                <w:bCs w:val="1"/>
                <w:color w:val="auto"/>
                <w:w w:val="97"/>
              </w:rPr>
              <w:t>Per Unit (1)(2)(3)</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Offering Price(1)(2)(3)</w:t>
            </w:r>
          </w:p>
        </w:tc>
        <w:tc>
          <w:tcPr>
            <w:tcW w:w="1560" w:type="dxa"/>
            <w:vAlign w:val="bottom"/>
            <w:tcBorders>
              <w:bottom w:val="single" w:sz="8" w:color="auto"/>
            </w:tcBorders>
          </w:tcPr>
          <w:p>
            <w:pPr>
              <w:jc w:val="center"/>
              <w:ind w:left="22"/>
              <w:spacing w:after="0"/>
              <w:rPr>
                <w:sz w:val="20"/>
                <w:szCs w:val="20"/>
                <w:color w:val="auto"/>
              </w:rPr>
            </w:pPr>
            <w:r>
              <w:rPr>
                <w:rFonts w:ascii="Arial" w:cs="Arial" w:eastAsia="Arial" w:hAnsi="Arial"/>
                <w:sz w:val="14"/>
                <w:szCs w:val="14"/>
                <w:b w:val="1"/>
                <w:bCs w:val="1"/>
                <w:color w:val="auto"/>
                <w:w w:val="93"/>
              </w:rPr>
              <w:t>Registration Fee (3)</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040" w:type="dxa"/>
            <w:vAlign w:val="bottom"/>
            <w:tcBorders>
              <w:right w:val="single" w:sz="8" w:color="auto"/>
            </w:tcBorders>
            <w:gridSpan w:val="2"/>
          </w:tcPr>
          <w:p>
            <w:pPr>
              <w:ind w:left="340"/>
              <w:spacing w:after="0" w:line="195" w:lineRule="exact"/>
              <w:rPr>
                <w:sz w:val="20"/>
                <w:szCs w:val="20"/>
                <w:color w:val="auto"/>
              </w:rPr>
            </w:pPr>
            <w:r>
              <w:rPr>
                <w:rFonts w:ascii="Arial" w:cs="Arial" w:eastAsia="Arial" w:hAnsi="Arial"/>
                <w:sz w:val="18"/>
                <w:szCs w:val="18"/>
                <w:color w:val="auto"/>
              </w:rPr>
              <w:t>Common Stock par value $0.001 per share (including the</w:t>
            </w:r>
          </w:p>
        </w:tc>
        <w:tc>
          <w:tcPr>
            <w:tcW w:w="1600" w:type="dxa"/>
            <w:vAlign w:val="bottom"/>
            <w:tcBorders>
              <w:right w:val="single" w:sz="8" w:color="auto"/>
            </w:tcBorders>
          </w:tcPr>
          <w:p>
            <w:pPr>
              <w:spacing w:after="0"/>
              <w:rPr>
                <w:sz w:val="16"/>
                <w:szCs w:val="16"/>
                <w:color w:val="auto"/>
              </w:rPr>
            </w:pPr>
          </w:p>
        </w:tc>
        <w:tc>
          <w:tcPr>
            <w:tcW w:w="1600" w:type="dxa"/>
            <w:vAlign w:val="bottom"/>
            <w:tcBorders>
              <w:right w:val="single" w:sz="8" w:color="auto"/>
            </w:tcBorders>
          </w:tcPr>
          <w:p>
            <w:pPr>
              <w:spacing w:after="0"/>
              <w:rPr>
                <w:sz w:val="16"/>
                <w:szCs w:val="16"/>
                <w:color w:val="auto"/>
              </w:rPr>
            </w:pPr>
          </w:p>
        </w:tc>
        <w:tc>
          <w:tcPr>
            <w:tcW w:w="1600" w:type="dxa"/>
            <w:vAlign w:val="bottom"/>
            <w:tcBorders>
              <w:right w:val="single" w:sz="8" w:color="auto"/>
            </w:tcBorders>
          </w:tcPr>
          <w:p>
            <w:pPr>
              <w:spacing w:after="0"/>
              <w:rPr>
                <w:sz w:val="16"/>
                <w:szCs w:val="16"/>
                <w:color w:val="auto"/>
              </w:rPr>
            </w:pP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40" w:type="dxa"/>
            <w:vAlign w:val="bottom"/>
            <w:tcBorders>
              <w:bottom w:val="single" w:sz="8" w:color="auto"/>
              <w:right w:val="single" w:sz="8" w:color="auto"/>
            </w:tcBorders>
            <w:gridSpan w:val="2"/>
          </w:tcPr>
          <w:p>
            <w:pPr>
              <w:ind w:left="520"/>
              <w:spacing w:after="0"/>
              <w:rPr>
                <w:sz w:val="20"/>
                <w:szCs w:val="20"/>
                <w:color w:val="auto"/>
              </w:rPr>
            </w:pPr>
            <w:r>
              <w:rPr>
                <w:rFonts w:ascii="Arial" w:cs="Arial" w:eastAsia="Arial" w:hAnsi="Arial"/>
                <w:sz w:val="18"/>
                <w:szCs w:val="18"/>
                <w:color w:val="auto"/>
              </w:rPr>
              <w:t>associated Preferred Share Purchase Rights) (4)</w:t>
            </w:r>
          </w:p>
        </w:tc>
        <w:tc>
          <w:tcPr>
            <w:tcW w:w="1600" w:type="dxa"/>
            <w:vAlign w:val="bottom"/>
            <w:tcBorders>
              <w:bottom w:val="single" w:sz="8" w:color="auto"/>
              <w:right w:val="single" w:sz="8" w:color="auto"/>
            </w:tcBorders>
          </w:tcPr>
          <w:p>
            <w:pPr>
              <w:spacing w:after="0"/>
              <w:rPr>
                <w:sz w:val="20"/>
                <w:szCs w:val="20"/>
                <w:color w:val="auto"/>
              </w:rPr>
            </w:pPr>
          </w:p>
        </w:tc>
        <w:tc>
          <w:tcPr>
            <w:tcW w:w="1600" w:type="dxa"/>
            <w:vAlign w:val="bottom"/>
            <w:tcBorders>
              <w:bottom w:val="single" w:sz="8" w:color="auto"/>
              <w:right w:val="single" w:sz="8" w:color="auto"/>
            </w:tcBorders>
          </w:tcPr>
          <w:p>
            <w:pPr>
              <w:spacing w:after="0"/>
              <w:rPr>
                <w:sz w:val="20"/>
                <w:szCs w:val="20"/>
                <w:color w:val="auto"/>
              </w:rPr>
            </w:pPr>
          </w:p>
        </w:tc>
        <w:tc>
          <w:tcPr>
            <w:tcW w:w="1600" w:type="dxa"/>
            <w:vAlign w:val="bottom"/>
            <w:tcBorders>
              <w:bottom w:val="single" w:sz="8" w:color="auto"/>
              <w:right w:val="single" w:sz="8" w:color="auto"/>
            </w:tcBorders>
          </w:tcPr>
          <w:p>
            <w:pPr>
              <w:spacing w:after="0"/>
              <w:rPr>
                <w:sz w:val="20"/>
                <w:szCs w:val="20"/>
                <w:color w:val="auto"/>
              </w:rPr>
            </w:pPr>
          </w:p>
        </w:tc>
        <w:tc>
          <w:tcPr>
            <w:tcW w:w="15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40" w:type="dxa"/>
            <w:vAlign w:val="bottom"/>
            <w:tcBorders>
              <w:bottom w:val="single" w:sz="8" w:color="auto"/>
              <w:right w:val="single" w:sz="8" w:color="auto"/>
            </w:tcBorders>
            <w:gridSpan w:val="2"/>
          </w:tcPr>
          <w:p>
            <w:pPr>
              <w:ind w:left="340"/>
              <w:spacing w:after="0"/>
              <w:rPr>
                <w:sz w:val="20"/>
                <w:szCs w:val="20"/>
                <w:color w:val="auto"/>
              </w:rPr>
            </w:pPr>
            <w:r>
              <w:rPr>
                <w:rFonts w:ascii="Arial" w:cs="Arial" w:eastAsia="Arial" w:hAnsi="Arial"/>
                <w:sz w:val="18"/>
                <w:szCs w:val="18"/>
                <w:color w:val="auto"/>
              </w:rPr>
              <w:t>Preferred Stock par value $0.001 per share.</w:t>
            </w:r>
          </w:p>
        </w:tc>
        <w:tc>
          <w:tcPr>
            <w:tcW w:w="1600" w:type="dxa"/>
            <w:vAlign w:val="bottom"/>
            <w:tcBorders>
              <w:bottom w:val="single" w:sz="8" w:color="auto"/>
              <w:right w:val="single" w:sz="8" w:color="auto"/>
            </w:tcBorders>
          </w:tcPr>
          <w:p>
            <w:pPr>
              <w:spacing w:after="0"/>
              <w:rPr>
                <w:sz w:val="18"/>
                <w:szCs w:val="18"/>
                <w:color w:val="auto"/>
              </w:rPr>
            </w:pPr>
          </w:p>
        </w:tc>
        <w:tc>
          <w:tcPr>
            <w:tcW w:w="1600" w:type="dxa"/>
            <w:vAlign w:val="bottom"/>
            <w:tcBorders>
              <w:bottom w:val="single" w:sz="8" w:color="auto"/>
              <w:right w:val="single" w:sz="8" w:color="auto"/>
            </w:tcBorders>
          </w:tcPr>
          <w:p>
            <w:pPr>
              <w:spacing w:after="0"/>
              <w:rPr>
                <w:sz w:val="18"/>
                <w:szCs w:val="18"/>
                <w:color w:val="auto"/>
              </w:rPr>
            </w:pPr>
          </w:p>
        </w:tc>
        <w:tc>
          <w:tcPr>
            <w:tcW w:w="1600" w:type="dxa"/>
            <w:vAlign w:val="bottom"/>
            <w:tcBorders>
              <w:bottom w:val="single" w:sz="8" w:color="auto"/>
              <w:right w:val="single" w:sz="8" w:color="auto"/>
            </w:tcBorders>
          </w:tcPr>
          <w:p>
            <w:pPr>
              <w:spacing w:after="0"/>
              <w:rPr>
                <w:sz w:val="18"/>
                <w:szCs w:val="18"/>
                <w:color w:val="auto"/>
              </w:rPr>
            </w:pPr>
          </w:p>
        </w:tc>
        <w:tc>
          <w:tcPr>
            <w:tcW w:w="15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40" w:type="dxa"/>
            <w:vAlign w:val="bottom"/>
            <w:tcBorders>
              <w:bottom w:val="single" w:sz="8" w:color="auto"/>
              <w:right w:val="single" w:sz="8" w:color="auto"/>
            </w:tcBorders>
            <w:gridSpan w:val="2"/>
          </w:tcPr>
          <w:p>
            <w:pPr>
              <w:ind w:left="340"/>
              <w:spacing w:after="0"/>
              <w:rPr>
                <w:sz w:val="20"/>
                <w:szCs w:val="20"/>
                <w:color w:val="auto"/>
              </w:rPr>
            </w:pPr>
            <w:r>
              <w:rPr>
                <w:rFonts w:ascii="Arial" w:cs="Arial" w:eastAsia="Arial" w:hAnsi="Arial"/>
                <w:sz w:val="18"/>
                <w:szCs w:val="18"/>
                <w:color w:val="auto"/>
              </w:rPr>
              <w:t>Debt Securities</w:t>
            </w:r>
          </w:p>
        </w:tc>
        <w:tc>
          <w:tcPr>
            <w:tcW w:w="1600" w:type="dxa"/>
            <w:vAlign w:val="bottom"/>
            <w:tcBorders>
              <w:bottom w:val="single" w:sz="8" w:color="auto"/>
              <w:right w:val="single" w:sz="8" w:color="auto"/>
            </w:tcBorders>
          </w:tcPr>
          <w:p>
            <w:pPr>
              <w:spacing w:after="0"/>
              <w:rPr>
                <w:sz w:val="18"/>
                <w:szCs w:val="18"/>
                <w:color w:val="auto"/>
              </w:rPr>
            </w:pPr>
          </w:p>
        </w:tc>
        <w:tc>
          <w:tcPr>
            <w:tcW w:w="1600" w:type="dxa"/>
            <w:vAlign w:val="bottom"/>
            <w:tcBorders>
              <w:bottom w:val="single" w:sz="8" w:color="auto"/>
              <w:right w:val="single" w:sz="8" w:color="auto"/>
            </w:tcBorders>
          </w:tcPr>
          <w:p>
            <w:pPr>
              <w:spacing w:after="0"/>
              <w:rPr>
                <w:sz w:val="18"/>
                <w:szCs w:val="18"/>
                <w:color w:val="auto"/>
              </w:rPr>
            </w:pPr>
          </w:p>
        </w:tc>
        <w:tc>
          <w:tcPr>
            <w:tcW w:w="1600" w:type="dxa"/>
            <w:vAlign w:val="bottom"/>
            <w:tcBorders>
              <w:bottom w:val="single" w:sz="8" w:color="auto"/>
              <w:right w:val="single" w:sz="8" w:color="auto"/>
            </w:tcBorders>
          </w:tcPr>
          <w:p>
            <w:pPr>
              <w:spacing w:after="0"/>
              <w:rPr>
                <w:sz w:val="18"/>
                <w:szCs w:val="18"/>
                <w:color w:val="auto"/>
              </w:rPr>
            </w:pPr>
          </w:p>
        </w:tc>
        <w:tc>
          <w:tcPr>
            <w:tcW w:w="15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40" w:type="dxa"/>
            <w:vAlign w:val="bottom"/>
            <w:tcBorders>
              <w:bottom w:val="single" w:sz="8" w:color="auto"/>
              <w:right w:val="single" w:sz="8" w:color="auto"/>
            </w:tcBorders>
            <w:gridSpan w:val="2"/>
          </w:tcPr>
          <w:p>
            <w:pPr>
              <w:ind w:left="340"/>
              <w:spacing w:after="0"/>
              <w:rPr>
                <w:sz w:val="20"/>
                <w:szCs w:val="20"/>
                <w:color w:val="auto"/>
              </w:rPr>
            </w:pPr>
            <w:r>
              <w:rPr>
                <w:rFonts w:ascii="Arial" w:cs="Arial" w:eastAsia="Arial" w:hAnsi="Arial"/>
                <w:sz w:val="18"/>
                <w:szCs w:val="18"/>
                <w:color w:val="auto"/>
              </w:rPr>
              <w:t>Warrants</w:t>
            </w:r>
          </w:p>
        </w:tc>
        <w:tc>
          <w:tcPr>
            <w:tcW w:w="1600" w:type="dxa"/>
            <w:vAlign w:val="bottom"/>
            <w:tcBorders>
              <w:bottom w:val="single" w:sz="8" w:color="auto"/>
              <w:right w:val="single" w:sz="8" w:color="auto"/>
            </w:tcBorders>
          </w:tcPr>
          <w:p>
            <w:pPr>
              <w:spacing w:after="0"/>
              <w:rPr>
                <w:sz w:val="18"/>
                <w:szCs w:val="18"/>
                <w:color w:val="auto"/>
              </w:rPr>
            </w:pPr>
          </w:p>
        </w:tc>
        <w:tc>
          <w:tcPr>
            <w:tcW w:w="1600" w:type="dxa"/>
            <w:vAlign w:val="bottom"/>
            <w:tcBorders>
              <w:bottom w:val="single" w:sz="8" w:color="auto"/>
              <w:right w:val="single" w:sz="8" w:color="auto"/>
            </w:tcBorders>
          </w:tcPr>
          <w:p>
            <w:pPr>
              <w:spacing w:after="0"/>
              <w:rPr>
                <w:sz w:val="18"/>
                <w:szCs w:val="18"/>
                <w:color w:val="auto"/>
              </w:rPr>
            </w:pPr>
          </w:p>
        </w:tc>
        <w:tc>
          <w:tcPr>
            <w:tcW w:w="1600" w:type="dxa"/>
            <w:vAlign w:val="bottom"/>
            <w:tcBorders>
              <w:bottom w:val="single" w:sz="8" w:color="auto"/>
              <w:right w:val="single" w:sz="8" w:color="auto"/>
            </w:tcBorders>
          </w:tcPr>
          <w:p>
            <w:pPr>
              <w:spacing w:after="0"/>
              <w:rPr>
                <w:sz w:val="18"/>
                <w:szCs w:val="18"/>
                <w:color w:val="auto"/>
              </w:rPr>
            </w:pPr>
          </w:p>
        </w:tc>
        <w:tc>
          <w:tcPr>
            <w:tcW w:w="15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40" w:type="dxa"/>
            <w:vAlign w:val="bottom"/>
            <w:tcBorders>
              <w:bottom w:val="single" w:sz="8" w:color="auto"/>
              <w:right w:val="single" w:sz="8" w:color="auto"/>
            </w:tcBorders>
            <w:gridSpan w:val="2"/>
          </w:tcPr>
          <w:p>
            <w:pPr>
              <w:ind w:left="340"/>
              <w:spacing w:after="0"/>
              <w:rPr>
                <w:sz w:val="20"/>
                <w:szCs w:val="20"/>
                <w:color w:val="auto"/>
              </w:rPr>
            </w:pPr>
            <w:r>
              <w:rPr>
                <w:rFonts w:ascii="Arial" w:cs="Arial" w:eastAsia="Arial" w:hAnsi="Arial"/>
                <w:sz w:val="18"/>
                <w:szCs w:val="18"/>
                <w:color w:val="auto"/>
              </w:rPr>
              <w:t>Units (5)</w:t>
            </w:r>
          </w:p>
        </w:tc>
        <w:tc>
          <w:tcPr>
            <w:tcW w:w="1600" w:type="dxa"/>
            <w:vAlign w:val="bottom"/>
            <w:tcBorders>
              <w:bottom w:val="single" w:sz="8" w:color="auto"/>
              <w:right w:val="single" w:sz="8" w:color="auto"/>
            </w:tcBorders>
          </w:tcPr>
          <w:p>
            <w:pPr>
              <w:spacing w:after="0"/>
              <w:rPr>
                <w:sz w:val="18"/>
                <w:szCs w:val="18"/>
                <w:color w:val="auto"/>
              </w:rPr>
            </w:pPr>
          </w:p>
        </w:tc>
        <w:tc>
          <w:tcPr>
            <w:tcW w:w="1600" w:type="dxa"/>
            <w:vAlign w:val="bottom"/>
            <w:tcBorders>
              <w:bottom w:val="single" w:sz="8" w:color="auto"/>
              <w:right w:val="single" w:sz="8" w:color="auto"/>
            </w:tcBorders>
          </w:tcPr>
          <w:p>
            <w:pPr>
              <w:spacing w:after="0"/>
              <w:rPr>
                <w:sz w:val="18"/>
                <w:szCs w:val="18"/>
                <w:color w:val="auto"/>
              </w:rPr>
            </w:pPr>
          </w:p>
        </w:tc>
        <w:tc>
          <w:tcPr>
            <w:tcW w:w="1600" w:type="dxa"/>
            <w:vAlign w:val="bottom"/>
            <w:tcBorders>
              <w:bottom w:val="single" w:sz="8" w:color="auto"/>
              <w:right w:val="single" w:sz="8" w:color="auto"/>
            </w:tcBorders>
          </w:tcPr>
          <w:p>
            <w:pPr>
              <w:spacing w:after="0"/>
              <w:rPr>
                <w:sz w:val="18"/>
                <w:szCs w:val="18"/>
                <w:color w:val="auto"/>
              </w:rPr>
            </w:pPr>
          </w:p>
        </w:tc>
        <w:tc>
          <w:tcPr>
            <w:tcW w:w="15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Borders>
              <w:bottom w:val="single" w:sz="8" w:color="auto"/>
            </w:tcBorders>
          </w:tcPr>
          <w:p>
            <w:pPr>
              <w:spacing w:after="0"/>
              <w:rPr>
                <w:sz w:val="18"/>
                <w:szCs w:val="18"/>
                <w:color w:val="auto"/>
              </w:rPr>
            </w:pPr>
          </w:p>
        </w:tc>
        <w:tc>
          <w:tcPr>
            <w:tcW w:w="504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b w:val="1"/>
                <w:bCs w:val="1"/>
                <w:color w:val="auto"/>
              </w:rPr>
              <w:t xml:space="preserve">Total Registration Fee </w:t>
            </w:r>
            <w:r>
              <w:rPr>
                <w:rFonts w:ascii="Arial" w:cs="Arial" w:eastAsia="Arial" w:hAnsi="Arial"/>
                <w:sz w:val="18"/>
                <w:szCs w:val="18"/>
                <w:color w:val="auto"/>
              </w:rPr>
              <w:t>(6)</w:t>
            </w:r>
          </w:p>
        </w:tc>
        <w:tc>
          <w:tcPr>
            <w:tcW w:w="1600" w:type="dxa"/>
            <w:vAlign w:val="bottom"/>
            <w:tcBorders>
              <w:bottom w:val="single" w:sz="8" w:color="auto"/>
              <w:right w:val="single" w:sz="8" w:color="auto"/>
            </w:tcBorders>
          </w:tcPr>
          <w:p>
            <w:pPr>
              <w:jc w:val="center"/>
              <w:ind w:left="4"/>
              <w:spacing w:after="0"/>
              <w:rPr>
                <w:sz w:val="20"/>
                <w:szCs w:val="20"/>
                <w:color w:val="auto"/>
              </w:rPr>
            </w:pPr>
            <w:r>
              <w:rPr>
                <w:rFonts w:ascii="Arial" w:cs="Arial" w:eastAsia="Arial" w:hAnsi="Arial"/>
                <w:sz w:val="18"/>
                <w:szCs w:val="18"/>
                <w:color w:val="auto"/>
                <w:w w:val="90"/>
              </w:rPr>
              <w:t>$125,000,000</w:t>
            </w:r>
          </w:p>
        </w:tc>
        <w:tc>
          <w:tcPr>
            <w:tcW w:w="1600" w:type="dxa"/>
            <w:vAlign w:val="bottom"/>
            <w:tcBorders>
              <w:bottom w:val="single" w:sz="8" w:color="auto"/>
              <w:right w:val="single" w:sz="8" w:color="auto"/>
            </w:tcBorders>
          </w:tcPr>
          <w:p>
            <w:pPr>
              <w:spacing w:after="0"/>
              <w:rPr>
                <w:sz w:val="18"/>
                <w:szCs w:val="18"/>
                <w:color w:val="auto"/>
              </w:rPr>
            </w:pPr>
          </w:p>
        </w:tc>
        <w:tc>
          <w:tcPr>
            <w:tcW w:w="1600" w:type="dxa"/>
            <w:vAlign w:val="bottom"/>
            <w:tcBorders>
              <w:bottom w:val="single" w:sz="8" w:color="auto"/>
              <w:right w:val="single" w:sz="8" w:color="auto"/>
            </w:tcBorders>
          </w:tcPr>
          <w:p>
            <w:pPr>
              <w:jc w:val="center"/>
              <w:ind w:left="6"/>
              <w:spacing w:after="0"/>
              <w:rPr>
                <w:sz w:val="20"/>
                <w:szCs w:val="20"/>
                <w:color w:val="auto"/>
              </w:rPr>
            </w:pPr>
            <w:r>
              <w:rPr>
                <w:rFonts w:ascii="Arial" w:cs="Arial" w:eastAsia="Arial" w:hAnsi="Arial"/>
                <w:sz w:val="18"/>
                <w:szCs w:val="18"/>
                <w:color w:val="auto"/>
                <w:w w:val="90"/>
              </w:rPr>
              <w:t>$125,000,000</w:t>
            </w:r>
          </w:p>
        </w:tc>
        <w:tc>
          <w:tcPr>
            <w:tcW w:w="1560" w:type="dxa"/>
            <w:vAlign w:val="bottom"/>
            <w:tcBorders>
              <w:bottom w:val="single" w:sz="8" w:color="auto"/>
            </w:tcBorders>
          </w:tcPr>
          <w:p>
            <w:pPr>
              <w:jc w:val="center"/>
              <w:ind w:left="22"/>
              <w:spacing w:after="0"/>
              <w:rPr>
                <w:sz w:val="20"/>
                <w:szCs w:val="20"/>
                <w:color w:val="auto"/>
              </w:rPr>
            </w:pPr>
            <w:r>
              <w:rPr>
                <w:rFonts w:ascii="Arial" w:cs="Arial" w:eastAsia="Arial" w:hAnsi="Arial"/>
                <w:sz w:val="18"/>
                <w:szCs w:val="18"/>
                <w:color w:val="auto"/>
                <w:w w:val="90"/>
              </w:rPr>
              <w:t>$14,487.50 (7)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9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390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460" w:right="160" w:hanging="452"/>
        <w:spacing w:after="0" w:line="254"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An indeterminate amount or number of the securities of each identified class is being registered as may from time to time be issued at indeterminate prices in U.S. Dollars. Subject to Rule 462(b) under the Securities Act of 1933, as amended, in no event will the aggregate maximum offering price of all securities sold pursuant to this registration statement exceed $125,000,000 or the equivalent thereof in one or more foreign currencies, foreign currency units or composite currencies.</w:t>
      </w:r>
    </w:p>
    <w:p>
      <w:pPr>
        <w:spacing w:after="0" w:line="2" w:lineRule="exact"/>
        <w:rPr>
          <w:rFonts w:ascii="Arial" w:cs="Arial" w:eastAsia="Arial" w:hAnsi="Arial"/>
          <w:sz w:val="18"/>
          <w:szCs w:val="18"/>
          <w:color w:val="auto"/>
        </w:rPr>
      </w:pPr>
    </w:p>
    <w:p>
      <w:pPr>
        <w:ind w:left="460" w:right="240" w:hanging="452"/>
        <w:spacing w:after="0" w:line="250"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proposed maximum aggregate offering price has been estimated solely for the purpose of calculating the registration fee pursuant to Rule 457(o) under the Securities Act of 1933, as amended.</w:t>
      </w:r>
    </w:p>
    <w:p>
      <w:pPr>
        <w:ind w:left="460" w:right="160" w:hanging="452"/>
        <w:spacing w:after="0" w:line="250"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Pursuant to Rule 416 under the Securities Act, this registration statement shall also cover such indeterminate number of shares of common stock, warrants to purchase shares of common stock, warrants to purchase shares of preferred stock, shares issuable upon exercise of such warrants and such shares of common stock or preferred stock as may be issuable with respect to the shares being registered hereunder as a result of stock splits, stock dividends or similar transactions.</w:t>
      </w:r>
    </w:p>
    <w:p>
      <w:pPr>
        <w:spacing w:after="0" w:line="1" w:lineRule="exact"/>
        <w:rPr>
          <w:rFonts w:ascii="Arial" w:cs="Arial" w:eastAsia="Arial" w:hAnsi="Arial"/>
          <w:sz w:val="18"/>
          <w:szCs w:val="18"/>
          <w:color w:val="auto"/>
        </w:rPr>
      </w:pPr>
    </w:p>
    <w:p>
      <w:pPr>
        <w:ind w:left="460" w:right="340" w:hanging="452"/>
        <w:spacing w:after="0" w:line="250"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Comprised of rights to purchase shares of the Registrant’s Series A Participating Preferred Stock, par value $0.001 per share (the “Preferred Share Purchase Rights”), that are associated with shares of the Registrant’s common stock pursuant to the Tax Benefit Preservation Plan, dated as of November 21, 2016, by and between Fluidigm Corporation and Computershare Inc., as Rights Agent (the “Tax Benefit Plan”). The Preferred Share Purchase Rights are not exercisable until the occurrence of certain events specified in the Tax Benefit Plan and are transferrable solely with the associated Common Stock. The value attributed to the Preferred Share Purchase Rights, if any, is reflected in the value of the associated Common Stock.</w:t>
      </w:r>
    </w:p>
    <w:p>
      <w:pPr>
        <w:spacing w:after="0" w:line="2" w:lineRule="exact"/>
        <w:rPr>
          <w:rFonts w:ascii="Arial" w:cs="Arial" w:eastAsia="Arial" w:hAnsi="Arial"/>
          <w:sz w:val="18"/>
          <w:szCs w:val="18"/>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Securities registered hereunder may be sold separately, or as units with other securities registered hereby.</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Fluidigm Corporation will determine the proposed maximum aggregate offering price per unit when it issues the above listed securities.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Previously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228600</wp:posOffset>
            </wp:positionV>
            <wp:extent cx="151765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52" w:lineRule="exact"/>
        <w:rPr>
          <w:sz w:val="20"/>
          <w:szCs w:val="20"/>
          <w:color w:val="auto"/>
        </w:rPr>
      </w:pPr>
    </w:p>
    <w:p>
      <w:pPr>
        <w:ind w:right="300" w:firstLine="456"/>
        <w:spacing w:after="0" w:line="261" w:lineRule="auto"/>
        <w:rPr>
          <w:sz w:val="20"/>
          <w:szCs w:val="20"/>
          <w:color w:val="auto"/>
        </w:rPr>
      </w:pPr>
      <w:r>
        <w:rPr>
          <w:rFonts w:ascii="Arial" w:cs="Arial" w:eastAsia="Arial" w:hAnsi="Arial"/>
          <w:sz w:val="18"/>
          <w:szCs w:val="18"/>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this registration statement shall become effective on such date as the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177165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2" w:name="page3"/>
    <w:bookmarkEnd w:id="2"/>
    <w:p>
      <w:pPr>
        <w:jc w:val="center"/>
        <w:ind w:right="-3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EXPLANATORY NOTE</w:t>
      </w:r>
    </w:p>
    <w:p>
      <w:pPr>
        <w:spacing w:after="0" w:line="229"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This Amendment No. 1 is being filed for the purpose of (1) revising certain footnotes to the calculation of the registration fee on the facing page of the Registration Statement; and (2) to file Exhibits 5.1, 23.1, 23.2, 23.3 and 24.2 to the Registration Statement (Registration No. 333-216542). No changes or additions are being made hereby to the Prospectus constituting Part I of the Registration Statement (not included herein).</w:t>
      </w:r>
    </w:p>
    <w:p>
      <w:pPr>
        <w:spacing w:after="0" w:line="98"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60"/>
          </w:cols>
          <w:pgMar w:left="240" w:top="378" w:right="599" w:bottom="1440" w:gutter="0" w:footer="0" w:header="0"/>
        </w:sectPr>
      </w:pPr>
    </w:p>
    <w:bookmarkStart w:id="3" w:name="page4"/>
    <w:bookmarkEnd w:id="3"/>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PART II</w:t>
      </w:r>
    </w:p>
    <w:p>
      <w:pPr>
        <w:spacing w:after="0" w:line="225"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5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i w:val="1"/>
          <w:iCs w:val="1"/>
          <w:color w:val="auto"/>
        </w:rPr>
        <w:t>Other Expenses of Issuance and Distribution</w:t>
      </w:r>
    </w:p>
    <w:p>
      <w:pPr>
        <w:spacing w:after="0" w:line="121" w:lineRule="exact"/>
        <w:rPr>
          <w:sz w:val="20"/>
          <w:szCs w:val="20"/>
          <w:color w:val="auto"/>
        </w:rPr>
      </w:pPr>
    </w:p>
    <w:p>
      <w:pPr>
        <w:ind w:right="120" w:firstLine="913"/>
        <w:spacing w:after="0" w:line="277" w:lineRule="auto"/>
        <w:rPr>
          <w:sz w:val="20"/>
          <w:szCs w:val="20"/>
          <w:color w:val="auto"/>
        </w:rPr>
      </w:pPr>
      <w:r>
        <w:rPr>
          <w:rFonts w:ascii="Arial" w:cs="Arial" w:eastAsia="Arial" w:hAnsi="Arial"/>
          <w:sz w:val="18"/>
          <w:szCs w:val="18"/>
          <w:color w:val="auto"/>
        </w:rPr>
        <w:t>The following table sets forth the various costs and expenses (other than the underwriting discounts and commissions) payable by the registrant in connection with a distribution of securities registered hereby. All amounts are estimates except the SEC registration fee.</w:t>
      </w:r>
    </w:p>
    <w:p>
      <w:pPr>
        <w:spacing w:after="0" w:line="189"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56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2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14,487.50</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Printing costs</w:t>
            </w: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Legal fees and expenses</w:t>
            </w: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Accounting fees and expenses</w:t>
            </w: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Transfer agent’s and trustee’s fees and expenses</w:t>
            </w: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Miscellaneous</w:t>
            </w: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56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8" w:lineRule="exact"/>
        <w:rPr>
          <w:sz w:val="20"/>
          <w:szCs w:val="20"/>
          <w:color w:val="auto"/>
        </w:rPr>
      </w:pPr>
    </w:p>
    <w:p>
      <w:pPr>
        <w:ind w:left="460" w:right="520" w:hanging="452"/>
        <w:spacing w:after="0" w:line="277" w:lineRule="auto"/>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These fees and expenses depend on the securities offered and the number of issuances, and accordingly cannot be estimated as of the date of this prospectus.</w:t>
      </w:r>
    </w:p>
    <w:p>
      <w:pPr>
        <w:spacing w:after="0" w:line="31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5"/>
          <w:szCs w:val="15"/>
          <w:b w:val="1"/>
          <w:bCs w:val="1"/>
          <w:i w:val="1"/>
          <w:iCs w:val="1"/>
          <w:color w:val="auto"/>
        </w:rPr>
        <w:t>Indemnification of Directors and Officers</w:t>
      </w:r>
    </w:p>
    <w:p>
      <w:pPr>
        <w:spacing w:after="0" w:line="121" w:lineRule="exact"/>
        <w:rPr>
          <w:sz w:val="20"/>
          <w:szCs w:val="20"/>
          <w:color w:val="auto"/>
        </w:rPr>
      </w:pPr>
    </w:p>
    <w:p>
      <w:pPr>
        <w:ind w:right="20" w:firstLine="913"/>
        <w:spacing w:after="0" w:line="277" w:lineRule="auto"/>
        <w:rPr>
          <w:sz w:val="20"/>
          <w:szCs w:val="20"/>
          <w:color w:val="auto"/>
        </w:rPr>
      </w:pPr>
      <w:r>
        <w:rPr>
          <w:rFonts w:ascii="Arial" w:cs="Arial" w:eastAsia="Arial" w:hAnsi="Arial"/>
          <w:sz w:val="18"/>
          <w:szCs w:val="18"/>
          <w:color w:val="auto"/>
        </w:rPr>
        <w:t>Section 145 of the Delaware General Corporation Law, or DGCL, authorizes a corporation’s board of directors to grant, and authorizes a court to award, indemnity to officers, directors and other corporate agents.</w:t>
      </w:r>
    </w:p>
    <w:p>
      <w:pPr>
        <w:spacing w:after="0" w:line="170" w:lineRule="exact"/>
        <w:rPr>
          <w:sz w:val="20"/>
          <w:szCs w:val="20"/>
          <w:color w:val="auto"/>
        </w:rPr>
      </w:pPr>
    </w:p>
    <w:p>
      <w:pPr>
        <w:ind w:right="460" w:firstLine="913"/>
        <w:spacing w:after="0" w:line="277" w:lineRule="auto"/>
        <w:rPr>
          <w:sz w:val="20"/>
          <w:szCs w:val="20"/>
          <w:color w:val="auto"/>
        </w:rPr>
      </w:pPr>
      <w:r>
        <w:rPr>
          <w:rFonts w:ascii="Arial" w:cs="Arial" w:eastAsia="Arial" w:hAnsi="Arial"/>
          <w:sz w:val="18"/>
          <w:szCs w:val="18"/>
          <w:color w:val="auto"/>
        </w:rPr>
        <w:t>As permitted by Section 102(b)(7) of the DGCL, the registrant’s certificate of incorporation includes provisions that eliminate the personal liability of its directors and officers for monetary damages for breach of their fiduciary duty as directors and officers.</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In addition, as permitted by Section 145 of the DGCL, the bylaws of the registrant provide that:</w:t>
      </w:r>
    </w:p>
    <w:p>
      <w:pPr>
        <w:spacing w:after="0" w:line="131" w:lineRule="exact"/>
        <w:rPr>
          <w:sz w:val="20"/>
          <w:szCs w:val="20"/>
          <w:color w:val="auto"/>
        </w:rPr>
      </w:pPr>
    </w:p>
    <w:p>
      <w:pPr>
        <w:ind w:left="1460" w:right="240" w:hanging="547"/>
        <w:spacing w:after="0" w:line="257" w:lineRule="auto"/>
        <w:tabs>
          <w:tab w:leader="none" w:pos="1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registrant shall indemnify its directors and officers for serving the registrant in those capacities or for serving other business enterprises as a director, officer, employee or agent at the registrant’s request, to the fullest extent permitted by the DGCL. The DGCL provides that a corporation may indemnify such person if such person acted in good faith and in a manner such person reasonably believed to be in or not opposed to the best interests of the registrant and, with respect to any criminal proceeding, had no reasonable cause to believe such person’s conduct was unlawful.</w:t>
      </w:r>
    </w:p>
    <w:p>
      <w:pPr>
        <w:spacing w:after="0" w:line="93" w:lineRule="exact"/>
        <w:rPr>
          <w:rFonts w:ascii="Arial" w:cs="Arial" w:eastAsia="Arial" w:hAnsi="Arial"/>
          <w:sz w:val="18"/>
          <w:szCs w:val="18"/>
          <w:color w:val="auto"/>
        </w:rPr>
      </w:pPr>
    </w:p>
    <w:p>
      <w:pPr>
        <w:ind w:left="1460" w:right="120" w:hanging="547"/>
        <w:spacing w:after="0" w:line="277" w:lineRule="auto"/>
        <w:tabs>
          <w:tab w:leader="none" w:pos="1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registrant may, in its discretion, indemnify employees and agents in those circumstances where indemnification is not prohibited by the DGCL or other law.</w:t>
      </w:r>
    </w:p>
    <w:p>
      <w:pPr>
        <w:spacing w:after="0" w:line="75" w:lineRule="exact"/>
        <w:rPr>
          <w:rFonts w:ascii="Arial" w:cs="Arial" w:eastAsia="Arial" w:hAnsi="Arial"/>
          <w:sz w:val="18"/>
          <w:szCs w:val="18"/>
          <w:color w:val="auto"/>
        </w:rPr>
      </w:pPr>
    </w:p>
    <w:p>
      <w:pPr>
        <w:ind w:left="1460" w:hanging="547"/>
        <w:spacing w:after="0" w:line="264" w:lineRule="auto"/>
        <w:tabs>
          <w:tab w:leader="none" w:pos="1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registrant is required to advance expenses, as incurred, to its directors and officers in connection with defending a proceeding, except that such director or officer shall undertake to repay such advances if it is ultimately determined that such person is not entitled to indemnification under the registrant’s bylaws or the DGCL.</w:t>
      </w:r>
    </w:p>
    <w:p>
      <w:pPr>
        <w:spacing w:after="0" w:line="86" w:lineRule="exact"/>
        <w:rPr>
          <w:rFonts w:ascii="Arial" w:cs="Arial" w:eastAsia="Arial" w:hAnsi="Arial"/>
          <w:sz w:val="18"/>
          <w:szCs w:val="18"/>
          <w:color w:val="auto"/>
        </w:rPr>
      </w:pPr>
    </w:p>
    <w:p>
      <w:pPr>
        <w:ind w:left="1460" w:right="180" w:hanging="547"/>
        <w:spacing w:after="0" w:line="259" w:lineRule="auto"/>
        <w:tabs>
          <w:tab w:leader="none" w:pos="1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registrant will not be obligated pursuant to the bylaws to indemnify a person with respect to proceedings initiated by that person against the registrant or its directors, officers, employees, agents or other indemnities, except with respect to proceedings authorized by the registrant’s board of directors prior to their initiation, or brought to enforce a right to indemnifications as otherwise required by applicable law.</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380"/>
          </w:cols>
          <w:pgMar w:left="240" w:top="270" w:right="279" w:bottom="1440" w:gutter="0" w:footer="0" w:header="0"/>
        </w:sectPr>
      </w:pPr>
    </w:p>
    <w:bookmarkStart w:id="4" w:name="page5"/>
    <w:bookmarkEnd w:id="4"/>
    <w:p>
      <w:pPr>
        <w:ind w:left="1460" w:right="360" w:hanging="547"/>
        <w:spacing w:after="0" w:line="277" w:lineRule="auto"/>
        <w:tabs>
          <w:tab w:leader="none" w:pos="1460" w:val="left"/>
        </w:tabs>
        <w:numPr>
          <w:ilvl w:val="0"/>
          <w:numId w:val="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rights conferred in the bylaws are not exclusive, and the registrant is authorized to enter into indemnification agreements with its directors, officers, employees and agents and to obtain insurance to indemnify such persons.</w:t>
      </w:r>
    </w:p>
    <w:p>
      <w:pPr>
        <w:spacing w:after="0" w:line="75" w:lineRule="exact"/>
        <w:rPr>
          <w:rFonts w:ascii="Arial" w:cs="Arial" w:eastAsia="Arial" w:hAnsi="Arial"/>
          <w:sz w:val="18"/>
          <w:szCs w:val="18"/>
          <w:color w:val="auto"/>
        </w:rPr>
      </w:pPr>
    </w:p>
    <w:p>
      <w:pPr>
        <w:ind w:left="1460" w:right="800" w:hanging="547"/>
        <w:spacing w:after="0" w:line="277" w:lineRule="auto"/>
        <w:tabs>
          <w:tab w:leader="none" w:pos="1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registrant may not retroactively amend the bylaw provisions to reduce its indemnification obligations to directors, officers, employees and agents.</w:t>
      </w:r>
    </w:p>
    <w:p>
      <w:pPr>
        <w:spacing w:after="0" w:line="170" w:lineRule="exact"/>
        <w:rPr>
          <w:sz w:val="20"/>
          <w:szCs w:val="20"/>
          <w:color w:val="auto"/>
        </w:rPr>
      </w:pPr>
    </w:p>
    <w:p>
      <w:pPr>
        <w:ind w:right="440" w:firstLine="913"/>
        <w:spacing w:after="0" w:line="264" w:lineRule="auto"/>
        <w:rPr>
          <w:sz w:val="20"/>
          <w:szCs w:val="20"/>
          <w:color w:val="auto"/>
        </w:rPr>
      </w:pPr>
      <w:r>
        <w:rPr>
          <w:rFonts w:ascii="Arial" w:cs="Arial" w:eastAsia="Arial" w:hAnsi="Arial"/>
          <w:sz w:val="18"/>
          <w:szCs w:val="18"/>
          <w:color w:val="auto"/>
        </w:rPr>
        <w:t>The registrant’s policy is to enter into separate indemnification agreements with each of its directors and officers that provide the maximum indemnity allowed to directors and executive officers by Section 145 of the DGCL and also provides for certain additional procedural protections. The registrant also maintains directors and officers insurance to insure such persons against certain liabilities.</w:t>
      </w:r>
    </w:p>
    <w:p>
      <w:pPr>
        <w:spacing w:after="0" w:line="181" w:lineRule="exact"/>
        <w:rPr>
          <w:sz w:val="20"/>
          <w:szCs w:val="20"/>
          <w:color w:val="auto"/>
        </w:rPr>
      </w:pPr>
    </w:p>
    <w:p>
      <w:pPr>
        <w:ind w:right="280" w:firstLine="913"/>
        <w:spacing w:after="0" w:line="264" w:lineRule="auto"/>
        <w:rPr>
          <w:sz w:val="20"/>
          <w:szCs w:val="20"/>
          <w:color w:val="auto"/>
        </w:rPr>
      </w:pPr>
      <w:r>
        <w:rPr>
          <w:rFonts w:ascii="Arial" w:cs="Arial" w:eastAsia="Arial" w:hAnsi="Arial"/>
          <w:sz w:val="18"/>
          <w:szCs w:val="18"/>
          <w:color w:val="auto"/>
        </w:rPr>
        <w:t>These indemnification provisions and the indemnification agreements entered into between the registrant and its officers and directors may be sufficiently broad to permit indemnification of the registrant’s officers and directors for liabilities (including reimbursement of expenses incurred) arising under the Securities Act.</w:t>
      </w:r>
    </w:p>
    <w:p>
      <w:pPr>
        <w:spacing w:after="0" w:line="32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5"/>
          <w:szCs w:val="15"/>
          <w:b w:val="1"/>
          <w:bCs w:val="1"/>
          <w:i w:val="1"/>
          <w:iCs w:val="1"/>
          <w:color w:val="auto"/>
        </w:rPr>
        <w:t>Exhibits</w:t>
      </w:r>
    </w:p>
    <w:p>
      <w:pPr>
        <w:spacing w:after="0" w:line="135" w:lineRule="exact"/>
        <w:rPr>
          <w:sz w:val="20"/>
          <w:szCs w:val="20"/>
          <w:color w:val="auto"/>
        </w:rPr>
      </w:pPr>
    </w:p>
    <w:p>
      <w:pPr>
        <w:ind w:left="1480" w:hanging="567"/>
        <w:spacing w:after="0"/>
        <w:tabs>
          <w:tab w:leader="none" w:pos="148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Exhibits</w:t>
      </w:r>
      <w:r>
        <w:rPr>
          <w:rFonts w:ascii="Arial" w:cs="Arial" w:eastAsia="Arial" w:hAnsi="Arial"/>
          <w:sz w:val="18"/>
          <w:szCs w:val="18"/>
          <w:color w:val="auto"/>
        </w:rPr>
        <w:t>. The following exhibits are filed herewith or incorporated herein by reference:</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00" w:type="dxa"/>
            <w:vAlign w:val="bottom"/>
            <w:gridSpan w:val="3"/>
            <w:vMerge w:val="restart"/>
          </w:tcPr>
          <w:p>
            <w:pPr>
              <w:jc w:val="right"/>
              <w:ind w:right="120"/>
              <w:spacing w:after="0"/>
              <w:rPr>
                <w:sz w:val="20"/>
                <w:szCs w:val="20"/>
                <w:color w:val="auto"/>
              </w:rPr>
            </w:pPr>
            <w:r>
              <w:rPr>
                <w:rFonts w:ascii="Arial" w:cs="Arial" w:eastAsia="Arial" w:hAnsi="Arial"/>
                <w:sz w:val="14"/>
                <w:szCs w:val="14"/>
                <w:b w:val="1"/>
                <w:bCs w:val="1"/>
                <w:color w:val="auto"/>
                <w:w w:val="98"/>
              </w:rPr>
              <w:t>Exhibit</w:t>
            </w:r>
          </w:p>
        </w:tc>
        <w:tc>
          <w:tcPr>
            <w:tcW w:w="23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gridSpan w:val="6"/>
          </w:tcPr>
          <w:p>
            <w:pPr>
              <w:jc w:val="right"/>
              <w:ind w:right="420"/>
              <w:spacing w:after="0"/>
              <w:rPr>
                <w:sz w:val="20"/>
                <w:szCs w:val="20"/>
                <w:color w:val="auto"/>
              </w:rPr>
            </w:pPr>
            <w:r>
              <w:rPr>
                <w:rFonts w:ascii="Arial" w:cs="Arial" w:eastAsia="Arial" w:hAnsi="Arial"/>
                <w:sz w:val="14"/>
                <w:szCs w:val="14"/>
                <w:b w:val="1"/>
                <w:bCs w:val="1"/>
                <w:color w:val="auto"/>
              </w:rPr>
              <w:t>Incorporated by Reference</w:t>
            </w:r>
          </w:p>
        </w:tc>
        <w:tc>
          <w:tcPr>
            <w:tcW w:w="1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00" w:type="dxa"/>
            <w:vAlign w:val="bottom"/>
            <w:gridSpan w:val="3"/>
            <w:vMerge w:val="continue"/>
          </w:tcPr>
          <w:p>
            <w:pPr>
              <w:spacing w:after="0"/>
              <w:rPr>
                <w:sz w:val="10"/>
                <w:szCs w:val="10"/>
                <w:color w:val="auto"/>
              </w:rPr>
            </w:pPr>
          </w:p>
        </w:tc>
        <w:tc>
          <w:tcPr>
            <w:tcW w:w="2360" w:type="dxa"/>
            <w:vAlign w:val="bottom"/>
          </w:tcPr>
          <w:p>
            <w:pPr>
              <w:spacing w:after="0"/>
              <w:rPr>
                <w:sz w:val="10"/>
                <w:szCs w:val="10"/>
                <w:color w:val="auto"/>
              </w:rPr>
            </w:pPr>
          </w:p>
        </w:tc>
        <w:tc>
          <w:tcPr>
            <w:tcW w:w="1220" w:type="dxa"/>
            <w:vAlign w:val="bottom"/>
            <w:vMerge w:val="restart"/>
          </w:tcPr>
          <w:p>
            <w:pPr>
              <w:ind w:left="20"/>
              <w:spacing w:after="0"/>
              <w:rPr>
                <w:sz w:val="20"/>
                <w:szCs w:val="20"/>
                <w:color w:val="auto"/>
              </w:rPr>
            </w:pPr>
            <w:r>
              <w:rPr>
                <w:rFonts w:ascii="Arial" w:cs="Arial" w:eastAsia="Arial" w:hAnsi="Arial"/>
                <w:sz w:val="14"/>
                <w:szCs w:val="14"/>
                <w:b w:val="1"/>
                <w:bCs w:val="1"/>
                <w:color w:val="auto"/>
                <w:w w:val="92"/>
              </w:rPr>
              <w:t>Exhibit Description</w:t>
            </w:r>
          </w:p>
        </w:tc>
        <w:tc>
          <w:tcPr>
            <w:tcW w:w="2520" w:type="dxa"/>
            <w:vAlign w:val="bottom"/>
            <w:gridSpan w:val="2"/>
            <w:vMerge w:val="restart"/>
          </w:tcPr>
          <w:p>
            <w:pPr>
              <w:spacing w:after="0"/>
              <w:rPr>
                <w:sz w:val="10"/>
                <w:szCs w:val="10"/>
                <w:color w:val="auto"/>
              </w:rPr>
            </w:pPr>
          </w:p>
        </w:tc>
        <w:tc>
          <w:tcPr>
            <w:tcW w:w="5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Form</w:t>
            </w:r>
          </w:p>
        </w:tc>
        <w:tc>
          <w:tcPr>
            <w:tcW w:w="1280" w:type="dxa"/>
            <w:vAlign w:val="bottom"/>
            <w:gridSpan w:val="3"/>
            <w:vMerge w:val="restart"/>
          </w:tcPr>
          <w:p>
            <w:pPr>
              <w:ind w:left="320"/>
              <w:spacing w:after="0"/>
              <w:rPr>
                <w:sz w:val="20"/>
                <w:szCs w:val="20"/>
                <w:color w:val="auto"/>
              </w:rPr>
            </w:pPr>
            <w:r>
              <w:rPr>
                <w:rFonts w:ascii="Arial" w:cs="Arial" w:eastAsia="Arial" w:hAnsi="Arial"/>
                <w:sz w:val="14"/>
                <w:szCs w:val="14"/>
                <w:b w:val="1"/>
                <w:bCs w:val="1"/>
                <w:color w:val="auto"/>
              </w:rPr>
              <w:t>File No.</w:t>
            </w:r>
          </w:p>
        </w:tc>
        <w:tc>
          <w:tcPr>
            <w:tcW w:w="620" w:type="dxa"/>
            <w:vAlign w:val="bottom"/>
            <w:gridSpan w:val="2"/>
          </w:tcPr>
          <w:p>
            <w:pPr>
              <w:ind w:left="20"/>
              <w:spacing w:after="0" w:line="119" w:lineRule="exact"/>
              <w:rPr>
                <w:sz w:val="20"/>
                <w:szCs w:val="20"/>
                <w:color w:val="auto"/>
              </w:rPr>
            </w:pPr>
            <w:r>
              <w:rPr>
                <w:rFonts w:ascii="Arial" w:cs="Arial" w:eastAsia="Arial" w:hAnsi="Arial"/>
                <w:sz w:val="13"/>
                <w:szCs w:val="13"/>
                <w:b w:val="1"/>
                <w:bCs w:val="1"/>
                <w:color w:val="auto"/>
              </w:rPr>
              <w:t>Exhibit</w:t>
            </w:r>
          </w:p>
        </w:tc>
        <w:tc>
          <w:tcPr>
            <w:tcW w:w="200" w:type="dxa"/>
            <w:vAlign w:val="bottom"/>
          </w:tcPr>
          <w:p>
            <w:pPr>
              <w:spacing w:after="0"/>
              <w:rPr>
                <w:sz w:val="10"/>
                <w:szCs w:val="10"/>
                <w:color w:val="auto"/>
              </w:rPr>
            </w:pPr>
          </w:p>
        </w:tc>
        <w:tc>
          <w:tcPr>
            <w:tcW w:w="94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92"/>
              </w:rPr>
              <w:t>Filing Date</w:t>
            </w:r>
          </w:p>
        </w:tc>
        <w:tc>
          <w:tcPr>
            <w:tcW w:w="1140" w:type="dxa"/>
            <w:vAlign w:val="bottom"/>
            <w:gridSpan w:val="3"/>
            <w:vMerge w:val="restart"/>
          </w:tcPr>
          <w:p>
            <w:pPr>
              <w:jc w:val="center"/>
              <w:ind w:left="28"/>
              <w:spacing w:after="0"/>
              <w:rPr>
                <w:sz w:val="20"/>
                <w:szCs w:val="20"/>
                <w:color w:val="auto"/>
              </w:rPr>
            </w:pPr>
            <w:r>
              <w:rPr>
                <w:rFonts w:ascii="Arial" w:cs="Arial" w:eastAsia="Arial" w:hAnsi="Arial"/>
                <w:sz w:val="14"/>
                <w:szCs w:val="14"/>
                <w:b w:val="1"/>
                <w:bCs w:val="1"/>
                <w:color w:val="auto"/>
                <w:w w:val="96"/>
              </w:rPr>
              <w:t>Filed Herewith</w:t>
            </w: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440" w:type="dxa"/>
            <w:vAlign w:val="bottom"/>
          </w:tcPr>
          <w:p>
            <w:pPr>
              <w:jc w:val="right"/>
              <w:ind w:right="39"/>
              <w:spacing w:after="0"/>
              <w:rPr>
                <w:sz w:val="20"/>
                <w:szCs w:val="20"/>
                <w:color w:val="auto"/>
              </w:rPr>
            </w:pPr>
            <w:r>
              <w:rPr>
                <w:rFonts w:ascii="Arial" w:cs="Arial" w:eastAsia="Arial" w:hAnsi="Arial"/>
                <w:sz w:val="14"/>
                <w:szCs w:val="14"/>
                <w:b w:val="1"/>
                <w:bCs w:val="1"/>
                <w:color w:val="auto"/>
              </w:rPr>
              <w:t>No.</w:t>
            </w:r>
          </w:p>
        </w:tc>
        <w:tc>
          <w:tcPr>
            <w:tcW w:w="12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220" w:type="dxa"/>
            <w:vAlign w:val="bottom"/>
            <w:vMerge w:val="continue"/>
          </w:tcPr>
          <w:p>
            <w:pPr>
              <w:spacing w:after="0"/>
              <w:rPr>
                <w:sz w:val="14"/>
                <w:szCs w:val="14"/>
                <w:color w:val="auto"/>
              </w:rPr>
            </w:pPr>
          </w:p>
        </w:tc>
        <w:tc>
          <w:tcPr>
            <w:tcW w:w="2520" w:type="dxa"/>
            <w:vAlign w:val="bottom"/>
            <w:gridSpan w:val="2"/>
            <w:vMerge w:val="continue"/>
          </w:tcPr>
          <w:p>
            <w:pPr>
              <w:spacing w:after="0"/>
              <w:rPr>
                <w:sz w:val="14"/>
                <w:szCs w:val="14"/>
                <w:color w:val="auto"/>
              </w:rPr>
            </w:pPr>
          </w:p>
        </w:tc>
        <w:tc>
          <w:tcPr>
            <w:tcW w:w="540" w:type="dxa"/>
            <w:vAlign w:val="bottom"/>
            <w:gridSpan w:val="2"/>
            <w:vMerge w:val="continue"/>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620" w:type="dxa"/>
            <w:vAlign w:val="bottom"/>
            <w:gridSpan w:val="2"/>
          </w:tcPr>
          <w:p>
            <w:pPr>
              <w:ind w:left="140"/>
              <w:spacing w:after="0"/>
              <w:rPr>
                <w:sz w:val="20"/>
                <w:szCs w:val="20"/>
                <w:color w:val="auto"/>
              </w:rPr>
            </w:pPr>
            <w:r>
              <w:rPr>
                <w:rFonts w:ascii="Arial" w:cs="Arial" w:eastAsia="Arial" w:hAnsi="Arial"/>
                <w:sz w:val="14"/>
                <w:szCs w:val="14"/>
                <w:b w:val="1"/>
                <w:bCs w:val="1"/>
                <w:color w:val="auto"/>
              </w:rPr>
              <w:t>No.</w:t>
            </w:r>
          </w:p>
        </w:tc>
        <w:tc>
          <w:tcPr>
            <w:tcW w:w="20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14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4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4"/>
                <w:szCs w:val="24"/>
                <w:color w:val="auto"/>
              </w:rPr>
            </w:pPr>
          </w:p>
        </w:tc>
        <w:tc>
          <w:tcPr>
            <w:tcW w:w="6100" w:type="dxa"/>
            <w:vAlign w:val="bottom"/>
            <w:gridSpan w:val="4"/>
          </w:tcPr>
          <w:p>
            <w:pPr>
              <w:ind w:left="100"/>
              <w:spacing w:after="0"/>
              <w:rPr>
                <w:sz w:val="20"/>
                <w:szCs w:val="20"/>
                <w:color w:val="auto"/>
              </w:rPr>
            </w:pPr>
            <w:r>
              <w:rPr>
                <w:rFonts w:ascii="Arial" w:cs="Arial" w:eastAsia="Arial" w:hAnsi="Arial"/>
                <w:sz w:val="18"/>
                <w:szCs w:val="18"/>
                <w:color w:val="auto"/>
              </w:rPr>
              <w:t>Form of Underwriting Agreement.</w:t>
            </w: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480" w:type="dxa"/>
            <w:vAlign w:val="bottom"/>
            <w:gridSpan w:val="2"/>
          </w:tcPr>
          <w:p>
            <w:pPr>
              <w:jc w:val="right"/>
              <w:ind w:right="79"/>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4"/>
                <w:szCs w:val="24"/>
                <w:color w:val="auto"/>
              </w:rPr>
            </w:pPr>
          </w:p>
        </w:tc>
        <w:tc>
          <w:tcPr>
            <w:tcW w:w="6100" w:type="dxa"/>
            <w:vAlign w:val="bottom"/>
            <w:gridSpan w:val="4"/>
          </w:tcPr>
          <w:p>
            <w:pPr>
              <w:ind w:left="100"/>
              <w:spacing w:after="0"/>
              <w:rPr>
                <w:sz w:val="20"/>
                <w:szCs w:val="20"/>
                <w:color w:val="auto"/>
              </w:rPr>
            </w:pPr>
            <w:r>
              <w:rPr>
                <w:rFonts w:ascii="Arial" w:cs="Arial" w:eastAsia="Arial" w:hAnsi="Arial"/>
                <w:sz w:val="18"/>
                <w:szCs w:val="18"/>
                <w:color w:val="auto"/>
              </w:rPr>
              <w:t>Eighth Amended and Restated Certificate of Incorporation of Fluidigm</w:t>
            </w: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100" w:type="dxa"/>
            <w:vAlign w:val="bottom"/>
            <w:gridSpan w:val="4"/>
          </w:tcPr>
          <w:p>
            <w:pPr>
              <w:ind w:left="100"/>
              <w:spacing w:after="0"/>
              <w:rPr>
                <w:sz w:val="20"/>
                <w:szCs w:val="20"/>
                <w:color w:val="auto"/>
              </w:rPr>
            </w:pPr>
            <w:r>
              <w:rPr>
                <w:rFonts w:ascii="Arial" w:cs="Arial" w:eastAsia="Arial" w:hAnsi="Arial"/>
                <w:sz w:val="18"/>
                <w:szCs w:val="18"/>
                <w:color w:val="auto"/>
              </w:rPr>
              <w:t>Corporation filed on February 15, 2011.</w:t>
            </w:r>
          </w:p>
        </w:tc>
        <w:tc>
          <w:tcPr>
            <w:tcW w:w="540" w:type="dxa"/>
            <w:vAlign w:val="bottom"/>
            <w:gridSpan w:val="2"/>
          </w:tcPr>
          <w:p>
            <w:pPr>
              <w:jc w:val="center"/>
              <w:ind w:right="140"/>
              <w:spacing w:after="0"/>
              <w:rPr>
                <w:sz w:val="20"/>
                <w:szCs w:val="20"/>
                <w:color w:val="auto"/>
              </w:rPr>
            </w:pPr>
            <w:r>
              <w:rPr>
                <w:rFonts w:ascii="Arial" w:cs="Arial" w:eastAsia="Arial" w:hAnsi="Arial"/>
                <w:sz w:val="18"/>
                <w:szCs w:val="18"/>
                <w:color w:val="auto"/>
                <w:w w:val="94"/>
              </w:rPr>
              <w:t>10-K</w:t>
            </w:r>
          </w:p>
        </w:tc>
        <w:tc>
          <w:tcPr>
            <w:tcW w:w="1280" w:type="dxa"/>
            <w:vAlign w:val="bottom"/>
            <w:gridSpan w:val="3"/>
          </w:tcPr>
          <w:p>
            <w:pPr>
              <w:jc w:val="center"/>
              <w:ind w:right="28"/>
              <w:spacing w:after="0"/>
              <w:rPr>
                <w:sz w:val="20"/>
                <w:szCs w:val="20"/>
                <w:color w:val="auto"/>
              </w:rPr>
            </w:pPr>
            <w:r>
              <w:rPr>
                <w:rFonts w:ascii="Arial" w:cs="Arial" w:eastAsia="Arial" w:hAnsi="Arial"/>
                <w:sz w:val="18"/>
                <w:szCs w:val="18"/>
                <w:color w:val="auto"/>
                <w:w w:val="90"/>
              </w:rPr>
              <w:t>001-34180</w:t>
            </w:r>
          </w:p>
        </w:tc>
        <w:tc>
          <w:tcPr>
            <w:tcW w:w="460" w:type="dxa"/>
            <w:vAlign w:val="bottom"/>
          </w:tcPr>
          <w:p>
            <w:pPr>
              <w:ind w:left="160"/>
              <w:spacing w:after="0"/>
              <w:rPr>
                <w:sz w:val="20"/>
                <w:szCs w:val="20"/>
                <w:color w:val="auto"/>
              </w:rPr>
            </w:pPr>
            <w:r>
              <w:rPr>
                <w:rFonts w:ascii="Arial" w:cs="Arial" w:eastAsia="Arial" w:hAnsi="Arial"/>
                <w:sz w:val="18"/>
                <w:szCs w:val="18"/>
                <w:color w:val="auto"/>
              </w:rPr>
              <w:t>3.1</w:t>
            </w:r>
          </w:p>
        </w:tc>
        <w:tc>
          <w:tcPr>
            <w:tcW w:w="160" w:type="dxa"/>
            <w:vAlign w:val="bottom"/>
          </w:tcPr>
          <w:p>
            <w:pPr>
              <w:spacing w:after="0"/>
              <w:rPr>
                <w:sz w:val="20"/>
                <w:szCs w:val="20"/>
                <w:color w:val="auto"/>
              </w:rPr>
            </w:pPr>
          </w:p>
        </w:tc>
        <w:tc>
          <w:tcPr>
            <w:tcW w:w="1140" w:type="dxa"/>
            <w:vAlign w:val="bottom"/>
            <w:gridSpan w:val="3"/>
          </w:tcPr>
          <w:p>
            <w:pPr>
              <w:jc w:val="center"/>
              <w:spacing w:after="0"/>
              <w:rPr>
                <w:sz w:val="20"/>
                <w:szCs w:val="20"/>
                <w:color w:val="auto"/>
              </w:rPr>
            </w:pPr>
            <w:r>
              <w:rPr>
                <w:rFonts w:ascii="Arial" w:cs="Arial" w:eastAsia="Arial" w:hAnsi="Arial"/>
                <w:sz w:val="18"/>
                <w:szCs w:val="18"/>
                <w:color w:val="auto"/>
                <w:w w:val="92"/>
              </w:rPr>
              <w:t>3/28/2011</w:t>
            </w: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480" w:type="dxa"/>
            <w:vAlign w:val="bottom"/>
            <w:gridSpan w:val="2"/>
          </w:tcPr>
          <w:p>
            <w:pPr>
              <w:jc w:val="right"/>
              <w:ind w:right="79"/>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4"/>
                <w:szCs w:val="24"/>
                <w:color w:val="auto"/>
              </w:rPr>
            </w:pPr>
          </w:p>
        </w:tc>
        <w:tc>
          <w:tcPr>
            <w:tcW w:w="6100" w:type="dxa"/>
            <w:vAlign w:val="bottom"/>
            <w:gridSpan w:val="4"/>
          </w:tcPr>
          <w:p>
            <w:pPr>
              <w:ind w:left="100"/>
              <w:spacing w:after="0"/>
              <w:rPr>
                <w:sz w:val="20"/>
                <w:szCs w:val="20"/>
                <w:color w:val="auto"/>
              </w:rPr>
            </w:pPr>
            <w:r>
              <w:rPr>
                <w:rFonts w:ascii="Arial" w:cs="Arial" w:eastAsia="Arial" w:hAnsi="Arial"/>
                <w:sz w:val="18"/>
                <w:szCs w:val="18"/>
                <w:color w:val="auto"/>
              </w:rPr>
              <w:t>Amended and Restated Bylaws of Fluidigm Corporation effective as of</w:t>
            </w: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100" w:type="dxa"/>
            <w:vAlign w:val="bottom"/>
            <w:gridSpan w:val="4"/>
          </w:tcPr>
          <w:p>
            <w:pPr>
              <w:ind w:left="100"/>
              <w:spacing w:after="0"/>
              <w:rPr>
                <w:sz w:val="20"/>
                <w:szCs w:val="20"/>
                <w:color w:val="auto"/>
              </w:rPr>
            </w:pPr>
            <w:r>
              <w:rPr>
                <w:rFonts w:ascii="Arial" w:cs="Arial" w:eastAsia="Arial" w:hAnsi="Arial"/>
                <w:sz w:val="18"/>
                <w:szCs w:val="18"/>
                <w:color w:val="auto"/>
              </w:rPr>
              <w:t>February 9, 2011.</w:t>
            </w:r>
          </w:p>
        </w:tc>
        <w:tc>
          <w:tcPr>
            <w:tcW w:w="540" w:type="dxa"/>
            <w:vAlign w:val="bottom"/>
            <w:gridSpan w:val="2"/>
          </w:tcPr>
          <w:p>
            <w:pPr>
              <w:jc w:val="center"/>
              <w:ind w:right="140"/>
              <w:spacing w:after="0"/>
              <w:rPr>
                <w:sz w:val="20"/>
                <w:szCs w:val="20"/>
                <w:color w:val="auto"/>
              </w:rPr>
            </w:pPr>
            <w:r>
              <w:rPr>
                <w:rFonts w:ascii="Arial" w:cs="Arial" w:eastAsia="Arial" w:hAnsi="Arial"/>
                <w:sz w:val="18"/>
                <w:szCs w:val="18"/>
                <w:color w:val="auto"/>
                <w:w w:val="94"/>
              </w:rPr>
              <w:t>10-K</w:t>
            </w:r>
          </w:p>
        </w:tc>
        <w:tc>
          <w:tcPr>
            <w:tcW w:w="1280" w:type="dxa"/>
            <w:vAlign w:val="bottom"/>
            <w:gridSpan w:val="3"/>
          </w:tcPr>
          <w:p>
            <w:pPr>
              <w:jc w:val="center"/>
              <w:ind w:right="28"/>
              <w:spacing w:after="0"/>
              <w:rPr>
                <w:sz w:val="20"/>
                <w:szCs w:val="20"/>
                <w:color w:val="auto"/>
              </w:rPr>
            </w:pPr>
            <w:r>
              <w:rPr>
                <w:rFonts w:ascii="Arial" w:cs="Arial" w:eastAsia="Arial" w:hAnsi="Arial"/>
                <w:sz w:val="18"/>
                <w:szCs w:val="18"/>
                <w:color w:val="auto"/>
                <w:w w:val="90"/>
              </w:rPr>
              <w:t>001-34180</w:t>
            </w:r>
          </w:p>
        </w:tc>
        <w:tc>
          <w:tcPr>
            <w:tcW w:w="460" w:type="dxa"/>
            <w:vAlign w:val="bottom"/>
          </w:tcPr>
          <w:p>
            <w:pPr>
              <w:ind w:left="160"/>
              <w:spacing w:after="0"/>
              <w:rPr>
                <w:sz w:val="20"/>
                <w:szCs w:val="20"/>
                <w:color w:val="auto"/>
              </w:rPr>
            </w:pPr>
            <w:r>
              <w:rPr>
                <w:rFonts w:ascii="Arial" w:cs="Arial" w:eastAsia="Arial" w:hAnsi="Arial"/>
                <w:sz w:val="18"/>
                <w:szCs w:val="18"/>
                <w:color w:val="auto"/>
              </w:rPr>
              <w:t>3.2</w:t>
            </w:r>
          </w:p>
        </w:tc>
        <w:tc>
          <w:tcPr>
            <w:tcW w:w="160" w:type="dxa"/>
            <w:vAlign w:val="bottom"/>
          </w:tcPr>
          <w:p>
            <w:pPr>
              <w:spacing w:after="0"/>
              <w:rPr>
                <w:sz w:val="20"/>
                <w:szCs w:val="20"/>
                <w:color w:val="auto"/>
              </w:rPr>
            </w:pPr>
          </w:p>
        </w:tc>
        <w:tc>
          <w:tcPr>
            <w:tcW w:w="1140" w:type="dxa"/>
            <w:vAlign w:val="bottom"/>
            <w:gridSpan w:val="3"/>
          </w:tcPr>
          <w:p>
            <w:pPr>
              <w:jc w:val="center"/>
              <w:spacing w:after="0"/>
              <w:rPr>
                <w:sz w:val="20"/>
                <w:szCs w:val="20"/>
                <w:color w:val="auto"/>
              </w:rPr>
            </w:pPr>
            <w:r>
              <w:rPr>
                <w:rFonts w:ascii="Arial" w:cs="Arial" w:eastAsia="Arial" w:hAnsi="Arial"/>
                <w:sz w:val="18"/>
                <w:szCs w:val="18"/>
                <w:color w:val="auto"/>
                <w:w w:val="92"/>
              </w:rPr>
              <w:t>3/28/2011</w:t>
            </w: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480" w:type="dxa"/>
            <w:vAlign w:val="bottom"/>
            <w:gridSpan w:val="2"/>
          </w:tcPr>
          <w:p>
            <w:pPr>
              <w:jc w:val="right"/>
              <w:ind w:right="79"/>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4"/>
                <w:szCs w:val="24"/>
                <w:color w:val="auto"/>
              </w:rPr>
            </w:pPr>
          </w:p>
        </w:tc>
        <w:tc>
          <w:tcPr>
            <w:tcW w:w="6100" w:type="dxa"/>
            <w:vAlign w:val="bottom"/>
            <w:gridSpan w:val="4"/>
          </w:tcPr>
          <w:p>
            <w:pPr>
              <w:ind w:left="100"/>
              <w:spacing w:after="0"/>
              <w:rPr>
                <w:sz w:val="20"/>
                <w:szCs w:val="20"/>
                <w:color w:val="auto"/>
              </w:rPr>
            </w:pPr>
            <w:r>
              <w:rPr>
                <w:rFonts w:ascii="Arial" w:cs="Arial" w:eastAsia="Arial" w:hAnsi="Arial"/>
                <w:sz w:val="18"/>
                <w:szCs w:val="18"/>
                <w:color w:val="auto"/>
              </w:rPr>
              <w:t>Certificate of Designation of Rights, Preferences and Privileges of Series A</w:t>
            </w: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100" w:type="dxa"/>
            <w:vAlign w:val="bottom"/>
            <w:gridSpan w:val="4"/>
          </w:tcPr>
          <w:p>
            <w:pPr>
              <w:ind w:left="100"/>
              <w:spacing w:after="0"/>
              <w:rPr>
                <w:sz w:val="20"/>
                <w:szCs w:val="20"/>
                <w:color w:val="auto"/>
              </w:rPr>
            </w:pPr>
            <w:r>
              <w:rPr>
                <w:rFonts w:ascii="Arial" w:cs="Arial" w:eastAsia="Arial" w:hAnsi="Arial"/>
                <w:sz w:val="18"/>
                <w:szCs w:val="18"/>
                <w:color w:val="auto"/>
              </w:rPr>
              <w:t>Participating Preferred Stock.</w:t>
            </w:r>
          </w:p>
        </w:tc>
        <w:tc>
          <w:tcPr>
            <w:tcW w:w="54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8-K</w:t>
            </w:r>
          </w:p>
        </w:tc>
        <w:tc>
          <w:tcPr>
            <w:tcW w:w="1280" w:type="dxa"/>
            <w:vAlign w:val="bottom"/>
            <w:gridSpan w:val="3"/>
          </w:tcPr>
          <w:p>
            <w:pPr>
              <w:jc w:val="center"/>
              <w:ind w:right="28"/>
              <w:spacing w:after="0"/>
              <w:rPr>
                <w:sz w:val="20"/>
                <w:szCs w:val="20"/>
                <w:color w:val="auto"/>
              </w:rPr>
            </w:pPr>
            <w:r>
              <w:rPr>
                <w:rFonts w:ascii="Arial" w:cs="Arial" w:eastAsia="Arial" w:hAnsi="Arial"/>
                <w:sz w:val="18"/>
                <w:szCs w:val="18"/>
                <w:color w:val="auto"/>
                <w:w w:val="90"/>
              </w:rPr>
              <w:t>001-34180</w:t>
            </w:r>
          </w:p>
        </w:tc>
        <w:tc>
          <w:tcPr>
            <w:tcW w:w="460" w:type="dxa"/>
            <w:vAlign w:val="bottom"/>
          </w:tcPr>
          <w:p>
            <w:pPr>
              <w:ind w:left="160"/>
              <w:spacing w:after="0"/>
              <w:rPr>
                <w:sz w:val="20"/>
                <w:szCs w:val="20"/>
                <w:color w:val="auto"/>
              </w:rPr>
            </w:pPr>
            <w:r>
              <w:rPr>
                <w:rFonts w:ascii="Arial" w:cs="Arial" w:eastAsia="Arial" w:hAnsi="Arial"/>
                <w:sz w:val="18"/>
                <w:szCs w:val="18"/>
                <w:color w:val="auto"/>
              </w:rPr>
              <w:t>3.1</w:t>
            </w:r>
          </w:p>
        </w:tc>
        <w:tc>
          <w:tcPr>
            <w:tcW w:w="160" w:type="dxa"/>
            <w:vAlign w:val="bottom"/>
          </w:tcPr>
          <w:p>
            <w:pPr>
              <w:spacing w:after="0"/>
              <w:rPr>
                <w:sz w:val="20"/>
                <w:szCs w:val="20"/>
                <w:color w:val="auto"/>
              </w:rPr>
            </w:pPr>
          </w:p>
        </w:tc>
        <w:tc>
          <w:tcPr>
            <w:tcW w:w="1140" w:type="dxa"/>
            <w:vAlign w:val="bottom"/>
            <w:gridSpan w:val="3"/>
          </w:tcPr>
          <w:p>
            <w:pPr>
              <w:jc w:val="center"/>
              <w:spacing w:after="0"/>
              <w:rPr>
                <w:sz w:val="20"/>
                <w:szCs w:val="20"/>
                <w:color w:val="auto"/>
              </w:rPr>
            </w:pPr>
            <w:r>
              <w:rPr>
                <w:rFonts w:ascii="Arial" w:cs="Arial" w:eastAsia="Arial" w:hAnsi="Arial"/>
                <w:sz w:val="18"/>
                <w:szCs w:val="18"/>
                <w:color w:val="auto"/>
                <w:w w:val="90"/>
              </w:rPr>
              <w:t>11/22/2016</w:t>
            </w: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480" w:type="dxa"/>
            <w:vAlign w:val="bottom"/>
            <w:gridSpan w:val="2"/>
          </w:tcPr>
          <w:p>
            <w:pPr>
              <w:jc w:val="right"/>
              <w:ind w:right="79"/>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4"/>
                <w:szCs w:val="24"/>
                <w:color w:val="auto"/>
              </w:rPr>
            </w:pPr>
          </w:p>
        </w:tc>
        <w:tc>
          <w:tcPr>
            <w:tcW w:w="6100" w:type="dxa"/>
            <w:vAlign w:val="bottom"/>
            <w:gridSpan w:val="4"/>
          </w:tcPr>
          <w:p>
            <w:pPr>
              <w:ind w:left="100"/>
              <w:spacing w:after="0"/>
              <w:rPr>
                <w:sz w:val="20"/>
                <w:szCs w:val="20"/>
                <w:color w:val="auto"/>
              </w:rPr>
            </w:pPr>
            <w:r>
              <w:rPr>
                <w:rFonts w:ascii="Arial" w:cs="Arial" w:eastAsia="Arial" w:hAnsi="Arial"/>
                <w:sz w:val="18"/>
                <w:szCs w:val="18"/>
                <w:color w:val="auto"/>
              </w:rPr>
              <w:t>Specimen Common Stock Certificate of Fluidigm Corporation.</w:t>
            </w:r>
          </w:p>
        </w:tc>
        <w:tc>
          <w:tcPr>
            <w:tcW w:w="540" w:type="dxa"/>
            <w:vAlign w:val="bottom"/>
            <w:gridSpan w:val="2"/>
          </w:tcPr>
          <w:p>
            <w:pPr>
              <w:jc w:val="center"/>
              <w:ind w:right="140"/>
              <w:spacing w:after="0"/>
              <w:rPr>
                <w:sz w:val="20"/>
                <w:szCs w:val="20"/>
                <w:color w:val="auto"/>
              </w:rPr>
            </w:pPr>
            <w:r>
              <w:rPr>
                <w:rFonts w:ascii="Arial" w:cs="Arial" w:eastAsia="Arial" w:hAnsi="Arial"/>
                <w:sz w:val="18"/>
                <w:szCs w:val="18"/>
                <w:color w:val="auto"/>
                <w:w w:val="85"/>
              </w:rPr>
              <w:t>S-8</w:t>
            </w:r>
          </w:p>
        </w:tc>
        <w:tc>
          <w:tcPr>
            <w:tcW w:w="1280" w:type="dxa"/>
            <w:vAlign w:val="bottom"/>
            <w:gridSpan w:val="3"/>
          </w:tcPr>
          <w:p>
            <w:pPr>
              <w:jc w:val="center"/>
              <w:ind w:right="28"/>
              <w:spacing w:after="0"/>
              <w:rPr>
                <w:sz w:val="20"/>
                <w:szCs w:val="20"/>
                <w:color w:val="auto"/>
              </w:rPr>
            </w:pPr>
            <w:r>
              <w:rPr>
                <w:rFonts w:ascii="Arial" w:cs="Arial" w:eastAsia="Arial" w:hAnsi="Arial"/>
                <w:sz w:val="18"/>
                <w:szCs w:val="18"/>
                <w:color w:val="auto"/>
                <w:w w:val="90"/>
              </w:rPr>
              <w:t>001-34180</w:t>
            </w:r>
          </w:p>
        </w:tc>
        <w:tc>
          <w:tcPr>
            <w:tcW w:w="460" w:type="dxa"/>
            <w:vAlign w:val="bottom"/>
          </w:tcPr>
          <w:p>
            <w:pPr>
              <w:ind w:left="160"/>
              <w:spacing w:after="0"/>
              <w:rPr>
                <w:sz w:val="20"/>
                <w:szCs w:val="20"/>
                <w:color w:val="auto"/>
              </w:rPr>
            </w:pPr>
            <w:r>
              <w:rPr>
                <w:rFonts w:ascii="Arial" w:cs="Arial" w:eastAsia="Arial" w:hAnsi="Arial"/>
                <w:sz w:val="18"/>
                <w:szCs w:val="18"/>
                <w:color w:val="auto"/>
              </w:rPr>
              <w:t>4.1</w:t>
            </w:r>
          </w:p>
        </w:tc>
        <w:tc>
          <w:tcPr>
            <w:tcW w:w="160" w:type="dxa"/>
            <w:vAlign w:val="bottom"/>
          </w:tcPr>
          <w:p>
            <w:pPr>
              <w:spacing w:after="0"/>
              <w:rPr>
                <w:sz w:val="24"/>
                <w:szCs w:val="24"/>
                <w:color w:val="auto"/>
              </w:rPr>
            </w:pPr>
          </w:p>
        </w:tc>
        <w:tc>
          <w:tcPr>
            <w:tcW w:w="1140" w:type="dxa"/>
            <w:vAlign w:val="bottom"/>
            <w:gridSpan w:val="3"/>
          </w:tcPr>
          <w:p>
            <w:pPr>
              <w:jc w:val="center"/>
              <w:spacing w:after="0"/>
              <w:rPr>
                <w:sz w:val="20"/>
                <w:szCs w:val="20"/>
                <w:color w:val="auto"/>
              </w:rPr>
            </w:pPr>
            <w:r>
              <w:rPr>
                <w:rFonts w:ascii="Arial" w:cs="Arial" w:eastAsia="Arial" w:hAnsi="Arial"/>
                <w:sz w:val="18"/>
                <w:szCs w:val="18"/>
                <w:color w:val="auto"/>
                <w:w w:val="92"/>
              </w:rPr>
              <w:t>1/13/2017</w:t>
            </w: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480" w:type="dxa"/>
            <w:vAlign w:val="bottom"/>
            <w:gridSpan w:val="2"/>
          </w:tcPr>
          <w:p>
            <w:pPr>
              <w:jc w:val="right"/>
              <w:ind w:right="79"/>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4"/>
                <w:szCs w:val="24"/>
                <w:color w:val="auto"/>
              </w:rPr>
            </w:pPr>
          </w:p>
        </w:tc>
        <w:tc>
          <w:tcPr>
            <w:tcW w:w="6100" w:type="dxa"/>
            <w:vAlign w:val="bottom"/>
            <w:gridSpan w:val="4"/>
          </w:tcPr>
          <w:p>
            <w:pPr>
              <w:ind w:left="100"/>
              <w:spacing w:after="0"/>
              <w:rPr>
                <w:sz w:val="20"/>
                <w:szCs w:val="20"/>
                <w:color w:val="auto"/>
              </w:rPr>
            </w:pPr>
            <w:r>
              <w:rPr>
                <w:rFonts w:ascii="Arial" w:cs="Arial" w:eastAsia="Arial" w:hAnsi="Arial"/>
                <w:sz w:val="18"/>
                <w:szCs w:val="18"/>
                <w:color w:val="auto"/>
                <w:w w:val="93"/>
              </w:rPr>
              <w:t>Tax Benefit Preservation Plan, dated as of November 21, 2016, by and between</w:t>
            </w: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100" w:type="dxa"/>
            <w:vAlign w:val="bottom"/>
            <w:gridSpan w:val="4"/>
          </w:tcPr>
          <w:p>
            <w:pPr>
              <w:ind w:left="100"/>
              <w:spacing w:after="0"/>
              <w:rPr>
                <w:sz w:val="20"/>
                <w:szCs w:val="20"/>
                <w:color w:val="auto"/>
              </w:rPr>
            </w:pPr>
            <w:r>
              <w:rPr>
                <w:rFonts w:ascii="Arial" w:cs="Arial" w:eastAsia="Arial" w:hAnsi="Arial"/>
                <w:sz w:val="18"/>
                <w:szCs w:val="18"/>
                <w:color w:val="auto"/>
              </w:rPr>
              <w:t>Fluidigm Corporation and Computershare Inc., as Rights Agent.</w:t>
            </w:r>
          </w:p>
        </w:tc>
        <w:tc>
          <w:tcPr>
            <w:tcW w:w="54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8-K</w:t>
            </w:r>
          </w:p>
        </w:tc>
        <w:tc>
          <w:tcPr>
            <w:tcW w:w="1280" w:type="dxa"/>
            <w:vAlign w:val="bottom"/>
            <w:gridSpan w:val="3"/>
          </w:tcPr>
          <w:p>
            <w:pPr>
              <w:jc w:val="center"/>
              <w:ind w:right="28"/>
              <w:spacing w:after="0"/>
              <w:rPr>
                <w:sz w:val="20"/>
                <w:szCs w:val="20"/>
                <w:color w:val="auto"/>
              </w:rPr>
            </w:pPr>
            <w:r>
              <w:rPr>
                <w:rFonts w:ascii="Arial" w:cs="Arial" w:eastAsia="Arial" w:hAnsi="Arial"/>
                <w:sz w:val="18"/>
                <w:szCs w:val="18"/>
                <w:color w:val="auto"/>
                <w:w w:val="90"/>
              </w:rPr>
              <w:t>001-34180</w:t>
            </w:r>
          </w:p>
        </w:tc>
        <w:tc>
          <w:tcPr>
            <w:tcW w:w="460" w:type="dxa"/>
            <w:vAlign w:val="bottom"/>
          </w:tcPr>
          <w:p>
            <w:pPr>
              <w:ind w:left="160"/>
              <w:spacing w:after="0"/>
              <w:rPr>
                <w:sz w:val="20"/>
                <w:szCs w:val="20"/>
                <w:color w:val="auto"/>
              </w:rPr>
            </w:pPr>
            <w:r>
              <w:rPr>
                <w:rFonts w:ascii="Arial" w:cs="Arial" w:eastAsia="Arial" w:hAnsi="Arial"/>
                <w:sz w:val="18"/>
                <w:szCs w:val="18"/>
                <w:color w:val="auto"/>
              </w:rPr>
              <w:t>4.1</w:t>
            </w:r>
          </w:p>
        </w:tc>
        <w:tc>
          <w:tcPr>
            <w:tcW w:w="160" w:type="dxa"/>
            <w:vAlign w:val="bottom"/>
          </w:tcPr>
          <w:p>
            <w:pPr>
              <w:spacing w:after="0"/>
              <w:rPr>
                <w:sz w:val="20"/>
                <w:szCs w:val="20"/>
                <w:color w:val="auto"/>
              </w:rPr>
            </w:pPr>
          </w:p>
        </w:tc>
        <w:tc>
          <w:tcPr>
            <w:tcW w:w="1140" w:type="dxa"/>
            <w:vAlign w:val="bottom"/>
            <w:gridSpan w:val="3"/>
          </w:tcPr>
          <w:p>
            <w:pPr>
              <w:jc w:val="center"/>
              <w:spacing w:after="0"/>
              <w:rPr>
                <w:sz w:val="20"/>
                <w:szCs w:val="20"/>
                <w:color w:val="auto"/>
              </w:rPr>
            </w:pPr>
            <w:r>
              <w:rPr>
                <w:rFonts w:ascii="Arial" w:cs="Arial" w:eastAsia="Arial" w:hAnsi="Arial"/>
                <w:sz w:val="18"/>
                <w:szCs w:val="18"/>
                <w:color w:val="auto"/>
                <w:w w:val="90"/>
              </w:rPr>
              <w:t>11/22/2016</w:t>
            </w: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600" w:type="dxa"/>
            <w:vAlign w:val="bottom"/>
            <w:gridSpan w:val="3"/>
          </w:tcPr>
          <w:p>
            <w:pPr>
              <w:jc w:val="right"/>
              <w:ind w:right="100"/>
              <w:spacing w:after="0"/>
              <w:rPr>
                <w:sz w:val="20"/>
                <w:szCs w:val="20"/>
                <w:color w:val="auto"/>
              </w:rPr>
            </w:pPr>
            <w:r>
              <w:rPr>
                <w:rFonts w:ascii="Arial" w:cs="Arial" w:eastAsia="Arial" w:hAnsi="Arial"/>
                <w:sz w:val="18"/>
                <w:szCs w:val="18"/>
                <w:color w:val="auto"/>
              </w:rPr>
              <w:t>4.3**</w:t>
            </w:r>
          </w:p>
        </w:tc>
        <w:tc>
          <w:tcPr>
            <w:tcW w:w="6100" w:type="dxa"/>
            <w:vAlign w:val="bottom"/>
            <w:gridSpan w:val="4"/>
          </w:tcPr>
          <w:p>
            <w:pPr>
              <w:ind w:left="100"/>
              <w:spacing w:after="0"/>
              <w:rPr>
                <w:sz w:val="20"/>
                <w:szCs w:val="20"/>
                <w:color w:val="auto"/>
              </w:rPr>
            </w:pPr>
            <w:r>
              <w:rPr>
                <w:rFonts w:ascii="Arial" w:cs="Arial" w:eastAsia="Arial" w:hAnsi="Arial"/>
                <w:sz w:val="18"/>
                <w:szCs w:val="18"/>
                <w:color w:val="auto"/>
              </w:rPr>
              <w:t>Form of Senior Indenture.</w:t>
            </w: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00" w:type="dxa"/>
            <w:vAlign w:val="bottom"/>
            <w:gridSpan w:val="3"/>
          </w:tcPr>
          <w:p>
            <w:pPr>
              <w:jc w:val="right"/>
              <w:ind w:right="100"/>
              <w:spacing w:after="0"/>
              <w:rPr>
                <w:sz w:val="20"/>
                <w:szCs w:val="20"/>
                <w:color w:val="auto"/>
              </w:rPr>
            </w:pPr>
            <w:r>
              <w:rPr>
                <w:rFonts w:ascii="Arial" w:cs="Arial" w:eastAsia="Arial" w:hAnsi="Arial"/>
                <w:sz w:val="18"/>
                <w:szCs w:val="18"/>
                <w:color w:val="auto"/>
              </w:rPr>
              <w:t>4.4**</w:t>
            </w:r>
          </w:p>
        </w:tc>
        <w:tc>
          <w:tcPr>
            <w:tcW w:w="6100" w:type="dxa"/>
            <w:vAlign w:val="bottom"/>
            <w:gridSpan w:val="4"/>
          </w:tcPr>
          <w:p>
            <w:pPr>
              <w:ind w:left="100"/>
              <w:spacing w:after="0"/>
              <w:rPr>
                <w:sz w:val="20"/>
                <w:szCs w:val="20"/>
                <w:color w:val="auto"/>
              </w:rPr>
            </w:pPr>
            <w:r>
              <w:rPr>
                <w:rFonts w:ascii="Arial" w:cs="Arial" w:eastAsia="Arial" w:hAnsi="Arial"/>
                <w:sz w:val="18"/>
                <w:szCs w:val="18"/>
                <w:color w:val="auto"/>
              </w:rPr>
              <w:t>Form of Subordinated Indenture.</w:t>
            </w: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80" w:type="dxa"/>
            <w:vAlign w:val="bottom"/>
            <w:gridSpan w:val="2"/>
          </w:tcPr>
          <w:p>
            <w:pPr>
              <w:jc w:val="right"/>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4"/>
                <w:szCs w:val="24"/>
                <w:color w:val="auto"/>
              </w:rPr>
            </w:pPr>
          </w:p>
        </w:tc>
        <w:tc>
          <w:tcPr>
            <w:tcW w:w="6100" w:type="dxa"/>
            <w:vAlign w:val="bottom"/>
            <w:gridSpan w:val="4"/>
          </w:tcPr>
          <w:p>
            <w:pPr>
              <w:ind w:left="100"/>
              <w:spacing w:after="0"/>
              <w:rPr>
                <w:sz w:val="20"/>
                <w:szCs w:val="20"/>
                <w:color w:val="auto"/>
              </w:rPr>
            </w:pPr>
            <w:r>
              <w:rPr>
                <w:rFonts w:ascii="Arial" w:cs="Arial" w:eastAsia="Arial" w:hAnsi="Arial"/>
                <w:sz w:val="18"/>
                <w:szCs w:val="18"/>
                <w:color w:val="auto"/>
              </w:rPr>
              <w:t>Form of Senior Debt Security.</w:t>
            </w: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80" w:type="dxa"/>
            <w:vAlign w:val="bottom"/>
            <w:gridSpan w:val="2"/>
          </w:tcPr>
          <w:p>
            <w:pPr>
              <w:jc w:val="right"/>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24"/>
                <w:szCs w:val="24"/>
                <w:color w:val="auto"/>
              </w:rPr>
            </w:pPr>
          </w:p>
        </w:tc>
        <w:tc>
          <w:tcPr>
            <w:tcW w:w="6100" w:type="dxa"/>
            <w:vAlign w:val="bottom"/>
            <w:gridSpan w:val="4"/>
          </w:tcPr>
          <w:p>
            <w:pPr>
              <w:ind w:left="100"/>
              <w:spacing w:after="0"/>
              <w:rPr>
                <w:sz w:val="20"/>
                <w:szCs w:val="20"/>
                <w:color w:val="auto"/>
              </w:rPr>
            </w:pPr>
            <w:r>
              <w:rPr>
                <w:rFonts w:ascii="Arial" w:cs="Arial" w:eastAsia="Arial" w:hAnsi="Arial"/>
                <w:sz w:val="18"/>
                <w:szCs w:val="18"/>
                <w:color w:val="auto"/>
              </w:rPr>
              <w:t>Form of Subordinated Debt Security.</w:t>
            </w: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80" w:type="dxa"/>
            <w:vAlign w:val="bottom"/>
            <w:gridSpan w:val="2"/>
          </w:tcPr>
          <w:p>
            <w:pPr>
              <w:jc w:val="right"/>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24"/>
                <w:szCs w:val="24"/>
                <w:color w:val="auto"/>
              </w:rPr>
            </w:pPr>
          </w:p>
        </w:tc>
        <w:tc>
          <w:tcPr>
            <w:tcW w:w="6100" w:type="dxa"/>
            <w:vAlign w:val="bottom"/>
            <w:gridSpan w:val="4"/>
          </w:tcPr>
          <w:p>
            <w:pPr>
              <w:ind w:left="100"/>
              <w:spacing w:after="0"/>
              <w:rPr>
                <w:sz w:val="20"/>
                <w:szCs w:val="20"/>
                <w:color w:val="auto"/>
              </w:rPr>
            </w:pPr>
            <w:r>
              <w:rPr>
                <w:rFonts w:ascii="Arial" w:cs="Arial" w:eastAsia="Arial" w:hAnsi="Arial"/>
                <w:sz w:val="18"/>
                <w:szCs w:val="18"/>
                <w:color w:val="auto"/>
              </w:rPr>
              <w:t>Form of Certificate of Designation.</w:t>
            </w: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80" w:type="dxa"/>
            <w:vAlign w:val="bottom"/>
            <w:gridSpan w:val="2"/>
          </w:tcPr>
          <w:p>
            <w:pPr>
              <w:jc w:val="right"/>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24"/>
                <w:szCs w:val="24"/>
                <w:color w:val="auto"/>
              </w:rPr>
            </w:pPr>
          </w:p>
        </w:tc>
        <w:tc>
          <w:tcPr>
            <w:tcW w:w="6100" w:type="dxa"/>
            <w:vAlign w:val="bottom"/>
            <w:gridSpan w:val="4"/>
          </w:tcPr>
          <w:p>
            <w:pPr>
              <w:ind w:left="100"/>
              <w:spacing w:after="0"/>
              <w:rPr>
                <w:sz w:val="20"/>
                <w:szCs w:val="20"/>
                <w:color w:val="auto"/>
              </w:rPr>
            </w:pPr>
            <w:r>
              <w:rPr>
                <w:rFonts w:ascii="Arial" w:cs="Arial" w:eastAsia="Arial" w:hAnsi="Arial"/>
                <w:sz w:val="18"/>
                <w:szCs w:val="18"/>
                <w:color w:val="auto"/>
              </w:rPr>
              <w:t>Form of Preferred Stock Certificate.</w:t>
            </w: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80" w:type="dxa"/>
            <w:vAlign w:val="bottom"/>
            <w:gridSpan w:val="2"/>
          </w:tcPr>
          <w:p>
            <w:pPr>
              <w:jc w:val="right"/>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24"/>
                <w:szCs w:val="24"/>
                <w:color w:val="auto"/>
              </w:rPr>
            </w:pPr>
          </w:p>
        </w:tc>
        <w:tc>
          <w:tcPr>
            <w:tcW w:w="6100" w:type="dxa"/>
            <w:vAlign w:val="bottom"/>
            <w:gridSpan w:val="4"/>
          </w:tcPr>
          <w:p>
            <w:pPr>
              <w:ind w:left="100"/>
              <w:spacing w:after="0"/>
              <w:rPr>
                <w:sz w:val="20"/>
                <w:szCs w:val="20"/>
                <w:color w:val="auto"/>
              </w:rPr>
            </w:pPr>
            <w:r>
              <w:rPr>
                <w:rFonts w:ascii="Arial" w:cs="Arial" w:eastAsia="Arial" w:hAnsi="Arial"/>
                <w:sz w:val="18"/>
                <w:szCs w:val="18"/>
                <w:color w:val="auto"/>
              </w:rPr>
              <w:t>Form of Warrant Agreement.</w:t>
            </w: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00" w:type="dxa"/>
            <w:vAlign w:val="bottom"/>
            <w:gridSpan w:val="3"/>
          </w:tcPr>
          <w:p>
            <w:pPr>
              <w:jc w:val="right"/>
              <w:ind w:right="100"/>
              <w:spacing w:after="0"/>
              <w:rPr>
                <w:sz w:val="20"/>
                <w:szCs w:val="20"/>
                <w:color w:val="auto"/>
              </w:rPr>
            </w:pPr>
            <w:r>
              <w:rPr>
                <w:rFonts w:ascii="Arial" w:cs="Arial" w:eastAsia="Arial" w:hAnsi="Arial"/>
                <w:sz w:val="18"/>
                <w:szCs w:val="18"/>
                <w:color w:val="auto"/>
              </w:rPr>
              <w:t>4.10*</w:t>
            </w:r>
          </w:p>
        </w:tc>
        <w:tc>
          <w:tcPr>
            <w:tcW w:w="6100" w:type="dxa"/>
            <w:vAlign w:val="bottom"/>
            <w:gridSpan w:val="4"/>
          </w:tcPr>
          <w:p>
            <w:pPr>
              <w:ind w:left="100"/>
              <w:spacing w:after="0"/>
              <w:rPr>
                <w:sz w:val="20"/>
                <w:szCs w:val="20"/>
                <w:color w:val="auto"/>
              </w:rPr>
            </w:pPr>
            <w:r>
              <w:rPr>
                <w:rFonts w:ascii="Arial" w:cs="Arial" w:eastAsia="Arial" w:hAnsi="Arial"/>
                <w:sz w:val="18"/>
                <w:szCs w:val="18"/>
                <w:color w:val="auto"/>
              </w:rPr>
              <w:t>Form of Warrant/Subscription Agreement.</w:t>
            </w: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80" w:type="dxa"/>
            <w:vAlign w:val="bottom"/>
            <w:gridSpan w:val="2"/>
          </w:tcPr>
          <w:p>
            <w:pPr>
              <w:jc w:val="right"/>
              <w:ind w:right="79"/>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24"/>
                <w:szCs w:val="24"/>
                <w:color w:val="auto"/>
              </w:rPr>
            </w:pPr>
          </w:p>
        </w:tc>
        <w:tc>
          <w:tcPr>
            <w:tcW w:w="6100" w:type="dxa"/>
            <w:vAlign w:val="bottom"/>
            <w:gridSpan w:val="4"/>
          </w:tcPr>
          <w:p>
            <w:pPr>
              <w:ind w:left="100"/>
              <w:spacing w:after="0"/>
              <w:rPr>
                <w:sz w:val="20"/>
                <w:szCs w:val="20"/>
                <w:color w:val="auto"/>
              </w:rPr>
            </w:pPr>
            <w:r>
              <w:rPr>
                <w:rFonts w:ascii="Arial" w:cs="Arial" w:eastAsia="Arial" w:hAnsi="Arial"/>
                <w:sz w:val="18"/>
                <w:szCs w:val="18"/>
                <w:color w:val="auto"/>
              </w:rPr>
              <w:t>Opinion of Wilson Sonsini Goodrich &amp; Rosati, Professional Corporation.</w:t>
            </w: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gridSpan w:val="2"/>
          </w:tcPr>
          <w:p>
            <w:pPr>
              <w:jc w:val="center"/>
              <w:ind w:right="4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324"/>
        </w:trPr>
        <w:tc>
          <w:tcPr>
            <w:tcW w:w="480" w:type="dxa"/>
            <w:vAlign w:val="bottom"/>
            <w:gridSpan w:val="2"/>
          </w:tcPr>
          <w:p>
            <w:pPr>
              <w:jc w:val="right"/>
              <w:ind w:right="79"/>
              <w:spacing w:after="0"/>
              <w:rPr>
                <w:sz w:val="20"/>
                <w:szCs w:val="20"/>
                <w:color w:val="auto"/>
              </w:rPr>
            </w:pPr>
            <w:r>
              <w:rPr>
                <w:rFonts w:ascii="Arial" w:cs="Arial" w:eastAsia="Arial" w:hAnsi="Arial"/>
                <w:sz w:val="18"/>
                <w:szCs w:val="18"/>
                <w:color w:val="auto"/>
                <w:w w:val="85"/>
              </w:rPr>
              <w:t>12.1</w:t>
            </w:r>
          </w:p>
        </w:tc>
        <w:tc>
          <w:tcPr>
            <w:tcW w:w="120" w:type="dxa"/>
            <w:vAlign w:val="bottom"/>
          </w:tcPr>
          <w:p>
            <w:pPr>
              <w:spacing w:after="0"/>
              <w:rPr>
                <w:sz w:val="24"/>
                <w:szCs w:val="24"/>
                <w:color w:val="auto"/>
              </w:rPr>
            </w:pPr>
          </w:p>
        </w:tc>
        <w:tc>
          <w:tcPr>
            <w:tcW w:w="6100" w:type="dxa"/>
            <w:vAlign w:val="bottom"/>
            <w:gridSpan w:val="4"/>
          </w:tcPr>
          <w:p>
            <w:pPr>
              <w:ind w:left="100"/>
              <w:spacing w:after="0"/>
              <w:rPr>
                <w:sz w:val="20"/>
                <w:szCs w:val="20"/>
                <w:color w:val="auto"/>
              </w:rPr>
            </w:pPr>
            <w:r>
              <w:rPr>
                <w:rFonts w:ascii="Arial" w:cs="Arial" w:eastAsia="Arial" w:hAnsi="Arial"/>
                <w:sz w:val="18"/>
                <w:szCs w:val="18"/>
                <w:color w:val="auto"/>
              </w:rPr>
              <w:t>Statement re Computation of Ratio of Earnings to Fixed Charges.</w:t>
            </w:r>
          </w:p>
        </w:tc>
        <w:tc>
          <w:tcPr>
            <w:tcW w:w="540" w:type="dxa"/>
            <w:vAlign w:val="bottom"/>
            <w:gridSpan w:val="2"/>
          </w:tcPr>
          <w:p>
            <w:pPr>
              <w:jc w:val="center"/>
              <w:ind w:right="140"/>
              <w:spacing w:after="0"/>
              <w:rPr>
                <w:sz w:val="20"/>
                <w:szCs w:val="20"/>
                <w:color w:val="auto"/>
              </w:rPr>
            </w:pPr>
            <w:r>
              <w:rPr>
                <w:rFonts w:ascii="Arial" w:cs="Arial" w:eastAsia="Arial" w:hAnsi="Arial"/>
                <w:sz w:val="18"/>
                <w:szCs w:val="18"/>
                <w:color w:val="auto"/>
                <w:w w:val="94"/>
              </w:rPr>
              <w:t>10-K</w:t>
            </w:r>
          </w:p>
        </w:tc>
        <w:tc>
          <w:tcPr>
            <w:tcW w:w="1280" w:type="dxa"/>
            <w:vAlign w:val="bottom"/>
            <w:gridSpan w:val="3"/>
          </w:tcPr>
          <w:p>
            <w:pPr>
              <w:jc w:val="center"/>
              <w:ind w:right="28"/>
              <w:spacing w:after="0"/>
              <w:rPr>
                <w:sz w:val="20"/>
                <w:szCs w:val="20"/>
                <w:color w:val="auto"/>
              </w:rPr>
            </w:pPr>
            <w:r>
              <w:rPr>
                <w:rFonts w:ascii="Arial" w:cs="Arial" w:eastAsia="Arial" w:hAnsi="Arial"/>
                <w:sz w:val="18"/>
                <w:szCs w:val="18"/>
                <w:color w:val="auto"/>
                <w:w w:val="90"/>
              </w:rPr>
              <w:t>001-34180</w:t>
            </w:r>
          </w:p>
        </w:tc>
        <w:tc>
          <w:tcPr>
            <w:tcW w:w="460" w:type="dxa"/>
            <w:vAlign w:val="bottom"/>
          </w:tcPr>
          <w:p>
            <w:pPr>
              <w:ind w:left="100"/>
              <w:spacing w:after="0"/>
              <w:rPr>
                <w:sz w:val="20"/>
                <w:szCs w:val="20"/>
                <w:color w:val="auto"/>
              </w:rPr>
            </w:pPr>
            <w:r>
              <w:rPr>
                <w:rFonts w:ascii="Arial" w:cs="Arial" w:eastAsia="Arial" w:hAnsi="Arial"/>
                <w:sz w:val="18"/>
                <w:szCs w:val="18"/>
                <w:color w:val="auto"/>
                <w:w w:val="96"/>
              </w:rPr>
              <w:t>12.1</w:t>
            </w:r>
          </w:p>
        </w:tc>
        <w:tc>
          <w:tcPr>
            <w:tcW w:w="160" w:type="dxa"/>
            <w:vAlign w:val="bottom"/>
          </w:tcPr>
          <w:p>
            <w:pPr>
              <w:spacing w:after="0"/>
              <w:rPr>
                <w:sz w:val="24"/>
                <w:szCs w:val="24"/>
                <w:color w:val="auto"/>
              </w:rPr>
            </w:pPr>
          </w:p>
        </w:tc>
        <w:tc>
          <w:tcPr>
            <w:tcW w:w="1140" w:type="dxa"/>
            <w:vAlign w:val="bottom"/>
            <w:gridSpan w:val="3"/>
          </w:tcPr>
          <w:p>
            <w:pPr>
              <w:jc w:val="center"/>
              <w:spacing w:after="0"/>
              <w:rPr>
                <w:sz w:val="20"/>
                <w:szCs w:val="20"/>
                <w:color w:val="auto"/>
              </w:rPr>
            </w:pPr>
            <w:r>
              <w:rPr>
                <w:rFonts w:ascii="Arial" w:cs="Arial" w:eastAsia="Arial" w:hAnsi="Arial"/>
                <w:sz w:val="18"/>
                <w:szCs w:val="18"/>
                <w:color w:val="auto"/>
                <w:w w:val="91"/>
              </w:rPr>
              <w:t>3/3/2017</w:t>
            </w: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480" w:type="dxa"/>
            <w:vAlign w:val="bottom"/>
            <w:gridSpan w:val="2"/>
          </w:tcPr>
          <w:p>
            <w:pPr>
              <w:jc w:val="right"/>
              <w:ind w:right="79"/>
              <w:spacing w:after="0"/>
              <w:rPr>
                <w:sz w:val="20"/>
                <w:szCs w:val="20"/>
                <w:color w:val="auto"/>
              </w:rPr>
            </w:pPr>
            <w:r>
              <w:rPr>
                <w:rFonts w:ascii="Arial" w:cs="Arial" w:eastAsia="Arial" w:hAnsi="Arial"/>
                <w:sz w:val="18"/>
                <w:szCs w:val="18"/>
                <w:color w:val="auto"/>
                <w:w w:val="85"/>
              </w:rPr>
              <w:t>23.1</w:t>
            </w:r>
          </w:p>
        </w:tc>
        <w:tc>
          <w:tcPr>
            <w:tcW w:w="120" w:type="dxa"/>
            <w:vAlign w:val="bottom"/>
          </w:tcPr>
          <w:p>
            <w:pPr>
              <w:spacing w:after="0"/>
              <w:rPr>
                <w:sz w:val="24"/>
                <w:szCs w:val="24"/>
                <w:color w:val="auto"/>
              </w:rPr>
            </w:pPr>
          </w:p>
        </w:tc>
        <w:tc>
          <w:tcPr>
            <w:tcW w:w="6100" w:type="dxa"/>
            <w:vAlign w:val="bottom"/>
            <w:gridSpan w:val="4"/>
          </w:tcPr>
          <w:p>
            <w:pPr>
              <w:ind w:left="100"/>
              <w:spacing w:after="0"/>
              <w:rPr>
                <w:sz w:val="20"/>
                <w:szCs w:val="20"/>
                <w:color w:val="auto"/>
              </w:rPr>
            </w:pPr>
            <w:r>
              <w:rPr>
                <w:rFonts w:ascii="Arial" w:cs="Arial" w:eastAsia="Arial" w:hAnsi="Arial"/>
                <w:sz w:val="18"/>
                <w:szCs w:val="18"/>
                <w:color w:val="auto"/>
              </w:rPr>
              <w:t>Consent of PricewaterhouseCoopers LLP, independent registered public</w:t>
            </w: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100" w:type="dxa"/>
            <w:vAlign w:val="bottom"/>
            <w:gridSpan w:val="4"/>
          </w:tcPr>
          <w:p>
            <w:pPr>
              <w:ind w:left="100"/>
              <w:spacing w:after="0"/>
              <w:rPr>
                <w:sz w:val="20"/>
                <w:szCs w:val="20"/>
                <w:color w:val="auto"/>
              </w:rPr>
            </w:pPr>
            <w:r>
              <w:rPr>
                <w:rFonts w:ascii="Arial" w:cs="Arial" w:eastAsia="Arial" w:hAnsi="Arial"/>
                <w:sz w:val="18"/>
                <w:szCs w:val="18"/>
                <w:color w:val="auto"/>
              </w:rPr>
              <w:t>accounting firm.</w:t>
            </w: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center"/>
              <w:ind w:right="4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324"/>
        </w:trPr>
        <w:tc>
          <w:tcPr>
            <w:tcW w:w="480" w:type="dxa"/>
            <w:vAlign w:val="bottom"/>
            <w:gridSpan w:val="2"/>
          </w:tcPr>
          <w:p>
            <w:pPr>
              <w:jc w:val="right"/>
              <w:ind w:right="79"/>
              <w:spacing w:after="0"/>
              <w:rPr>
                <w:sz w:val="20"/>
                <w:szCs w:val="20"/>
                <w:color w:val="auto"/>
              </w:rPr>
            </w:pPr>
            <w:r>
              <w:rPr>
                <w:rFonts w:ascii="Arial" w:cs="Arial" w:eastAsia="Arial" w:hAnsi="Arial"/>
                <w:sz w:val="18"/>
                <w:szCs w:val="18"/>
                <w:color w:val="auto"/>
                <w:w w:val="85"/>
              </w:rPr>
              <w:t>23.2</w:t>
            </w:r>
          </w:p>
        </w:tc>
        <w:tc>
          <w:tcPr>
            <w:tcW w:w="120" w:type="dxa"/>
            <w:vAlign w:val="bottom"/>
          </w:tcPr>
          <w:p>
            <w:pPr>
              <w:spacing w:after="0"/>
              <w:rPr>
                <w:sz w:val="24"/>
                <w:szCs w:val="24"/>
                <w:color w:val="auto"/>
              </w:rPr>
            </w:pPr>
          </w:p>
        </w:tc>
        <w:tc>
          <w:tcPr>
            <w:tcW w:w="6100" w:type="dxa"/>
            <w:vAlign w:val="bottom"/>
            <w:gridSpan w:val="4"/>
          </w:tcPr>
          <w:p>
            <w:pPr>
              <w:ind w:left="100"/>
              <w:spacing w:after="0"/>
              <w:rPr>
                <w:sz w:val="20"/>
                <w:szCs w:val="20"/>
                <w:color w:val="auto"/>
              </w:rPr>
            </w:pPr>
            <w:r>
              <w:rPr>
                <w:rFonts w:ascii="Arial" w:cs="Arial" w:eastAsia="Arial" w:hAnsi="Arial"/>
                <w:sz w:val="18"/>
                <w:szCs w:val="18"/>
                <w:color w:val="auto"/>
                <w:w w:val="95"/>
              </w:rPr>
              <w:t>Consent of Ernst &amp; Young LLP, independent registered public accounting firm.</w:t>
            </w: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gridSpan w:val="2"/>
          </w:tcPr>
          <w:p>
            <w:pPr>
              <w:jc w:val="center"/>
              <w:ind w:right="4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310"/>
        </w:trPr>
        <w:tc>
          <w:tcPr>
            <w:tcW w:w="480" w:type="dxa"/>
            <w:vAlign w:val="bottom"/>
            <w:gridSpan w:val="2"/>
          </w:tcPr>
          <w:p>
            <w:pPr>
              <w:jc w:val="right"/>
              <w:ind w:right="79"/>
              <w:spacing w:after="0"/>
              <w:rPr>
                <w:sz w:val="20"/>
                <w:szCs w:val="20"/>
                <w:color w:val="auto"/>
              </w:rPr>
            </w:pPr>
            <w:r>
              <w:rPr>
                <w:rFonts w:ascii="Arial" w:cs="Arial" w:eastAsia="Arial" w:hAnsi="Arial"/>
                <w:sz w:val="18"/>
                <w:szCs w:val="18"/>
                <w:color w:val="auto"/>
                <w:w w:val="85"/>
              </w:rPr>
              <w:t>23.3</w:t>
            </w:r>
          </w:p>
        </w:tc>
        <w:tc>
          <w:tcPr>
            <w:tcW w:w="120" w:type="dxa"/>
            <w:vAlign w:val="bottom"/>
          </w:tcPr>
          <w:p>
            <w:pPr>
              <w:spacing w:after="0"/>
              <w:rPr>
                <w:sz w:val="24"/>
                <w:szCs w:val="24"/>
                <w:color w:val="auto"/>
              </w:rPr>
            </w:pPr>
          </w:p>
        </w:tc>
        <w:tc>
          <w:tcPr>
            <w:tcW w:w="6100" w:type="dxa"/>
            <w:vAlign w:val="bottom"/>
            <w:gridSpan w:val="4"/>
          </w:tcPr>
          <w:p>
            <w:pPr>
              <w:ind w:left="100"/>
              <w:spacing w:after="0"/>
              <w:rPr>
                <w:sz w:val="20"/>
                <w:szCs w:val="20"/>
                <w:color w:val="auto"/>
              </w:rPr>
            </w:pPr>
            <w:r>
              <w:rPr>
                <w:rFonts w:ascii="Arial" w:cs="Arial" w:eastAsia="Arial" w:hAnsi="Arial"/>
                <w:sz w:val="18"/>
                <w:szCs w:val="18"/>
                <w:color w:val="auto"/>
              </w:rPr>
              <w:t>Consent of Wilson Sonsini Goodrich &amp; Rosati, Professional Corporation</w:t>
            </w: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100" w:type="dxa"/>
            <w:vAlign w:val="bottom"/>
            <w:gridSpan w:val="4"/>
          </w:tcPr>
          <w:p>
            <w:pPr>
              <w:ind w:left="100"/>
              <w:spacing w:after="0"/>
              <w:rPr>
                <w:sz w:val="20"/>
                <w:szCs w:val="20"/>
                <w:color w:val="auto"/>
              </w:rPr>
            </w:pPr>
            <w:r>
              <w:rPr>
                <w:rFonts w:ascii="Arial" w:cs="Arial" w:eastAsia="Arial" w:hAnsi="Arial"/>
                <w:sz w:val="18"/>
                <w:szCs w:val="18"/>
                <w:color w:val="auto"/>
              </w:rPr>
              <w:t>(included in Exhibit 5.1).</w:t>
            </w: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center"/>
              <w:ind w:right="4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324"/>
        </w:trPr>
        <w:tc>
          <w:tcPr>
            <w:tcW w:w="480" w:type="dxa"/>
            <w:vAlign w:val="bottom"/>
            <w:gridSpan w:val="2"/>
          </w:tcPr>
          <w:p>
            <w:pPr>
              <w:jc w:val="right"/>
              <w:ind w:right="79"/>
              <w:spacing w:after="0"/>
              <w:rPr>
                <w:sz w:val="20"/>
                <w:szCs w:val="20"/>
                <w:color w:val="auto"/>
              </w:rPr>
            </w:pPr>
            <w:r>
              <w:rPr>
                <w:rFonts w:ascii="Arial" w:cs="Arial" w:eastAsia="Arial" w:hAnsi="Arial"/>
                <w:sz w:val="18"/>
                <w:szCs w:val="18"/>
                <w:color w:val="auto"/>
                <w:w w:val="85"/>
              </w:rPr>
              <w:t>24.1</w:t>
            </w:r>
          </w:p>
        </w:tc>
        <w:tc>
          <w:tcPr>
            <w:tcW w:w="120" w:type="dxa"/>
            <w:vAlign w:val="bottom"/>
          </w:tcPr>
          <w:p>
            <w:pPr>
              <w:spacing w:after="0"/>
              <w:rPr>
                <w:sz w:val="24"/>
                <w:szCs w:val="24"/>
                <w:color w:val="auto"/>
              </w:rPr>
            </w:pPr>
          </w:p>
        </w:tc>
        <w:tc>
          <w:tcPr>
            <w:tcW w:w="6100" w:type="dxa"/>
            <w:vAlign w:val="bottom"/>
            <w:gridSpan w:val="4"/>
          </w:tcPr>
          <w:p>
            <w:pPr>
              <w:ind w:left="100"/>
              <w:spacing w:after="0"/>
              <w:rPr>
                <w:sz w:val="20"/>
                <w:szCs w:val="20"/>
                <w:color w:val="auto"/>
              </w:rPr>
            </w:pPr>
            <w:r>
              <w:rPr>
                <w:rFonts w:ascii="Arial" w:cs="Arial" w:eastAsia="Arial" w:hAnsi="Arial"/>
                <w:sz w:val="18"/>
                <w:szCs w:val="18"/>
                <w:color w:val="auto"/>
              </w:rPr>
              <w:t>Power of Attorney (included on signature page thereto).</w:t>
            </w:r>
          </w:p>
        </w:tc>
        <w:tc>
          <w:tcPr>
            <w:tcW w:w="540" w:type="dxa"/>
            <w:vAlign w:val="bottom"/>
            <w:gridSpan w:val="2"/>
          </w:tcPr>
          <w:p>
            <w:pPr>
              <w:ind w:left="140"/>
              <w:spacing w:after="0"/>
              <w:rPr>
                <w:sz w:val="20"/>
                <w:szCs w:val="20"/>
                <w:color w:val="auto"/>
              </w:rPr>
            </w:pPr>
            <w:r>
              <w:rPr>
                <w:rFonts w:ascii="Arial" w:cs="Arial" w:eastAsia="Arial" w:hAnsi="Arial"/>
                <w:sz w:val="18"/>
                <w:szCs w:val="18"/>
                <w:color w:val="auto"/>
              </w:rPr>
              <w:t>S-3</w:t>
            </w:r>
          </w:p>
        </w:tc>
        <w:tc>
          <w:tcPr>
            <w:tcW w:w="1280" w:type="dxa"/>
            <w:vAlign w:val="bottom"/>
            <w:gridSpan w:val="3"/>
          </w:tcPr>
          <w:p>
            <w:pPr>
              <w:jc w:val="center"/>
              <w:ind w:right="8"/>
              <w:spacing w:after="0"/>
              <w:rPr>
                <w:sz w:val="20"/>
                <w:szCs w:val="20"/>
                <w:color w:val="auto"/>
              </w:rPr>
            </w:pPr>
            <w:r>
              <w:rPr>
                <w:rFonts w:ascii="Arial" w:cs="Arial" w:eastAsia="Arial" w:hAnsi="Arial"/>
                <w:sz w:val="18"/>
                <w:szCs w:val="18"/>
                <w:color w:val="auto"/>
                <w:w w:val="91"/>
              </w:rPr>
              <w:t>333-216542</w:t>
            </w:r>
          </w:p>
        </w:tc>
        <w:tc>
          <w:tcPr>
            <w:tcW w:w="620" w:type="dxa"/>
            <w:vAlign w:val="bottom"/>
            <w:gridSpan w:val="2"/>
          </w:tcPr>
          <w:p>
            <w:pPr>
              <w:ind w:left="160"/>
              <w:spacing w:after="0"/>
              <w:rPr>
                <w:sz w:val="20"/>
                <w:szCs w:val="20"/>
                <w:color w:val="auto"/>
              </w:rPr>
            </w:pPr>
            <w:r>
              <w:rPr>
                <w:rFonts w:ascii="Arial" w:cs="Arial" w:eastAsia="Arial" w:hAnsi="Arial"/>
                <w:sz w:val="18"/>
                <w:szCs w:val="18"/>
                <w:color w:val="auto"/>
              </w:rPr>
              <w:t>24.1</w:t>
            </w:r>
          </w:p>
        </w:tc>
        <w:tc>
          <w:tcPr>
            <w:tcW w:w="1140" w:type="dxa"/>
            <w:vAlign w:val="bottom"/>
            <w:gridSpan w:val="3"/>
          </w:tcPr>
          <w:p>
            <w:pPr>
              <w:jc w:val="right"/>
              <w:ind w:right="160"/>
              <w:spacing w:after="0"/>
              <w:rPr>
                <w:sz w:val="20"/>
                <w:szCs w:val="20"/>
                <w:color w:val="auto"/>
              </w:rPr>
            </w:pPr>
            <w:r>
              <w:rPr>
                <w:rFonts w:ascii="Arial" w:cs="Arial" w:eastAsia="Arial" w:hAnsi="Arial"/>
                <w:sz w:val="18"/>
                <w:szCs w:val="18"/>
                <w:color w:val="auto"/>
              </w:rPr>
              <w:t>3/8/2017</w:t>
            </w: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480" w:type="dxa"/>
            <w:vAlign w:val="bottom"/>
            <w:gridSpan w:val="2"/>
          </w:tcPr>
          <w:p>
            <w:pPr>
              <w:jc w:val="right"/>
              <w:ind w:right="79"/>
              <w:spacing w:after="0"/>
              <w:rPr>
                <w:sz w:val="20"/>
                <w:szCs w:val="20"/>
                <w:color w:val="auto"/>
              </w:rPr>
            </w:pPr>
            <w:r>
              <w:rPr>
                <w:rFonts w:ascii="Arial" w:cs="Arial" w:eastAsia="Arial" w:hAnsi="Arial"/>
                <w:sz w:val="18"/>
                <w:szCs w:val="18"/>
                <w:color w:val="auto"/>
                <w:w w:val="85"/>
              </w:rPr>
              <w:t>24.2</w:t>
            </w:r>
          </w:p>
        </w:tc>
        <w:tc>
          <w:tcPr>
            <w:tcW w:w="120" w:type="dxa"/>
            <w:vAlign w:val="bottom"/>
          </w:tcPr>
          <w:p>
            <w:pPr>
              <w:spacing w:after="0"/>
              <w:rPr>
                <w:sz w:val="24"/>
                <w:szCs w:val="24"/>
                <w:color w:val="auto"/>
              </w:rPr>
            </w:pPr>
          </w:p>
        </w:tc>
        <w:tc>
          <w:tcPr>
            <w:tcW w:w="6100" w:type="dxa"/>
            <w:vAlign w:val="bottom"/>
            <w:gridSpan w:val="4"/>
          </w:tcPr>
          <w:p>
            <w:pPr>
              <w:ind w:left="100"/>
              <w:spacing w:after="0"/>
              <w:rPr>
                <w:sz w:val="20"/>
                <w:szCs w:val="20"/>
                <w:color w:val="auto"/>
              </w:rPr>
            </w:pPr>
            <w:r>
              <w:rPr>
                <w:rFonts w:ascii="Arial" w:cs="Arial" w:eastAsia="Arial" w:hAnsi="Arial"/>
                <w:sz w:val="18"/>
                <w:szCs w:val="18"/>
                <w:color w:val="auto"/>
              </w:rPr>
              <w:t>Power of Attorney for certain directors of Fluidigm Corporation, authorizing</w:t>
            </w: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100" w:type="dxa"/>
            <w:vAlign w:val="bottom"/>
            <w:gridSpan w:val="4"/>
          </w:tcPr>
          <w:p>
            <w:pPr>
              <w:ind w:left="100"/>
              <w:spacing w:after="0"/>
              <w:rPr>
                <w:sz w:val="20"/>
                <w:szCs w:val="20"/>
                <w:color w:val="auto"/>
              </w:rPr>
            </w:pPr>
            <w:r>
              <w:rPr>
                <w:rFonts w:ascii="Arial" w:cs="Arial" w:eastAsia="Arial" w:hAnsi="Arial"/>
                <w:sz w:val="18"/>
                <w:szCs w:val="18"/>
                <w:color w:val="auto"/>
              </w:rPr>
              <w:t>the signing of the Registration Statement on Form S-3 on their behalf.</w:t>
            </w: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center"/>
              <w:ind w:right="4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310"/>
        </w:trPr>
        <w:tc>
          <w:tcPr>
            <w:tcW w:w="480" w:type="dxa"/>
            <w:vAlign w:val="bottom"/>
            <w:gridSpan w:val="2"/>
          </w:tcPr>
          <w:p>
            <w:pPr>
              <w:jc w:val="right"/>
              <w:spacing w:after="0"/>
              <w:rPr>
                <w:sz w:val="20"/>
                <w:szCs w:val="20"/>
                <w:color w:val="auto"/>
              </w:rPr>
            </w:pPr>
            <w:r>
              <w:rPr>
                <w:rFonts w:ascii="Arial" w:cs="Arial" w:eastAsia="Arial" w:hAnsi="Arial"/>
                <w:sz w:val="18"/>
                <w:szCs w:val="18"/>
                <w:color w:val="auto"/>
                <w:w w:val="95"/>
              </w:rPr>
              <w:t>25.1*</w:t>
            </w:r>
          </w:p>
        </w:tc>
        <w:tc>
          <w:tcPr>
            <w:tcW w:w="120" w:type="dxa"/>
            <w:vAlign w:val="bottom"/>
          </w:tcPr>
          <w:p>
            <w:pPr>
              <w:spacing w:after="0"/>
              <w:rPr>
                <w:sz w:val="24"/>
                <w:szCs w:val="24"/>
                <w:color w:val="auto"/>
              </w:rPr>
            </w:pPr>
          </w:p>
        </w:tc>
        <w:tc>
          <w:tcPr>
            <w:tcW w:w="6100" w:type="dxa"/>
            <w:vAlign w:val="bottom"/>
            <w:gridSpan w:val="4"/>
          </w:tcPr>
          <w:p>
            <w:pPr>
              <w:ind w:left="100"/>
              <w:spacing w:after="0"/>
              <w:rPr>
                <w:sz w:val="20"/>
                <w:szCs w:val="20"/>
                <w:color w:val="auto"/>
              </w:rPr>
            </w:pPr>
            <w:r>
              <w:rPr>
                <w:rFonts w:ascii="Arial" w:cs="Arial" w:eastAsia="Arial" w:hAnsi="Arial"/>
                <w:sz w:val="18"/>
                <w:szCs w:val="18"/>
                <w:color w:val="auto"/>
              </w:rPr>
              <w:t>Form T-1 Statement of Eligibility of Trustee for Senior Indenture under the</w:t>
            </w: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100" w:type="dxa"/>
            <w:vAlign w:val="bottom"/>
            <w:gridSpan w:val="4"/>
          </w:tcPr>
          <w:p>
            <w:pPr>
              <w:ind w:left="100"/>
              <w:spacing w:after="0"/>
              <w:rPr>
                <w:sz w:val="20"/>
                <w:szCs w:val="20"/>
                <w:color w:val="auto"/>
              </w:rPr>
            </w:pPr>
            <w:r>
              <w:rPr>
                <w:rFonts w:ascii="Arial" w:cs="Arial" w:eastAsia="Arial" w:hAnsi="Arial"/>
                <w:sz w:val="18"/>
                <w:szCs w:val="18"/>
                <w:color w:val="auto"/>
              </w:rPr>
              <w:t>Trust Indenture Act of 1939.</w:t>
            </w: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480" w:type="dxa"/>
            <w:vAlign w:val="bottom"/>
            <w:gridSpan w:val="2"/>
          </w:tcPr>
          <w:p>
            <w:pPr>
              <w:jc w:val="right"/>
              <w:spacing w:after="0"/>
              <w:rPr>
                <w:sz w:val="20"/>
                <w:szCs w:val="20"/>
                <w:color w:val="auto"/>
              </w:rPr>
            </w:pPr>
            <w:r>
              <w:rPr>
                <w:rFonts w:ascii="Arial" w:cs="Arial" w:eastAsia="Arial" w:hAnsi="Arial"/>
                <w:sz w:val="18"/>
                <w:szCs w:val="18"/>
                <w:color w:val="auto"/>
                <w:w w:val="95"/>
              </w:rPr>
              <w:t>25.2*</w:t>
            </w:r>
          </w:p>
        </w:tc>
        <w:tc>
          <w:tcPr>
            <w:tcW w:w="120" w:type="dxa"/>
            <w:vAlign w:val="bottom"/>
          </w:tcPr>
          <w:p>
            <w:pPr>
              <w:spacing w:after="0"/>
              <w:rPr>
                <w:sz w:val="24"/>
                <w:szCs w:val="24"/>
                <w:color w:val="auto"/>
              </w:rPr>
            </w:pPr>
          </w:p>
        </w:tc>
        <w:tc>
          <w:tcPr>
            <w:tcW w:w="6100" w:type="dxa"/>
            <w:vAlign w:val="bottom"/>
            <w:gridSpan w:val="4"/>
          </w:tcPr>
          <w:p>
            <w:pPr>
              <w:ind w:left="100"/>
              <w:spacing w:after="0"/>
              <w:rPr>
                <w:sz w:val="20"/>
                <w:szCs w:val="20"/>
                <w:color w:val="auto"/>
              </w:rPr>
            </w:pPr>
            <w:r>
              <w:rPr>
                <w:rFonts w:ascii="Arial" w:cs="Arial" w:eastAsia="Arial" w:hAnsi="Arial"/>
                <w:sz w:val="18"/>
                <w:szCs w:val="18"/>
                <w:color w:val="auto"/>
                <w:w w:val="97"/>
              </w:rPr>
              <w:t>Form T-1 Statement of Eligibility of Trustee for Subordinated Indenture under</w:t>
            </w: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100" w:type="dxa"/>
            <w:vAlign w:val="bottom"/>
            <w:gridSpan w:val="4"/>
          </w:tcPr>
          <w:p>
            <w:pPr>
              <w:ind w:left="100"/>
              <w:spacing w:after="0"/>
              <w:rPr>
                <w:sz w:val="20"/>
                <w:szCs w:val="20"/>
                <w:color w:val="auto"/>
              </w:rPr>
            </w:pPr>
            <w:r>
              <w:rPr>
                <w:rFonts w:ascii="Arial" w:cs="Arial" w:eastAsia="Arial" w:hAnsi="Arial"/>
                <w:sz w:val="18"/>
                <w:szCs w:val="18"/>
                <w:color w:val="auto"/>
              </w:rPr>
              <w:t>the Trust Indenture Act of 1939.</w:t>
            </w: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420"/>
          </w:cols>
          <w:pgMar w:left="240" w:top="274" w:right="239" w:bottom="1440" w:gutter="0" w:footer="0" w:header="0"/>
        </w:sectPr>
      </w:pPr>
    </w:p>
    <w:bookmarkStart w:id="5" w:name="page6"/>
    <w:bookmarkEnd w:id="5"/>
    <w:p>
      <w:pPr>
        <w:ind w:left="460" w:right="540" w:hanging="452"/>
        <w:spacing w:after="0" w:line="258"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269240</wp:posOffset>
            </wp:positionV>
            <wp:extent cx="72898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80" cy="8890"/>
                    </a:xfrm>
                    <a:prstGeom prst="rect">
                      <a:avLst/>
                    </a:prstGeom>
                    <a:noFill/>
                  </pic:spPr>
                </pic:pic>
              </a:graphicData>
            </a:graphic>
          </wp:anchor>
        </w:drawing>
        <w:t>To be filed by amendment or as an exhibit to a report pursuant to Section 13(a) or 15(d) of the Securities Exchange Act of 1934, as amended and incorporated herein by reference.</w:t>
      </w:r>
    </w:p>
    <w:p>
      <w:pPr>
        <w:spacing w:after="0" w:line="1"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Previously filed.</w:t>
      </w:r>
    </w:p>
    <w:p>
      <w:pPr>
        <w:spacing w:after="0" w:line="35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17.</w:t>
      </w:r>
      <w:r>
        <w:rPr>
          <w:sz w:val="20"/>
          <w:szCs w:val="20"/>
          <w:color w:val="auto"/>
        </w:rPr>
        <w:tab/>
      </w:r>
      <w:r>
        <w:rPr>
          <w:rFonts w:ascii="Arial" w:cs="Arial" w:eastAsia="Arial" w:hAnsi="Arial"/>
          <w:sz w:val="15"/>
          <w:szCs w:val="15"/>
          <w:b w:val="1"/>
          <w:bCs w:val="1"/>
          <w:i w:val="1"/>
          <w:iCs w:val="1"/>
          <w:color w:val="auto"/>
        </w:rPr>
        <w:t>Undertakings</w:t>
      </w:r>
    </w:p>
    <w:p>
      <w:pPr>
        <w:spacing w:after="0" w:line="121" w:lineRule="exact"/>
        <w:rPr>
          <w:sz w:val="20"/>
          <w:szCs w:val="20"/>
          <w:color w:val="auto"/>
        </w:rPr>
      </w:pPr>
    </w:p>
    <w:p>
      <w:pPr>
        <w:ind w:left="1300" w:hanging="379"/>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117" w:lineRule="exact"/>
        <w:rPr>
          <w:rFonts w:ascii="Arial" w:cs="Arial" w:eastAsia="Arial" w:hAnsi="Arial"/>
          <w:sz w:val="18"/>
          <w:szCs w:val="18"/>
          <w:color w:val="auto"/>
        </w:rPr>
      </w:pPr>
    </w:p>
    <w:p>
      <w:pPr>
        <w:ind w:left="1720" w:hanging="379"/>
        <w:spacing w:after="0"/>
        <w:tabs>
          <w:tab w:leader="none" w:pos="1720" w:val="left"/>
        </w:tabs>
        <w:numPr>
          <w:ilvl w:val="1"/>
          <w:numId w:val="8"/>
        </w:numPr>
        <w:rPr>
          <w:rFonts w:ascii="Arial" w:cs="Arial" w:eastAsia="Arial" w:hAnsi="Arial"/>
          <w:sz w:val="17"/>
          <w:szCs w:val="17"/>
          <w:color w:val="auto"/>
        </w:rPr>
      </w:pPr>
      <w:r>
        <w:rPr>
          <w:rFonts w:ascii="Arial" w:cs="Arial" w:eastAsia="Arial" w:hAnsi="Arial"/>
          <w:sz w:val="17"/>
          <w:szCs w:val="17"/>
          <w:color w:val="auto"/>
        </w:rPr>
        <w:t>To file, during any period in which offers or sales are being made, a post-effective amendment to this registration statement:</w:t>
      </w:r>
    </w:p>
    <w:p>
      <w:pPr>
        <w:spacing w:after="0" w:line="128" w:lineRule="exact"/>
        <w:rPr>
          <w:rFonts w:ascii="Arial" w:cs="Arial" w:eastAsia="Arial" w:hAnsi="Arial"/>
          <w:sz w:val="17"/>
          <w:szCs w:val="17"/>
          <w:color w:val="auto"/>
        </w:rPr>
      </w:pPr>
    </w:p>
    <w:p>
      <w:pPr>
        <w:ind w:left="2240" w:hanging="351"/>
        <w:spacing w:after="0"/>
        <w:tabs>
          <w:tab w:leader="none" w:pos="2240" w:val="left"/>
        </w:tabs>
        <w:numPr>
          <w:ilvl w:val="2"/>
          <w:numId w:val="8"/>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w:t>
      </w:r>
    </w:p>
    <w:p>
      <w:pPr>
        <w:spacing w:after="0" w:line="117" w:lineRule="exact"/>
        <w:rPr>
          <w:rFonts w:ascii="Arial" w:cs="Arial" w:eastAsia="Arial" w:hAnsi="Arial"/>
          <w:sz w:val="18"/>
          <w:szCs w:val="18"/>
          <w:color w:val="auto"/>
        </w:rPr>
      </w:pPr>
    </w:p>
    <w:p>
      <w:pPr>
        <w:ind w:left="1500" w:right="60" w:firstLine="389"/>
        <w:spacing w:after="0" w:line="272" w:lineRule="auto"/>
        <w:tabs>
          <w:tab w:leader="none" w:pos="2294" w:val="left"/>
        </w:tabs>
        <w:numPr>
          <w:ilvl w:val="2"/>
          <w:numId w:val="8"/>
        </w:numPr>
        <w:rPr>
          <w:rFonts w:ascii="Arial" w:cs="Arial" w:eastAsia="Arial" w:hAnsi="Arial"/>
          <w:sz w:val="17"/>
          <w:szCs w:val="17"/>
          <w:color w:val="auto"/>
        </w:rPr>
      </w:pPr>
      <w:r>
        <w:rPr>
          <w:rFonts w:ascii="Arial" w:cs="Arial" w:eastAsia="Arial" w:hAnsi="Arial"/>
          <w:sz w:val="17"/>
          <w:szCs w:val="17"/>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a 20% change in the maximum aggregate offering price set forth in the “Calculation of Registration Fee” table in the effective registration statement; and</w:t>
      </w:r>
    </w:p>
    <w:p>
      <w:pPr>
        <w:spacing w:after="0" w:line="69" w:lineRule="exact"/>
        <w:rPr>
          <w:rFonts w:ascii="Arial" w:cs="Arial" w:eastAsia="Arial" w:hAnsi="Arial"/>
          <w:sz w:val="17"/>
          <w:szCs w:val="17"/>
          <w:color w:val="auto"/>
        </w:rPr>
      </w:pPr>
    </w:p>
    <w:p>
      <w:pPr>
        <w:ind w:left="1500" w:right="580" w:firstLine="389"/>
        <w:spacing w:after="0" w:line="277" w:lineRule="auto"/>
        <w:tabs>
          <w:tab w:leader="none" w:pos="2344" w:val="left"/>
        </w:tabs>
        <w:numPr>
          <w:ilvl w:val="2"/>
          <w:numId w:val="8"/>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62" w:lineRule="exact"/>
        <w:rPr>
          <w:sz w:val="20"/>
          <w:szCs w:val="20"/>
          <w:color w:val="auto"/>
        </w:rPr>
      </w:pPr>
    </w:p>
    <w:p>
      <w:pPr>
        <w:ind w:left="920"/>
        <w:spacing w:after="0" w:line="291" w:lineRule="auto"/>
        <w:rPr>
          <w:sz w:val="20"/>
          <w:szCs w:val="20"/>
          <w:color w:val="auto"/>
        </w:rPr>
      </w:pPr>
      <w:r>
        <w:rPr>
          <w:rFonts w:ascii="Arial" w:cs="Arial" w:eastAsia="Arial" w:hAnsi="Arial"/>
          <w:sz w:val="16"/>
          <w:szCs w:val="16"/>
          <w:i w:val="1"/>
          <w:iCs w:val="1"/>
          <w:color w:val="auto"/>
        </w:rPr>
        <w:t>provided, however</w:t>
      </w:r>
      <w:r>
        <w:rPr>
          <w:rFonts w:ascii="Arial" w:cs="Arial" w:eastAsia="Arial" w:hAnsi="Arial"/>
          <w:sz w:val="16"/>
          <w:szCs w:val="16"/>
          <w:color w:val="auto"/>
        </w:rPr>
        <w:t>, that paragraphs (a)(1)(i) and (a)(1)(ii) of this section do not apply if the information required to be included in a post-effective</w:t>
      </w:r>
      <w:r>
        <w:rPr>
          <w:rFonts w:ascii="Arial" w:cs="Arial" w:eastAsia="Arial" w:hAnsi="Arial"/>
          <w:sz w:val="16"/>
          <w:szCs w:val="16"/>
          <w:i w:val="1"/>
          <w:iCs w:val="1"/>
          <w:color w:val="auto"/>
        </w:rPr>
        <w:t xml:space="preserve"> </w:t>
      </w:r>
      <w:r>
        <w:rPr>
          <w:rFonts w:ascii="Arial" w:cs="Arial" w:eastAsia="Arial" w:hAnsi="Arial"/>
          <w:sz w:val="16"/>
          <w:szCs w:val="16"/>
          <w:color w:val="auto"/>
        </w:rPr>
        <w:t>amendment by those paragraphs is contained in reports filed with or furnished to the SEC by the registrant pursuant to Section 13 or</w:t>
      </w:r>
    </w:p>
    <w:p>
      <w:pPr>
        <w:ind w:left="920" w:right="80"/>
        <w:spacing w:after="0" w:line="261" w:lineRule="auto"/>
        <w:rPr>
          <w:sz w:val="20"/>
          <w:szCs w:val="20"/>
          <w:color w:val="auto"/>
        </w:rPr>
      </w:pPr>
      <w:r>
        <w:rPr>
          <w:rFonts w:ascii="Arial" w:cs="Arial" w:eastAsia="Arial" w:hAnsi="Arial"/>
          <w:sz w:val="18"/>
          <w:szCs w:val="18"/>
          <w:color w:val="auto"/>
        </w:rPr>
        <w:t>Section 15(d) of the Securities Exchange Act of 1934 that are incorporated by reference in the registration statement, or is contained in a form of prospectus filed pursuant to Rule 424(b) that is part of the registration statement.</w:t>
      </w:r>
    </w:p>
    <w:p>
      <w:pPr>
        <w:spacing w:after="0" w:line="76" w:lineRule="exact"/>
        <w:rPr>
          <w:sz w:val="20"/>
          <w:szCs w:val="20"/>
          <w:color w:val="auto"/>
        </w:rPr>
      </w:pPr>
    </w:p>
    <w:p>
      <w:pPr>
        <w:ind w:left="920" w:firstLine="421"/>
        <w:spacing w:after="0" w:line="264" w:lineRule="auto"/>
        <w:tabs>
          <w:tab w:leader="none" w:pos="1726" w:val="left"/>
        </w:tabs>
        <w:numPr>
          <w:ilvl w:val="0"/>
          <w:numId w:val="9"/>
        </w:numPr>
        <w:rPr>
          <w:rFonts w:ascii="Arial" w:cs="Arial" w:eastAsia="Arial" w:hAnsi="Arial"/>
          <w:sz w:val="18"/>
          <w:szCs w:val="18"/>
          <w:color w:val="auto"/>
        </w:rPr>
      </w:pPr>
      <w:r>
        <w:rPr>
          <w:rFonts w:ascii="Arial" w:cs="Arial" w:eastAsia="Arial" w:hAnsi="Arial"/>
          <w:sz w:val="18"/>
          <w:szCs w:val="18"/>
          <w:color w:val="auto"/>
        </w:rPr>
        <w:t xml:space="preserve">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offering thereof.</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420"/>
          </w:cols>
          <w:pgMar w:left="240" w:top="463" w:right="239" w:bottom="1440" w:gutter="0" w:footer="0" w:header="0"/>
        </w:sectPr>
      </w:pPr>
    </w:p>
    <w:bookmarkStart w:id="6" w:name="page7"/>
    <w:bookmarkEnd w:id="6"/>
    <w:p>
      <w:pPr>
        <w:ind w:left="-280" w:firstLine="421"/>
        <w:spacing w:after="0" w:line="277" w:lineRule="auto"/>
        <w:tabs>
          <w:tab w:leader="none" w:pos="526" w:val="left"/>
        </w:tabs>
        <w:numPr>
          <w:ilvl w:val="0"/>
          <w:numId w:val="1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To remove from registration by means of a post-effective amendment any of the securities being registered which remain unsold at the termination of the offering.</w:t>
      </w:r>
    </w:p>
    <w:p>
      <w:pPr>
        <w:spacing w:after="0" w:line="62" w:lineRule="exact"/>
        <w:rPr>
          <w:rFonts w:ascii="Arial" w:cs="Arial" w:eastAsia="Arial" w:hAnsi="Arial"/>
          <w:sz w:val="18"/>
          <w:szCs w:val="18"/>
          <w:color w:val="auto"/>
        </w:rPr>
      </w:pPr>
    </w:p>
    <w:p>
      <w:pPr>
        <w:ind w:left="520" w:hanging="379"/>
        <w:spacing w:after="0"/>
        <w:tabs>
          <w:tab w:leader="none" w:pos="5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That, for the purpose of determining liability under the Securities Act of 1933 to any purchaser:</w:t>
      </w:r>
    </w:p>
    <w:p>
      <w:pPr>
        <w:spacing w:after="0" w:line="117" w:lineRule="exact"/>
        <w:rPr>
          <w:rFonts w:ascii="Arial" w:cs="Arial" w:eastAsia="Arial" w:hAnsi="Arial"/>
          <w:sz w:val="18"/>
          <w:szCs w:val="18"/>
          <w:color w:val="auto"/>
        </w:rPr>
      </w:pPr>
    </w:p>
    <w:p>
      <w:pPr>
        <w:ind w:left="900" w:hanging="211"/>
        <w:spacing w:after="0"/>
        <w:tabs>
          <w:tab w:leader="none" w:pos="9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If the registrant is relying on Rule 430B,</w:t>
      </w:r>
    </w:p>
    <w:p>
      <w:pPr>
        <w:spacing w:after="0" w:line="117" w:lineRule="exact"/>
        <w:rPr>
          <w:sz w:val="20"/>
          <w:szCs w:val="20"/>
          <w:color w:val="auto"/>
        </w:rPr>
      </w:pPr>
    </w:p>
    <w:p>
      <w:pPr>
        <w:ind w:left="300" w:right="160" w:firstLine="389"/>
        <w:spacing w:after="0" w:line="277" w:lineRule="auto"/>
        <w:tabs>
          <w:tab w:leader="none" w:pos="1127" w:val="left"/>
        </w:tabs>
        <w:numPr>
          <w:ilvl w:val="0"/>
          <w:numId w:val="11"/>
        </w:numPr>
        <w:rPr>
          <w:rFonts w:ascii="Arial" w:cs="Arial" w:eastAsia="Arial" w:hAnsi="Arial"/>
          <w:sz w:val="18"/>
          <w:szCs w:val="18"/>
          <w:color w:val="auto"/>
        </w:rPr>
      </w:pPr>
      <w:r>
        <w:rPr>
          <w:rFonts w:ascii="Arial" w:cs="Arial" w:eastAsia="Arial" w:hAnsi="Arial"/>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62" w:lineRule="exact"/>
        <w:rPr>
          <w:rFonts w:ascii="Arial" w:cs="Arial" w:eastAsia="Arial" w:hAnsi="Arial"/>
          <w:sz w:val="18"/>
          <w:szCs w:val="18"/>
          <w:color w:val="auto"/>
        </w:rPr>
      </w:pPr>
    </w:p>
    <w:p>
      <w:pPr>
        <w:ind w:left="300" w:right="40" w:firstLine="389"/>
        <w:spacing w:after="0" w:line="269" w:lineRule="auto"/>
        <w:tabs>
          <w:tab w:leader="none" w:pos="1117" w:val="left"/>
        </w:tabs>
        <w:numPr>
          <w:ilvl w:val="0"/>
          <w:numId w:val="11"/>
        </w:numPr>
        <w:rPr>
          <w:rFonts w:ascii="Arial" w:cs="Arial" w:eastAsia="Arial" w:hAnsi="Arial"/>
          <w:sz w:val="17"/>
          <w:szCs w:val="17"/>
          <w:color w:val="auto"/>
        </w:rPr>
      </w:pPr>
      <w:r>
        <w:rPr>
          <w:rFonts w:ascii="Arial" w:cs="Arial" w:eastAsia="Arial" w:hAnsi="Arial"/>
          <w:sz w:val="17"/>
          <w:szCs w:val="17"/>
          <w:color w:val="auto"/>
        </w:rPr>
        <w:t>Each prospectus required to be filed pursuant to Rule 424(b)(2), (b)(5) or (b)(7) as part of a registration statement in reliance on Rule 430B relating to an offering made pursuant to Rule 415(a)(l)(i),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the effective date; or</w:t>
      </w:r>
    </w:p>
    <w:p>
      <w:pPr>
        <w:spacing w:after="0" w:line="72" w:lineRule="exact"/>
        <w:rPr>
          <w:sz w:val="20"/>
          <w:szCs w:val="20"/>
          <w:color w:val="auto"/>
        </w:rPr>
      </w:pPr>
    </w:p>
    <w:p>
      <w:pPr>
        <w:ind w:left="300" w:firstLine="389"/>
        <w:spacing w:after="0" w:line="254" w:lineRule="auto"/>
        <w:tabs>
          <w:tab w:leader="none" w:pos="962" w:val="left"/>
        </w:tabs>
        <w:numPr>
          <w:ilvl w:val="1"/>
          <w:numId w:val="12"/>
        </w:numPr>
        <w:rPr>
          <w:rFonts w:ascii="Arial" w:cs="Arial" w:eastAsia="Arial" w:hAnsi="Arial"/>
          <w:sz w:val="18"/>
          <w:szCs w:val="18"/>
          <w:color w:val="auto"/>
        </w:rPr>
      </w:pPr>
      <w:r>
        <w:rPr>
          <w:rFonts w:ascii="Arial" w:cs="Arial" w:eastAsia="Arial" w:hAnsi="Arial"/>
          <w:sz w:val="18"/>
          <w:szCs w:val="18"/>
          <w:color w:val="auto"/>
        </w:rPr>
        <w:t xml:space="preserve">If the registrant is subject to Rule 430C,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84" w:lineRule="exact"/>
        <w:rPr>
          <w:rFonts w:ascii="Arial" w:cs="Arial" w:eastAsia="Arial" w:hAnsi="Arial"/>
          <w:sz w:val="18"/>
          <w:szCs w:val="18"/>
          <w:color w:val="auto"/>
        </w:rPr>
      </w:pPr>
    </w:p>
    <w:p>
      <w:pPr>
        <w:ind w:left="-280" w:firstLine="421"/>
        <w:spacing w:after="0" w:line="257" w:lineRule="auto"/>
        <w:tabs>
          <w:tab w:leader="none" w:pos="526"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That, for the purpose of determining liability of the registrant under the Securities Act of 1933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and sell such securities to such purchaser:</w:t>
      </w:r>
    </w:p>
    <w:p>
      <w:pPr>
        <w:spacing w:after="0" w:line="80" w:lineRule="exact"/>
        <w:rPr>
          <w:rFonts w:ascii="Arial" w:cs="Arial" w:eastAsia="Arial" w:hAnsi="Arial"/>
          <w:sz w:val="18"/>
          <w:szCs w:val="18"/>
          <w:color w:val="auto"/>
        </w:rPr>
      </w:pPr>
    </w:p>
    <w:p>
      <w:pPr>
        <w:ind w:left="1020" w:hanging="331"/>
        <w:spacing w:after="0"/>
        <w:tabs>
          <w:tab w:leader="none" w:pos="1020" w:val="left"/>
        </w:tabs>
        <w:numPr>
          <w:ilvl w:val="1"/>
          <w:numId w:val="13"/>
        </w:numPr>
        <w:rPr>
          <w:rFonts w:ascii="Arial" w:cs="Arial" w:eastAsia="Arial" w:hAnsi="Arial"/>
          <w:sz w:val="16"/>
          <w:szCs w:val="16"/>
          <w:color w:val="auto"/>
        </w:rPr>
      </w:pPr>
      <w:r>
        <w:rPr>
          <w:rFonts w:ascii="Arial" w:cs="Arial" w:eastAsia="Arial" w:hAnsi="Arial"/>
          <w:sz w:val="16"/>
          <w:szCs w:val="16"/>
          <w:color w:val="auto"/>
        </w:rPr>
        <w:t>Any preliminary prospectus or prospectus of the undersigned registrant relating to the offering required to be filed pursuant to</w:t>
      </w:r>
    </w:p>
    <w:p>
      <w:pPr>
        <w:spacing w:after="0" w:line="46" w:lineRule="exact"/>
        <w:rPr>
          <w:rFonts w:ascii="Arial" w:cs="Arial" w:eastAsia="Arial" w:hAnsi="Arial"/>
          <w:sz w:val="16"/>
          <w:szCs w:val="16"/>
          <w:color w:val="auto"/>
        </w:rPr>
      </w:pPr>
    </w:p>
    <w:p>
      <w:pPr>
        <w:ind w:left="300"/>
        <w:spacing w:after="0"/>
        <w:rPr>
          <w:rFonts w:ascii="Arial" w:cs="Arial" w:eastAsia="Arial" w:hAnsi="Arial"/>
          <w:sz w:val="16"/>
          <w:szCs w:val="16"/>
          <w:color w:val="auto"/>
        </w:rPr>
      </w:pPr>
      <w:r>
        <w:rPr>
          <w:rFonts w:ascii="Arial" w:cs="Arial" w:eastAsia="Arial" w:hAnsi="Arial"/>
          <w:sz w:val="18"/>
          <w:szCs w:val="18"/>
          <w:color w:val="auto"/>
        </w:rPr>
        <w:t>Rule 424;</w:t>
      </w:r>
    </w:p>
    <w:p>
      <w:pPr>
        <w:spacing w:after="0" w:line="143"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0200"/>
          </w:cols>
          <w:pgMar w:left="1440" w:top="274" w:right="259" w:bottom="1440" w:gutter="0" w:footer="0" w:header="0"/>
        </w:sectPr>
      </w:pPr>
    </w:p>
    <w:bookmarkStart w:id="7" w:name="page8"/>
    <w:bookmarkEnd w:id="7"/>
    <w:p>
      <w:pPr>
        <w:ind w:left="1480" w:right="140" w:firstLine="389"/>
        <w:spacing w:after="0" w:line="277" w:lineRule="auto"/>
        <w:tabs>
          <w:tab w:leader="none" w:pos="2267" w:val="left"/>
        </w:tabs>
        <w:numPr>
          <w:ilvl w:val="1"/>
          <w:numId w:val="1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Any free writing prospectus relating to the offering prepared by or on behalf of the undersigned registrant or used or referred to by the undersigned registrant;</w:t>
      </w:r>
    </w:p>
    <w:p>
      <w:pPr>
        <w:spacing w:after="0" w:line="62" w:lineRule="exact"/>
        <w:rPr>
          <w:rFonts w:ascii="Arial" w:cs="Arial" w:eastAsia="Arial" w:hAnsi="Arial"/>
          <w:sz w:val="18"/>
          <w:szCs w:val="18"/>
          <w:color w:val="auto"/>
        </w:rPr>
      </w:pPr>
    </w:p>
    <w:p>
      <w:pPr>
        <w:ind w:left="1480" w:right="900" w:firstLine="389"/>
        <w:spacing w:after="0" w:line="277" w:lineRule="auto"/>
        <w:tabs>
          <w:tab w:leader="none" w:pos="2324" w:val="left"/>
        </w:tabs>
        <w:numPr>
          <w:ilvl w:val="1"/>
          <w:numId w:val="14"/>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62" w:lineRule="exact"/>
        <w:rPr>
          <w:rFonts w:ascii="Arial" w:cs="Arial" w:eastAsia="Arial" w:hAnsi="Arial"/>
          <w:sz w:val="18"/>
          <w:szCs w:val="18"/>
          <w:color w:val="auto"/>
        </w:rPr>
      </w:pPr>
    </w:p>
    <w:p>
      <w:pPr>
        <w:ind w:left="2300" w:hanging="431"/>
        <w:spacing w:after="0"/>
        <w:tabs>
          <w:tab w:leader="none" w:pos="23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225" w:lineRule="exact"/>
        <w:rPr>
          <w:rFonts w:ascii="Arial" w:cs="Arial" w:eastAsia="Arial" w:hAnsi="Arial"/>
          <w:sz w:val="18"/>
          <w:szCs w:val="18"/>
          <w:color w:val="auto"/>
        </w:rPr>
      </w:pPr>
    </w:p>
    <w:p>
      <w:pPr>
        <w:ind w:left="-20" w:right="60" w:firstLine="921"/>
        <w:spacing w:after="0" w:line="257" w:lineRule="auto"/>
        <w:tabs>
          <w:tab w:leader="none" w:pos="12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 xml:space="preserve">The undersigned registrant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offering thereof.</w:t>
      </w:r>
    </w:p>
    <w:p>
      <w:pPr>
        <w:spacing w:after="0" w:line="188" w:lineRule="exact"/>
        <w:rPr>
          <w:rFonts w:ascii="Arial" w:cs="Arial" w:eastAsia="Arial" w:hAnsi="Arial"/>
          <w:sz w:val="18"/>
          <w:szCs w:val="18"/>
          <w:color w:val="auto"/>
        </w:rPr>
      </w:pPr>
    </w:p>
    <w:p>
      <w:pPr>
        <w:ind w:left="-20" w:right="20" w:firstLine="921"/>
        <w:spacing w:after="0" w:line="271" w:lineRule="auto"/>
        <w:tabs>
          <w:tab w:leader="none" w:pos="1273" w:val="left"/>
        </w:tabs>
        <w:numPr>
          <w:ilvl w:val="0"/>
          <w:numId w:val="15"/>
        </w:numPr>
        <w:rPr>
          <w:rFonts w:ascii="Arial" w:cs="Arial" w:eastAsia="Arial" w:hAnsi="Arial"/>
          <w:sz w:val="17"/>
          <w:szCs w:val="17"/>
          <w:color w:val="auto"/>
        </w:rPr>
      </w:pPr>
      <w:r>
        <w:rPr>
          <w:rFonts w:ascii="Arial" w:cs="Arial" w:eastAsia="Arial" w:hAnsi="Arial"/>
          <w:sz w:val="17"/>
          <w:szCs w:val="17"/>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of 1933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w:t>
      </w:r>
    </w:p>
    <w:p>
      <w:pPr>
        <w:spacing w:after="0" w:line="178" w:lineRule="exact"/>
        <w:rPr>
          <w:rFonts w:ascii="Arial" w:cs="Arial" w:eastAsia="Arial" w:hAnsi="Arial"/>
          <w:sz w:val="17"/>
          <w:szCs w:val="17"/>
          <w:color w:val="auto"/>
        </w:rPr>
      </w:pPr>
    </w:p>
    <w:p>
      <w:pPr>
        <w:ind w:left="1340" w:hanging="439"/>
        <w:spacing w:after="0"/>
        <w:tabs>
          <w:tab w:leader="none" w:pos="1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undersigned registrant hereby undertakes that:</w:t>
      </w:r>
    </w:p>
    <w:p>
      <w:pPr>
        <w:spacing w:after="0" w:line="225" w:lineRule="exact"/>
        <w:rPr>
          <w:sz w:val="20"/>
          <w:szCs w:val="20"/>
          <w:color w:val="auto"/>
        </w:rPr>
      </w:pPr>
    </w:p>
    <w:p>
      <w:pPr>
        <w:ind w:left="-20" w:firstLine="921"/>
        <w:spacing w:after="0" w:line="286" w:lineRule="auto"/>
        <w:tabs>
          <w:tab w:leader="none" w:pos="1283" w:val="left"/>
        </w:tabs>
        <w:numPr>
          <w:ilvl w:val="0"/>
          <w:numId w:val="16"/>
        </w:numPr>
        <w:rPr>
          <w:rFonts w:ascii="Arial" w:cs="Arial" w:eastAsia="Arial" w:hAnsi="Arial"/>
          <w:sz w:val="17"/>
          <w:szCs w:val="17"/>
          <w:color w:val="auto"/>
        </w:rPr>
      </w:pPr>
      <w:r>
        <w:rPr>
          <w:rFonts w:ascii="Arial" w:cs="Arial" w:eastAsia="Arial" w:hAnsi="Arial"/>
          <w:sz w:val="17"/>
          <w:szCs w:val="17"/>
          <w:color w:val="auto"/>
        </w:rPr>
        <w:t>For purposes of determining any liability under the Securities Act of 1933,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165" w:lineRule="exact"/>
        <w:rPr>
          <w:rFonts w:ascii="Arial" w:cs="Arial" w:eastAsia="Arial" w:hAnsi="Arial"/>
          <w:sz w:val="17"/>
          <w:szCs w:val="17"/>
          <w:color w:val="auto"/>
        </w:rPr>
      </w:pPr>
    </w:p>
    <w:p>
      <w:pPr>
        <w:ind w:left="-20" w:right="80" w:firstLine="921"/>
        <w:spacing w:after="0" w:line="264" w:lineRule="auto"/>
        <w:tabs>
          <w:tab w:leader="none" w:pos="1283" w:val="left"/>
        </w:tabs>
        <w:numPr>
          <w:ilvl w:val="0"/>
          <w:numId w:val="16"/>
        </w:numPr>
        <w:rPr>
          <w:rFonts w:ascii="Arial" w:cs="Arial" w:eastAsia="Arial" w:hAnsi="Arial"/>
          <w:sz w:val="18"/>
          <w:szCs w:val="18"/>
          <w:color w:val="auto"/>
        </w:rPr>
      </w:pPr>
      <w:r>
        <w:rPr>
          <w:rFonts w:ascii="Arial" w:cs="Arial" w:eastAsia="Arial" w:hAnsi="Arial"/>
          <w:sz w:val="18"/>
          <w:szCs w:val="18"/>
          <w:color w:val="auto"/>
        </w:rPr>
        <w:t>For the purpose of determining any liability under the Securities Act of 1933,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81" w:lineRule="exact"/>
        <w:rPr>
          <w:sz w:val="20"/>
          <w:szCs w:val="20"/>
          <w:color w:val="auto"/>
        </w:rPr>
      </w:pPr>
    </w:p>
    <w:p>
      <w:pPr>
        <w:ind w:left="-20" w:right="160" w:firstLine="921"/>
        <w:spacing w:after="0" w:line="264" w:lineRule="auto"/>
        <w:tabs>
          <w:tab w:leader="none" w:pos="1269"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undersigned registrant hereby undertakes to file an application for the purpose of determining the eligibility of the trustee to act under subsection (a) of Section 310 of the Trust Indenture Act in accordance with the rules and regulations prescribed by the SEC under Section 305(b)(2) of the Trust Indenture Act.</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II-5</w:t>
      </w:r>
    </w:p>
    <w:p>
      <w:pPr>
        <w:sectPr>
          <w:pgSz w:w="11900" w:h="16838" w:orient="portrait"/>
          <w:cols w:equalWidth="0" w:num="1">
            <w:col w:w="11380"/>
          </w:cols>
          <w:pgMar w:left="260" w:top="274" w:right="259" w:bottom="1440" w:gutter="0" w:footer="0" w:header="0"/>
        </w:sectPr>
      </w:pPr>
    </w:p>
    <w:bookmarkStart w:id="8" w:name="page9"/>
    <w:bookmarkEnd w:id="8"/>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right="40" w:firstLine="913"/>
        <w:spacing w:after="0" w:line="286" w:lineRule="auto"/>
        <w:rPr>
          <w:sz w:val="20"/>
          <w:szCs w:val="20"/>
          <w:color w:val="auto"/>
        </w:rPr>
      </w:pPr>
      <w:r>
        <w:rPr>
          <w:rFonts w:ascii="Arial" w:cs="Arial" w:eastAsia="Arial" w:hAnsi="Arial"/>
          <w:sz w:val="17"/>
          <w:szCs w:val="17"/>
          <w:color w:val="auto"/>
        </w:rPr>
        <w:t>Pursuant to the requirements of the Securities Act of 1933, the registrant certifies that it has reasonable grounds to believe that it meets all of the requirements for filing on Form S-3 and has duly caused this Amendment No. 1 to the Registration Statement on Form S-3 to be signed on its behalf by the undersigned, thereunto duly authorized in the City of South San Francisco, State of California, on April 28, 2017.</w:t>
      </w:r>
    </w:p>
    <w:p>
      <w:pPr>
        <w:spacing w:after="0" w:line="189"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FLUIDIGM CORPORATION</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Stephen Christopher Linthwaite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Stephen Christopher Linthwaite</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211" w:lineRule="exact"/>
        <w:rPr>
          <w:sz w:val="20"/>
          <w:szCs w:val="20"/>
          <w:color w:val="auto"/>
        </w:rPr>
      </w:pPr>
    </w:p>
    <w:p>
      <w:pPr>
        <w:ind w:firstLine="913"/>
        <w:spacing w:after="0" w:line="277" w:lineRule="auto"/>
        <w:rPr>
          <w:sz w:val="20"/>
          <w:szCs w:val="20"/>
          <w:color w:val="auto"/>
        </w:rPr>
      </w:pPr>
      <w:r>
        <w:rPr>
          <w:rFonts w:ascii="Arial" w:cs="Arial" w:eastAsia="Arial" w:hAnsi="Arial"/>
          <w:sz w:val="18"/>
          <w:szCs w:val="18"/>
          <w:color w:val="auto"/>
        </w:rPr>
        <w:t>Pursuant to the requirements of the Securities Act of 1933, this Amendment No. 1 to the Registration Statement on Form S-3 has been signed by the following persons in the capacities and on the dates indicated: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960" w:type="dxa"/>
            <w:vAlign w:val="bottom"/>
            <w:gridSpan w:val="2"/>
          </w:tcPr>
          <w:p>
            <w:pPr>
              <w:jc w:val="center"/>
              <w:ind w:right="1380"/>
              <w:spacing w:after="0"/>
              <w:rPr>
                <w:sz w:val="20"/>
                <w:szCs w:val="20"/>
                <w:color w:val="auto"/>
              </w:rPr>
            </w:pPr>
            <w:r>
              <w:rPr>
                <w:rFonts w:ascii="Arial" w:cs="Arial" w:eastAsia="Arial" w:hAnsi="Arial"/>
                <w:sz w:val="14"/>
                <w:szCs w:val="14"/>
                <w:b w:val="1"/>
                <w:bCs w:val="1"/>
                <w:color w:val="auto"/>
                <w:w w:val="89"/>
              </w:rPr>
              <w:t>Signature</w:t>
            </w:r>
          </w:p>
        </w:tc>
        <w:tc>
          <w:tcPr>
            <w:tcW w:w="1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760" w:type="dxa"/>
            <w:vAlign w:val="bottom"/>
            <w:gridSpan w:val="2"/>
          </w:tcPr>
          <w:p>
            <w:pPr>
              <w:jc w:val="center"/>
              <w:ind w:right="2480"/>
              <w:spacing w:after="0"/>
              <w:rPr>
                <w:sz w:val="20"/>
                <w:szCs w:val="20"/>
                <w:color w:val="auto"/>
              </w:rPr>
            </w:pPr>
            <w:r>
              <w:rPr>
                <w:rFonts w:ascii="Arial" w:cs="Arial" w:eastAsia="Arial" w:hAnsi="Arial"/>
                <w:sz w:val="14"/>
                <w:szCs w:val="14"/>
                <w:b w:val="1"/>
                <w:bCs w:val="1"/>
                <w:color w:val="auto"/>
                <w:w w:val="97"/>
              </w:rPr>
              <w:t>Title</w:t>
            </w:r>
          </w:p>
        </w:tc>
        <w:tc>
          <w:tcPr>
            <w:tcW w:w="1960" w:type="dxa"/>
            <w:vAlign w:val="bottom"/>
            <w:gridSpan w:val="3"/>
          </w:tcPr>
          <w:p>
            <w:pPr>
              <w:jc w:val="center"/>
              <w:ind w:left="792"/>
              <w:spacing w:after="0"/>
              <w:rPr>
                <w:sz w:val="20"/>
                <w:szCs w:val="20"/>
                <w:color w:val="auto"/>
              </w:rPr>
            </w:pPr>
            <w:r>
              <w:rPr>
                <w:rFonts w:ascii="Arial" w:cs="Arial" w:eastAsia="Arial" w:hAnsi="Arial"/>
                <w:sz w:val="14"/>
                <w:szCs w:val="14"/>
                <w:b w:val="1"/>
                <w:bCs w:val="1"/>
                <w:color w:val="auto"/>
                <w:w w:val="92"/>
              </w:rPr>
              <w:t>Date</w:t>
            </w:r>
          </w:p>
        </w:tc>
      </w:tr>
      <w:tr>
        <w:trPr>
          <w:trHeight w:val="20"/>
        </w:trPr>
        <w:tc>
          <w:tcPr>
            <w:tcW w:w="66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426"/>
        </w:trPr>
        <w:tc>
          <w:tcPr>
            <w:tcW w:w="3340" w:type="dxa"/>
            <w:vAlign w:val="bottom"/>
            <w:tcBorders>
              <w:bottom w:val="single" w:sz="8" w:color="auto"/>
            </w:tcBorders>
            <w:gridSpan w:val="5"/>
          </w:tcPr>
          <w:p>
            <w:pPr>
              <w:spacing w:after="0"/>
              <w:rPr>
                <w:sz w:val="20"/>
                <w:szCs w:val="20"/>
                <w:color w:val="auto"/>
              </w:rPr>
            </w:pPr>
            <w:r>
              <w:rPr>
                <w:rFonts w:ascii="Arial" w:cs="Arial" w:eastAsia="Arial" w:hAnsi="Arial"/>
                <w:sz w:val="18"/>
                <w:szCs w:val="18"/>
                <w:color w:val="auto"/>
              </w:rPr>
              <w:t>/s/ Stephen Christopher Linthwaite</w:t>
            </w:r>
          </w:p>
        </w:tc>
        <w:tc>
          <w:tcPr>
            <w:tcW w:w="5000" w:type="dxa"/>
            <w:vAlign w:val="bottom"/>
            <w:gridSpan w:val="4"/>
          </w:tcPr>
          <w:p>
            <w:pPr>
              <w:jc w:val="center"/>
              <w:ind w:right="240"/>
              <w:spacing w:after="0"/>
              <w:rPr>
                <w:sz w:val="20"/>
                <w:szCs w:val="20"/>
                <w:color w:val="auto"/>
              </w:rPr>
            </w:pPr>
            <w:r>
              <w:rPr>
                <w:rFonts w:ascii="Arial" w:cs="Arial" w:eastAsia="Arial" w:hAnsi="Arial"/>
                <w:sz w:val="18"/>
                <w:szCs w:val="18"/>
                <w:color w:val="auto"/>
                <w:w w:val="92"/>
              </w:rPr>
              <w:t>President, Chief Executive Officer and Director</w:t>
            </w:r>
          </w:p>
        </w:tc>
        <w:tc>
          <w:tcPr>
            <w:tcW w:w="1960" w:type="dxa"/>
            <w:vAlign w:val="bottom"/>
            <w:gridSpan w:val="3"/>
          </w:tcPr>
          <w:p>
            <w:pPr>
              <w:jc w:val="center"/>
              <w:ind w:left="812"/>
              <w:spacing w:after="0"/>
              <w:rPr>
                <w:sz w:val="20"/>
                <w:szCs w:val="20"/>
                <w:color w:val="auto"/>
              </w:rPr>
            </w:pPr>
            <w:r>
              <w:rPr>
                <w:rFonts w:ascii="Arial" w:cs="Arial" w:eastAsia="Arial" w:hAnsi="Arial"/>
                <w:sz w:val="18"/>
                <w:szCs w:val="18"/>
                <w:color w:val="auto"/>
                <w:w w:val="95"/>
              </w:rPr>
              <w:t>April 28, 2017</w:t>
            </w:r>
          </w:p>
        </w:tc>
      </w:tr>
      <w:tr>
        <w:trPr>
          <w:trHeight w:val="224"/>
        </w:trPr>
        <w:tc>
          <w:tcPr>
            <w:tcW w:w="440" w:type="dxa"/>
            <w:vAlign w:val="bottom"/>
          </w:tcPr>
          <w:p>
            <w:pPr>
              <w:spacing w:after="0"/>
              <w:rPr>
                <w:sz w:val="19"/>
                <w:szCs w:val="19"/>
                <w:color w:val="auto"/>
              </w:rPr>
            </w:pPr>
          </w:p>
        </w:tc>
        <w:tc>
          <w:tcPr>
            <w:tcW w:w="2900" w:type="dxa"/>
            <w:vAlign w:val="bottom"/>
            <w:gridSpan w:val="4"/>
          </w:tcPr>
          <w:p>
            <w:pPr>
              <w:jc w:val="center"/>
              <w:ind w:right="440"/>
              <w:spacing w:after="0"/>
              <w:rPr>
                <w:sz w:val="20"/>
                <w:szCs w:val="20"/>
                <w:color w:val="auto"/>
              </w:rPr>
            </w:pPr>
            <w:r>
              <w:rPr>
                <w:rFonts w:ascii="Arial" w:cs="Arial" w:eastAsia="Arial" w:hAnsi="Arial"/>
                <w:sz w:val="18"/>
                <w:szCs w:val="18"/>
                <w:color w:val="auto"/>
                <w:w w:val="91"/>
              </w:rPr>
              <w:t>Stephen Christopher Linthwaite</w:t>
            </w:r>
          </w:p>
        </w:tc>
        <w:tc>
          <w:tcPr>
            <w:tcW w:w="1240" w:type="dxa"/>
            <w:vAlign w:val="bottom"/>
          </w:tcPr>
          <w:p>
            <w:pPr>
              <w:spacing w:after="0"/>
              <w:rPr>
                <w:sz w:val="19"/>
                <w:szCs w:val="19"/>
                <w:color w:val="auto"/>
              </w:rPr>
            </w:pPr>
          </w:p>
        </w:tc>
        <w:tc>
          <w:tcPr>
            <w:tcW w:w="3760" w:type="dxa"/>
            <w:vAlign w:val="bottom"/>
            <w:gridSpan w:val="3"/>
          </w:tcPr>
          <w:p>
            <w:pPr>
              <w:jc w:val="center"/>
              <w:ind w:right="1480"/>
              <w:spacing w:after="0"/>
              <w:rPr>
                <w:sz w:val="20"/>
                <w:szCs w:val="20"/>
                <w:color w:val="auto"/>
              </w:rPr>
            </w:pPr>
            <w:r>
              <w:rPr>
                <w:rFonts w:ascii="Arial" w:cs="Arial" w:eastAsia="Arial" w:hAnsi="Arial"/>
                <w:sz w:val="18"/>
                <w:szCs w:val="18"/>
                <w:color w:val="auto"/>
                <w:w w:val="93"/>
              </w:rPr>
              <w:t>(Principal Executive Officer)</w:t>
            </w:r>
          </w:p>
        </w:tc>
        <w:tc>
          <w:tcPr>
            <w:tcW w:w="1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r>
      <w:tr>
        <w:trPr>
          <w:trHeight w:val="431"/>
        </w:trPr>
        <w:tc>
          <w:tcPr>
            <w:tcW w:w="3340" w:type="dxa"/>
            <w:vAlign w:val="bottom"/>
            <w:tcBorders>
              <w:bottom w:val="single" w:sz="8" w:color="auto"/>
            </w:tcBorders>
            <w:gridSpan w:val="5"/>
          </w:tcPr>
          <w:p>
            <w:pPr>
              <w:spacing w:after="0"/>
              <w:rPr>
                <w:sz w:val="20"/>
                <w:szCs w:val="20"/>
                <w:color w:val="auto"/>
              </w:rPr>
            </w:pPr>
            <w:r>
              <w:rPr>
                <w:rFonts w:ascii="Arial" w:cs="Arial" w:eastAsia="Arial" w:hAnsi="Arial"/>
                <w:sz w:val="18"/>
                <w:szCs w:val="18"/>
                <w:color w:val="auto"/>
              </w:rPr>
              <w:t>/s/ Vikram Jog</w:t>
            </w:r>
          </w:p>
        </w:tc>
        <w:tc>
          <w:tcPr>
            <w:tcW w:w="1240" w:type="dxa"/>
            <w:vAlign w:val="bottom"/>
          </w:tcPr>
          <w:p>
            <w:pPr>
              <w:spacing w:after="0"/>
              <w:rPr>
                <w:sz w:val="24"/>
                <w:szCs w:val="24"/>
                <w:color w:val="auto"/>
              </w:rPr>
            </w:pPr>
          </w:p>
        </w:tc>
        <w:tc>
          <w:tcPr>
            <w:tcW w:w="3760" w:type="dxa"/>
            <w:vAlign w:val="bottom"/>
            <w:gridSpan w:val="3"/>
          </w:tcPr>
          <w:p>
            <w:pPr>
              <w:jc w:val="center"/>
              <w:ind w:right="1480"/>
              <w:spacing w:after="0"/>
              <w:rPr>
                <w:sz w:val="20"/>
                <w:szCs w:val="20"/>
                <w:color w:val="auto"/>
              </w:rPr>
            </w:pPr>
            <w:r>
              <w:rPr>
                <w:rFonts w:ascii="Arial" w:cs="Arial" w:eastAsia="Arial" w:hAnsi="Arial"/>
                <w:sz w:val="18"/>
                <w:szCs w:val="18"/>
                <w:color w:val="auto"/>
                <w:w w:val="94"/>
              </w:rPr>
              <w:t>Chief Financial Officer</w:t>
            </w:r>
          </w:p>
        </w:tc>
        <w:tc>
          <w:tcPr>
            <w:tcW w:w="1960" w:type="dxa"/>
            <w:vAlign w:val="bottom"/>
            <w:gridSpan w:val="3"/>
          </w:tcPr>
          <w:p>
            <w:pPr>
              <w:jc w:val="center"/>
              <w:ind w:left="812"/>
              <w:spacing w:after="0"/>
              <w:rPr>
                <w:sz w:val="20"/>
                <w:szCs w:val="20"/>
                <w:color w:val="auto"/>
              </w:rPr>
            </w:pPr>
            <w:r>
              <w:rPr>
                <w:rFonts w:ascii="Arial" w:cs="Arial" w:eastAsia="Arial" w:hAnsi="Arial"/>
                <w:sz w:val="18"/>
                <w:szCs w:val="18"/>
                <w:color w:val="auto"/>
                <w:w w:val="95"/>
              </w:rPr>
              <w:t>April 28, 2017</w:t>
            </w:r>
          </w:p>
        </w:tc>
      </w:tr>
      <w:tr>
        <w:trPr>
          <w:trHeight w:val="224"/>
        </w:trPr>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80" w:type="dxa"/>
            <w:vAlign w:val="bottom"/>
            <w:gridSpan w:val="3"/>
          </w:tcPr>
          <w:p>
            <w:pPr>
              <w:jc w:val="center"/>
              <w:ind w:right="660"/>
              <w:spacing w:after="0"/>
              <w:rPr>
                <w:sz w:val="20"/>
                <w:szCs w:val="20"/>
                <w:color w:val="auto"/>
              </w:rPr>
            </w:pPr>
            <w:r>
              <w:rPr>
                <w:rFonts w:ascii="Arial" w:cs="Arial" w:eastAsia="Arial" w:hAnsi="Arial"/>
                <w:sz w:val="18"/>
                <w:szCs w:val="18"/>
                <w:color w:val="auto"/>
                <w:w w:val="91"/>
              </w:rPr>
              <w:t>Vikram Jog</w:t>
            </w:r>
          </w:p>
        </w:tc>
        <w:tc>
          <w:tcPr>
            <w:tcW w:w="1240" w:type="dxa"/>
            <w:vAlign w:val="bottom"/>
          </w:tcPr>
          <w:p>
            <w:pPr>
              <w:spacing w:after="0"/>
              <w:rPr>
                <w:sz w:val="19"/>
                <w:szCs w:val="19"/>
                <w:color w:val="auto"/>
              </w:rPr>
            </w:pPr>
          </w:p>
        </w:tc>
        <w:tc>
          <w:tcPr>
            <w:tcW w:w="3760" w:type="dxa"/>
            <w:vAlign w:val="bottom"/>
            <w:gridSpan w:val="3"/>
          </w:tcPr>
          <w:p>
            <w:pPr>
              <w:jc w:val="center"/>
              <w:ind w:right="1480"/>
              <w:spacing w:after="0"/>
              <w:rPr>
                <w:sz w:val="20"/>
                <w:szCs w:val="20"/>
                <w:color w:val="auto"/>
              </w:rPr>
            </w:pPr>
            <w:r>
              <w:rPr>
                <w:rFonts w:ascii="Arial" w:cs="Arial" w:eastAsia="Arial" w:hAnsi="Arial"/>
                <w:sz w:val="18"/>
                <w:szCs w:val="18"/>
                <w:color w:val="auto"/>
                <w:w w:val="94"/>
              </w:rPr>
              <w:t>(Principal Financial Officer)</w:t>
            </w:r>
          </w:p>
        </w:tc>
        <w:tc>
          <w:tcPr>
            <w:tcW w:w="1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r>
      <w:tr>
        <w:trPr>
          <w:trHeight w:val="431"/>
        </w:trPr>
        <w:tc>
          <w:tcPr>
            <w:tcW w:w="3340" w:type="dxa"/>
            <w:vAlign w:val="bottom"/>
            <w:tcBorders>
              <w:bottom w:val="single" w:sz="8" w:color="auto"/>
            </w:tcBorders>
            <w:gridSpan w:val="5"/>
          </w:tcPr>
          <w:p>
            <w:pPr>
              <w:spacing w:after="0"/>
              <w:rPr>
                <w:sz w:val="20"/>
                <w:szCs w:val="20"/>
                <w:color w:val="auto"/>
              </w:rPr>
            </w:pPr>
            <w:r>
              <w:rPr>
                <w:rFonts w:ascii="Arial" w:cs="Arial" w:eastAsia="Arial" w:hAnsi="Arial"/>
                <w:sz w:val="18"/>
                <w:szCs w:val="18"/>
                <w:color w:val="auto"/>
              </w:rPr>
              <w:t>/s/ Jennifer Lee</w:t>
            </w:r>
          </w:p>
        </w:tc>
        <w:tc>
          <w:tcPr>
            <w:tcW w:w="1240" w:type="dxa"/>
            <w:vAlign w:val="bottom"/>
          </w:tcPr>
          <w:p>
            <w:pPr>
              <w:spacing w:after="0"/>
              <w:rPr>
                <w:sz w:val="24"/>
                <w:szCs w:val="24"/>
                <w:color w:val="auto"/>
              </w:rPr>
            </w:pPr>
          </w:p>
        </w:tc>
        <w:tc>
          <w:tcPr>
            <w:tcW w:w="3760" w:type="dxa"/>
            <w:vAlign w:val="bottom"/>
            <w:gridSpan w:val="3"/>
          </w:tcPr>
          <w:p>
            <w:pPr>
              <w:jc w:val="center"/>
              <w:ind w:right="1480"/>
              <w:spacing w:after="0"/>
              <w:rPr>
                <w:sz w:val="20"/>
                <w:szCs w:val="20"/>
                <w:color w:val="auto"/>
              </w:rPr>
            </w:pPr>
            <w:r>
              <w:rPr>
                <w:rFonts w:ascii="Arial" w:cs="Arial" w:eastAsia="Arial" w:hAnsi="Arial"/>
                <w:sz w:val="18"/>
                <w:szCs w:val="18"/>
                <w:color w:val="auto"/>
                <w:w w:val="92"/>
              </w:rPr>
              <w:t>Vice President, Controller</w:t>
            </w:r>
          </w:p>
        </w:tc>
        <w:tc>
          <w:tcPr>
            <w:tcW w:w="1960" w:type="dxa"/>
            <w:vAlign w:val="bottom"/>
            <w:gridSpan w:val="3"/>
          </w:tcPr>
          <w:p>
            <w:pPr>
              <w:jc w:val="center"/>
              <w:ind w:left="812"/>
              <w:spacing w:after="0"/>
              <w:rPr>
                <w:sz w:val="20"/>
                <w:szCs w:val="20"/>
                <w:color w:val="auto"/>
              </w:rPr>
            </w:pPr>
            <w:r>
              <w:rPr>
                <w:rFonts w:ascii="Arial" w:cs="Arial" w:eastAsia="Arial" w:hAnsi="Arial"/>
                <w:sz w:val="18"/>
                <w:szCs w:val="18"/>
                <w:color w:val="auto"/>
                <w:w w:val="95"/>
              </w:rPr>
              <w:t>April 28, 2017</w:t>
            </w:r>
          </w:p>
        </w:tc>
      </w:tr>
      <w:tr>
        <w:trPr>
          <w:trHeight w:val="224"/>
        </w:trPr>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80" w:type="dxa"/>
            <w:vAlign w:val="bottom"/>
            <w:gridSpan w:val="3"/>
          </w:tcPr>
          <w:p>
            <w:pPr>
              <w:jc w:val="center"/>
              <w:ind w:right="660"/>
              <w:spacing w:after="0"/>
              <w:rPr>
                <w:sz w:val="20"/>
                <w:szCs w:val="20"/>
                <w:color w:val="auto"/>
              </w:rPr>
            </w:pPr>
            <w:r>
              <w:rPr>
                <w:rFonts w:ascii="Arial" w:cs="Arial" w:eastAsia="Arial" w:hAnsi="Arial"/>
                <w:sz w:val="18"/>
                <w:szCs w:val="18"/>
                <w:color w:val="auto"/>
                <w:w w:val="90"/>
              </w:rPr>
              <w:t>Jennifer Lee</w:t>
            </w:r>
          </w:p>
        </w:tc>
        <w:tc>
          <w:tcPr>
            <w:tcW w:w="1240" w:type="dxa"/>
            <w:vAlign w:val="bottom"/>
          </w:tcPr>
          <w:p>
            <w:pPr>
              <w:spacing w:after="0"/>
              <w:rPr>
                <w:sz w:val="19"/>
                <w:szCs w:val="19"/>
                <w:color w:val="auto"/>
              </w:rPr>
            </w:pPr>
          </w:p>
        </w:tc>
        <w:tc>
          <w:tcPr>
            <w:tcW w:w="3760" w:type="dxa"/>
            <w:vAlign w:val="bottom"/>
            <w:gridSpan w:val="3"/>
          </w:tcPr>
          <w:p>
            <w:pPr>
              <w:jc w:val="center"/>
              <w:ind w:right="1480"/>
              <w:spacing w:after="0"/>
              <w:rPr>
                <w:sz w:val="20"/>
                <w:szCs w:val="20"/>
                <w:color w:val="auto"/>
              </w:rPr>
            </w:pPr>
            <w:r>
              <w:rPr>
                <w:rFonts w:ascii="Arial" w:cs="Arial" w:eastAsia="Arial" w:hAnsi="Arial"/>
                <w:sz w:val="18"/>
                <w:szCs w:val="18"/>
                <w:color w:val="auto"/>
                <w:w w:val="94"/>
              </w:rPr>
              <w:t>(Principal Accounting Officer)</w:t>
            </w:r>
          </w:p>
        </w:tc>
        <w:tc>
          <w:tcPr>
            <w:tcW w:w="1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r>
      <w:tr>
        <w:trPr>
          <w:trHeight w:val="431"/>
        </w:trPr>
        <w:tc>
          <w:tcPr>
            <w:tcW w:w="44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3"/>
          </w:tcPr>
          <w:p>
            <w:pPr>
              <w:jc w:val="center"/>
              <w:ind w:left="85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tcPr>
          <w:p>
            <w:pPr>
              <w:spacing w:after="0"/>
              <w:rPr>
                <w:sz w:val="24"/>
                <w:szCs w:val="24"/>
                <w:color w:val="auto"/>
              </w:rPr>
            </w:pPr>
          </w:p>
        </w:tc>
        <w:tc>
          <w:tcPr>
            <w:tcW w:w="5000" w:type="dxa"/>
            <w:vAlign w:val="bottom"/>
            <w:gridSpan w:val="4"/>
          </w:tcPr>
          <w:p>
            <w:pPr>
              <w:jc w:val="center"/>
              <w:ind w:right="240"/>
              <w:spacing w:after="0"/>
              <w:rPr>
                <w:sz w:val="20"/>
                <w:szCs w:val="20"/>
                <w:color w:val="auto"/>
              </w:rPr>
            </w:pPr>
            <w:r>
              <w:rPr>
                <w:rFonts w:ascii="Arial" w:cs="Arial" w:eastAsia="Arial" w:hAnsi="Arial"/>
                <w:sz w:val="18"/>
                <w:szCs w:val="18"/>
                <w:color w:val="auto"/>
                <w:w w:val="92"/>
              </w:rPr>
              <w:t>Chairman of the Board of Directors</w:t>
            </w:r>
          </w:p>
        </w:tc>
        <w:tc>
          <w:tcPr>
            <w:tcW w:w="1960" w:type="dxa"/>
            <w:vAlign w:val="bottom"/>
            <w:gridSpan w:val="3"/>
          </w:tcPr>
          <w:p>
            <w:pPr>
              <w:jc w:val="center"/>
              <w:ind w:left="812"/>
              <w:spacing w:after="0"/>
              <w:rPr>
                <w:sz w:val="20"/>
                <w:szCs w:val="20"/>
                <w:color w:val="auto"/>
              </w:rPr>
            </w:pPr>
            <w:r>
              <w:rPr>
                <w:rFonts w:ascii="Arial" w:cs="Arial" w:eastAsia="Arial" w:hAnsi="Arial"/>
                <w:sz w:val="18"/>
                <w:szCs w:val="18"/>
                <w:color w:val="auto"/>
                <w:w w:val="95"/>
              </w:rPr>
              <w:t>April 28, 2017</w:t>
            </w:r>
          </w:p>
        </w:tc>
      </w:tr>
      <w:tr>
        <w:trPr>
          <w:trHeight w:val="224"/>
        </w:trPr>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80" w:type="dxa"/>
            <w:vAlign w:val="bottom"/>
            <w:gridSpan w:val="3"/>
          </w:tcPr>
          <w:p>
            <w:pPr>
              <w:jc w:val="center"/>
              <w:ind w:right="660"/>
              <w:spacing w:after="0"/>
              <w:rPr>
                <w:sz w:val="20"/>
                <w:szCs w:val="20"/>
                <w:color w:val="auto"/>
              </w:rPr>
            </w:pPr>
            <w:r>
              <w:rPr>
                <w:rFonts w:ascii="Arial" w:cs="Arial" w:eastAsia="Arial" w:hAnsi="Arial"/>
                <w:sz w:val="18"/>
                <w:szCs w:val="18"/>
                <w:color w:val="auto"/>
                <w:w w:val="90"/>
              </w:rPr>
              <w:t>Samuel Colella</w:t>
            </w:r>
          </w:p>
        </w:tc>
        <w:tc>
          <w:tcPr>
            <w:tcW w:w="1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r>
      <w:tr>
        <w:trPr>
          <w:trHeight w:val="431"/>
        </w:trPr>
        <w:tc>
          <w:tcPr>
            <w:tcW w:w="44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3"/>
          </w:tcPr>
          <w:p>
            <w:pPr>
              <w:jc w:val="center"/>
              <w:ind w:left="85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tcPr>
          <w:p>
            <w:pPr>
              <w:spacing w:after="0"/>
              <w:rPr>
                <w:sz w:val="24"/>
                <w:szCs w:val="24"/>
                <w:color w:val="auto"/>
              </w:rPr>
            </w:pPr>
          </w:p>
        </w:tc>
        <w:tc>
          <w:tcPr>
            <w:tcW w:w="1240" w:type="dxa"/>
            <w:vAlign w:val="bottom"/>
          </w:tcPr>
          <w:p>
            <w:pPr>
              <w:spacing w:after="0"/>
              <w:rPr>
                <w:sz w:val="24"/>
                <w:szCs w:val="24"/>
                <w:color w:val="auto"/>
              </w:rPr>
            </w:pPr>
          </w:p>
        </w:tc>
        <w:tc>
          <w:tcPr>
            <w:tcW w:w="3760" w:type="dxa"/>
            <w:vAlign w:val="bottom"/>
            <w:gridSpan w:val="3"/>
          </w:tcPr>
          <w:p>
            <w:pPr>
              <w:jc w:val="center"/>
              <w:ind w:right="1480"/>
              <w:spacing w:after="0"/>
              <w:rPr>
                <w:sz w:val="20"/>
                <w:szCs w:val="20"/>
                <w:color w:val="auto"/>
              </w:rPr>
            </w:pPr>
            <w:r>
              <w:rPr>
                <w:rFonts w:ascii="Arial" w:cs="Arial" w:eastAsia="Arial" w:hAnsi="Arial"/>
                <w:sz w:val="18"/>
                <w:szCs w:val="18"/>
                <w:color w:val="auto"/>
                <w:w w:val="95"/>
              </w:rPr>
              <w:t>Director</w:t>
            </w:r>
          </w:p>
        </w:tc>
        <w:tc>
          <w:tcPr>
            <w:tcW w:w="1960" w:type="dxa"/>
            <w:vAlign w:val="bottom"/>
            <w:gridSpan w:val="3"/>
          </w:tcPr>
          <w:p>
            <w:pPr>
              <w:jc w:val="center"/>
              <w:ind w:left="812"/>
              <w:spacing w:after="0"/>
              <w:rPr>
                <w:sz w:val="20"/>
                <w:szCs w:val="20"/>
                <w:color w:val="auto"/>
              </w:rPr>
            </w:pPr>
            <w:r>
              <w:rPr>
                <w:rFonts w:ascii="Arial" w:cs="Arial" w:eastAsia="Arial" w:hAnsi="Arial"/>
                <w:sz w:val="18"/>
                <w:szCs w:val="18"/>
                <w:color w:val="auto"/>
                <w:w w:val="95"/>
              </w:rPr>
              <w:t>April 28, 2017</w:t>
            </w:r>
          </w:p>
        </w:tc>
      </w:tr>
      <w:tr>
        <w:trPr>
          <w:trHeight w:val="224"/>
        </w:trPr>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80" w:type="dxa"/>
            <w:vAlign w:val="bottom"/>
            <w:gridSpan w:val="3"/>
          </w:tcPr>
          <w:p>
            <w:pPr>
              <w:jc w:val="center"/>
              <w:ind w:right="660"/>
              <w:spacing w:after="0"/>
              <w:rPr>
                <w:sz w:val="20"/>
                <w:szCs w:val="20"/>
                <w:color w:val="auto"/>
              </w:rPr>
            </w:pPr>
            <w:r>
              <w:rPr>
                <w:rFonts w:ascii="Arial" w:cs="Arial" w:eastAsia="Arial" w:hAnsi="Arial"/>
                <w:sz w:val="18"/>
                <w:szCs w:val="18"/>
                <w:color w:val="auto"/>
                <w:w w:val="87"/>
              </w:rPr>
              <w:t>Evan Jones</w:t>
            </w:r>
          </w:p>
        </w:tc>
        <w:tc>
          <w:tcPr>
            <w:tcW w:w="1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r>
      <w:tr>
        <w:trPr>
          <w:trHeight w:val="431"/>
        </w:trPr>
        <w:tc>
          <w:tcPr>
            <w:tcW w:w="44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3"/>
          </w:tcPr>
          <w:p>
            <w:pPr>
              <w:jc w:val="center"/>
              <w:ind w:left="85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tcPr>
          <w:p>
            <w:pPr>
              <w:spacing w:after="0"/>
              <w:rPr>
                <w:sz w:val="24"/>
                <w:szCs w:val="24"/>
                <w:color w:val="auto"/>
              </w:rPr>
            </w:pPr>
          </w:p>
        </w:tc>
        <w:tc>
          <w:tcPr>
            <w:tcW w:w="1240" w:type="dxa"/>
            <w:vAlign w:val="bottom"/>
          </w:tcPr>
          <w:p>
            <w:pPr>
              <w:spacing w:after="0"/>
              <w:rPr>
                <w:sz w:val="24"/>
                <w:szCs w:val="24"/>
                <w:color w:val="auto"/>
              </w:rPr>
            </w:pPr>
          </w:p>
        </w:tc>
        <w:tc>
          <w:tcPr>
            <w:tcW w:w="3760" w:type="dxa"/>
            <w:vAlign w:val="bottom"/>
            <w:gridSpan w:val="3"/>
          </w:tcPr>
          <w:p>
            <w:pPr>
              <w:jc w:val="center"/>
              <w:ind w:right="1480"/>
              <w:spacing w:after="0"/>
              <w:rPr>
                <w:sz w:val="20"/>
                <w:szCs w:val="20"/>
                <w:color w:val="auto"/>
              </w:rPr>
            </w:pPr>
            <w:r>
              <w:rPr>
                <w:rFonts w:ascii="Arial" w:cs="Arial" w:eastAsia="Arial" w:hAnsi="Arial"/>
                <w:sz w:val="18"/>
                <w:szCs w:val="18"/>
                <w:color w:val="auto"/>
                <w:w w:val="95"/>
              </w:rPr>
              <w:t>Director</w:t>
            </w:r>
          </w:p>
        </w:tc>
        <w:tc>
          <w:tcPr>
            <w:tcW w:w="1960" w:type="dxa"/>
            <w:vAlign w:val="bottom"/>
            <w:gridSpan w:val="3"/>
          </w:tcPr>
          <w:p>
            <w:pPr>
              <w:jc w:val="center"/>
              <w:ind w:left="812"/>
              <w:spacing w:after="0"/>
              <w:rPr>
                <w:sz w:val="20"/>
                <w:szCs w:val="20"/>
                <w:color w:val="auto"/>
              </w:rPr>
            </w:pPr>
            <w:r>
              <w:rPr>
                <w:rFonts w:ascii="Arial" w:cs="Arial" w:eastAsia="Arial" w:hAnsi="Arial"/>
                <w:sz w:val="18"/>
                <w:szCs w:val="18"/>
                <w:color w:val="auto"/>
                <w:w w:val="95"/>
              </w:rPr>
              <w:t>April 28, 2017</w:t>
            </w:r>
          </w:p>
        </w:tc>
      </w:tr>
      <w:tr>
        <w:trPr>
          <w:trHeight w:val="224"/>
        </w:trPr>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80" w:type="dxa"/>
            <w:vAlign w:val="bottom"/>
            <w:gridSpan w:val="3"/>
          </w:tcPr>
          <w:p>
            <w:pPr>
              <w:jc w:val="center"/>
              <w:ind w:right="660"/>
              <w:spacing w:after="0"/>
              <w:rPr>
                <w:sz w:val="20"/>
                <w:szCs w:val="20"/>
                <w:color w:val="auto"/>
              </w:rPr>
            </w:pPr>
            <w:r>
              <w:rPr>
                <w:rFonts w:ascii="Arial" w:cs="Arial" w:eastAsia="Arial" w:hAnsi="Arial"/>
                <w:sz w:val="18"/>
                <w:szCs w:val="18"/>
                <w:color w:val="auto"/>
                <w:w w:val="87"/>
              </w:rPr>
              <w:t>Patrick S. Jones</w:t>
            </w:r>
          </w:p>
        </w:tc>
        <w:tc>
          <w:tcPr>
            <w:tcW w:w="1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r>
      <w:tr>
        <w:trPr>
          <w:trHeight w:val="431"/>
        </w:trPr>
        <w:tc>
          <w:tcPr>
            <w:tcW w:w="44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3"/>
          </w:tcPr>
          <w:p>
            <w:pPr>
              <w:jc w:val="center"/>
              <w:ind w:left="85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tcPr>
          <w:p>
            <w:pPr>
              <w:spacing w:after="0"/>
              <w:rPr>
                <w:sz w:val="24"/>
                <w:szCs w:val="24"/>
                <w:color w:val="auto"/>
              </w:rPr>
            </w:pPr>
          </w:p>
        </w:tc>
        <w:tc>
          <w:tcPr>
            <w:tcW w:w="1240" w:type="dxa"/>
            <w:vAlign w:val="bottom"/>
          </w:tcPr>
          <w:p>
            <w:pPr>
              <w:spacing w:after="0"/>
              <w:rPr>
                <w:sz w:val="24"/>
                <w:szCs w:val="24"/>
                <w:color w:val="auto"/>
              </w:rPr>
            </w:pPr>
          </w:p>
        </w:tc>
        <w:tc>
          <w:tcPr>
            <w:tcW w:w="3760" w:type="dxa"/>
            <w:vAlign w:val="bottom"/>
            <w:gridSpan w:val="3"/>
          </w:tcPr>
          <w:p>
            <w:pPr>
              <w:jc w:val="center"/>
              <w:ind w:right="1480"/>
              <w:spacing w:after="0"/>
              <w:rPr>
                <w:sz w:val="20"/>
                <w:szCs w:val="20"/>
                <w:color w:val="auto"/>
              </w:rPr>
            </w:pPr>
            <w:r>
              <w:rPr>
                <w:rFonts w:ascii="Arial" w:cs="Arial" w:eastAsia="Arial" w:hAnsi="Arial"/>
                <w:sz w:val="18"/>
                <w:szCs w:val="18"/>
                <w:color w:val="auto"/>
                <w:w w:val="95"/>
              </w:rPr>
              <w:t>Director</w:t>
            </w:r>
          </w:p>
        </w:tc>
        <w:tc>
          <w:tcPr>
            <w:tcW w:w="1960" w:type="dxa"/>
            <w:vAlign w:val="bottom"/>
            <w:gridSpan w:val="3"/>
          </w:tcPr>
          <w:p>
            <w:pPr>
              <w:jc w:val="center"/>
              <w:ind w:left="812"/>
              <w:spacing w:after="0"/>
              <w:rPr>
                <w:sz w:val="20"/>
                <w:szCs w:val="20"/>
                <w:color w:val="auto"/>
              </w:rPr>
            </w:pPr>
            <w:r>
              <w:rPr>
                <w:rFonts w:ascii="Arial" w:cs="Arial" w:eastAsia="Arial" w:hAnsi="Arial"/>
                <w:sz w:val="18"/>
                <w:szCs w:val="18"/>
                <w:color w:val="auto"/>
                <w:w w:val="95"/>
              </w:rPr>
              <w:t>April 28, 2017</w:t>
            </w:r>
          </w:p>
        </w:tc>
      </w:tr>
      <w:tr>
        <w:trPr>
          <w:trHeight w:val="224"/>
        </w:trPr>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80" w:type="dxa"/>
            <w:vAlign w:val="bottom"/>
            <w:gridSpan w:val="3"/>
          </w:tcPr>
          <w:p>
            <w:pPr>
              <w:jc w:val="center"/>
              <w:ind w:right="660"/>
              <w:spacing w:after="0"/>
              <w:rPr>
                <w:sz w:val="20"/>
                <w:szCs w:val="20"/>
                <w:color w:val="auto"/>
              </w:rPr>
            </w:pPr>
            <w:r>
              <w:rPr>
                <w:rFonts w:ascii="Arial" w:cs="Arial" w:eastAsia="Arial" w:hAnsi="Arial"/>
                <w:sz w:val="18"/>
                <w:szCs w:val="18"/>
                <w:color w:val="auto"/>
                <w:w w:val="89"/>
              </w:rPr>
              <w:t>Gerhard F. Burbach</w:t>
            </w:r>
          </w:p>
        </w:tc>
        <w:tc>
          <w:tcPr>
            <w:tcW w:w="1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r>
      <w:tr>
        <w:trPr>
          <w:trHeight w:val="431"/>
        </w:trPr>
        <w:tc>
          <w:tcPr>
            <w:tcW w:w="44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3"/>
          </w:tcPr>
          <w:p>
            <w:pPr>
              <w:jc w:val="center"/>
              <w:ind w:left="85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tcPr>
          <w:p>
            <w:pPr>
              <w:spacing w:after="0"/>
              <w:rPr>
                <w:sz w:val="24"/>
                <w:szCs w:val="24"/>
                <w:color w:val="auto"/>
              </w:rPr>
            </w:pPr>
          </w:p>
        </w:tc>
        <w:tc>
          <w:tcPr>
            <w:tcW w:w="1240" w:type="dxa"/>
            <w:vAlign w:val="bottom"/>
          </w:tcPr>
          <w:p>
            <w:pPr>
              <w:spacing w:after="0"/>
              <w:rPr>
                <w:sz w:val="24"/>
                <w:szCs w:val="24"/>
                <w:color w:val="auto"/>
              </w:rPr>
            </w:pPr>
          </w:p>
        </w:tc>
        <w:tc>
          <w:tcPr>
            <w:tcW w:w="3760" w:type="dxa"/>
            <w:vAlign w:val="bottom"/>
            <w:gridSpan w:val="3"/>
          </w:tcPr>
          <w:p>
            <w:pPr>
              <w:jc w:val="center"/>
              <w:ind w:right="1480"/>
              <w:spacing w:after="0"/>
              <w:rPr>
                <w:sz w:val="20"/>
                <w:szCs w:val="20"/>
                <w:color w:val="auto"/>
              </w:rPr>
            </w:pPr>
            <w:r>
              <w:rPr>
                <w:rFonts w:ascii="Arial" w:cs="Arial" w:eastAsia="Arial" w:hAnsi="Arial"/>
                <w:sz w:val="18"/>
                <w:szCs w:val="18"/>
                <w:color w:val="auto"/>
                <w:w w:val="95"/>
              </w:rPr>
              <w:t>Director</w:t>
            </w:r>
          </w:p>
        </w:tc>
        <w:tc>
          <w:tcPr>
            <w:tcW w:w="1960" w:type="dxa"/>
            <w:vAlign w:val="bottom"/>
            <w:gridSpan w:val="3"/>
          </w:tcPr>
          <w:p>
            <w:pPr>
              <w:jc w:val="center"/>
              <w:ind w:left="812"/>
              <w:spacing w:after="0"/>
              <w:rPr>
                <w:sz w:val="20"/>
                <w:szCs w:val="20"/>
                <w:color w:val="auto"/>
              </w:rPr>
            </w:pPr>
            <w:r>
              <w:rPr>
                <w:rFonts w:ascii="Arial" w:cs="Arial" w:eastAsia="Arial" w:hAnsi="Arial"/>
                <w:sz w:val="18"/>
                <w:szCs w:val="18"/>
                <w:color w:val="auto"/>
                <w:w w:val="95"/>
              </w:rPr>
              <w:t>April 28, 2017</w:t>
            </w:r>
          </w:p>
        </w:tc>
      </w:tr>
      <w:tr>
        <w:trPr>
          <w:trHeight w:val="224"/>
        </w:trPr>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80" w:type="dxa"/>
            <w:vAlign w:val="bottom"/>
            <w:gridSpan w:val="3"/>
          </w:tcPr>
          <w:p>
            <w:pPr>
              <w:jc w:val="center"/>
              <w:ind w:right="660"/>
              <w:spacing w:after="0"/>
              <w:rPr>
                <w:sz w:val="20"/>
                <w:szCs w:val="20"/>
                <w:color w:val="auto"/>
              </w:rPr>
            </w:pPr>
            <w:r>
              <w:rPr>
                <w:rFonts w:ascii="Arial" w:cs="Arial" w:eastAsia="Arial" w:hAnsi="Arial"/>
                <w:sz w:val="18"/>
                <w:szCs w:val="18"/>
                <w:color w:val="auto"/>
                <w:w w:val="89"/>
              </w:rPr>
              <w:t>John A. Young</w:t>
            </w:r>
          </w:p>
        </w:tc>
        <w:tc>
          <w:tcPr>
            <w:tcW w:w="1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r>
      <w:tr>
        <w:trPr>
          <w:trHeight w:val="431"/>
        </w:trPr>
        <w:tc>
          <w:tcPr>
            <w:tcW w:w="3340" w:type="dxa"/>
            <w:vAlign w:val="bottom"/>
            <w:tcBorders>
              <w:bottom w:val="single" w:sz="8" w:color="auto"/>
            </w:tcBorders>
            <w:gridSpan w:val="5"/>
          </w:tcPr>
          <w:p>
            <w:pPr>
              <w:spacing w:after="0"/>
              <w:rPr>
                <w:sz w:val="20"/>
                <w:szCs w:val="20"/>
                <w:color w:val="auto"/>
              </w:rPr>
            </w:pPr>
            <w:r>
              <w:rPr>
                <w:rFonts w:ascii="Arial" w:cs="Arial" w:eastAsia="Arial" w:hAnsi="Arial"/>
                <w:sz w:val="18"/>
                <w:szCs w:val="18"/>
                <w:color w:val="auto"/>
              </w:rPr>
              <w:t>/s/ Carlos Paya</w:t>
            </w:r>
          </w:p>
        </w:tc>
        <w:tc>
          <w:tcPr>
            <w:tcW w:w="1240" w:type="dxa"/>
            <w:vAlign w:val="bottom"/>
          </w:tcPr>
          <w:p>
            <w:pPr>
              <w:spacing w:after="0"/>
              <w:rPr>
                <w:sz w:val="24"/>
                <w:szCs w:val="24"/>
                <w:color w:val="auto"/>
              </w:rPr>
            </w:pPr>
          </w:p>
        </w:tc>
        <w:tc>
          <w:tcPr>
            <w:tcW w:w="3760" w:type="dxa"/>
            <w:vAlign w:val="bottom"/>
            <w:gridSpan w:val="3"/>
          </w:tcPr>
          <w:p>
            <w:pPr>
              <w:jc w:val="center"/>
              <w:ind w:right="1480"/>
              <w:spacing w:after="0"/>
              <w:rPr>
                <w:sz w:val="20"/>
                <w:szCs w:val="20"/>
                <w:color w:val="auto"/>
              </w:rPr>
            </w:pPr>
            <w:r>
              <w:rPr>
                <w:rFonts w:ascii="Arial" w:cs="Arial" w:eastAsia="Arial" w:hAnsi="Arial"/>
                <w:sz w:val="18"/>
                <w:szCs w:val="18"/>
                <w:color w:val="auto"/>
                <w:w w:val="95"/>
              </w:rPr>
              <w:t>Director</w:t>
            </w:r>
          </w:p>
        </w:tc>
        <w:tc>
          <w:tcPr>
            <w:tcW w:w="1960" w:type="dxa"/>
            <w:vAlign w:val="bottom"/>
            <w:gridSpan w:val="3"/>
          </w:tcPr>
          <w:p>
            <w:pPr>
              <w:jc w:val="center"/>
              <w:ind w:left="812"/>
              <w:spacing w:after="0"/>
              <w:rPr>
                <w:sz w:val="20"/>
                <w:szCs w:val="20"/>
                <w:color w:val="auto"/>
              </w:rPr>
            </w:pPr>
            <w:r>
              <w:rPr>
                <w:rFonts w:ascii="Arial" w:cs="Arial" w:eastAsia="Arial" w:hAnsi="Arial"/>
                <w:sz w:val="18"/>
                <w:szCs w:val="18"/>
                <w:color w:val="auto"/>
                <w:w w:val="95"/>
              </w:rPr>
              <w:t>April 28, 2017</w:t>
            </w:r>
          </w:p>
        </w:tc>
      </w:tr>
      <w:tr>
        <w:trPr>
          <w:trHeight w:val="224"/>
        </w:trPr>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80" w:type="dxa"/>
            <w:vAlign w:val="bottom"/>
            <w:gridSpan w:val="3"/>
          </w:tcPr>
          <w:p>
            <w:pPr>
              <w:jc w:val="center"/>
              <w:ind w:right="660"/>
              <w:spacing w:after="0"/>
              <w:rPr>
                <w:sz w:val="20"/>
                <w:szCs w:val="20"/>
                <w:color w:val="auto"/>
              </w:rPr>
            </w:pPr>
            <w:r>
              <w:rPr>
                <w:rFonts w:ascii="Arial" w:cs="Arial" w:eastAsia="Arial" w:hAnsi="Arial"/>
                <w:sz w:val="18"/>
                <w:szCs w:val="18"/>
                <w:color w:val="auto"/>
                <w:w w:val="87"/>
              </w:rPr>
              <w:t>Carlos Paya</w:t>
            </w:r>
          </w:p>
        </w:tc>
        <w:tc>
          <w:tcPr>
            <w:tcW w:w="1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r>
      <w:tr>
        <w:trPr>
          <w:trHeight w:val="431"/>
        </w:trPr>
        <w:tc>
          <w:tcPr>
            <w:tcW w:w="3340" w:type="dxa"/>
            <w:vAlign w:val="bottom"/>
            <w:tcBorders>
              <w:bottom w:val="single" w:sz="8" w:color="auto"/>
            </w:tcBorders>
            <w:gridSpan w:val="5"/>
          </w:tcPr>
          <w:p>
            <w:pPr>
              <w:spacing w:after="0"/>
              <w:rPr>
                <w:sz w:val="20"/>
                <w:szCs w:val="20"/>
                <w:color w:val="auto"/>
              </w:rPr>
            </w:pPr>
            <w:r>
              <w:rPr>
                <w:rFonts w:ascii="Arial" w:cs="Arial" w:eastAsia="Arial" w:hAnsi="Arial"/>
                <w:sz w:val="18"/>
                <w:szCs w:val="18"/>
                <w:color w:val="auto"/>
              </w:rPr>
              <w:t>/s/ Nicolas Barthelemy</w:t>
            </w:r>
          </w:p>
        </w:tc>
        <w:tc>
          <w:tcPr>
            <w:tcW w:w="1240" w:type="dxa"/>
            <w:vAlign w:val="bottom"/>
          </w:tcPr>
          <w:p>
            <w:pPr>
              <w:spacing w:after="0"/>
              <w:rPr>
                <w:sz w:val="24"/>
                <w:szCs w:val="24"/>
                <w:color w:val="auto"/>
              </w:rPr>
            </w:pPr>
          </w:p>
        </w:tc>
        <w:tc>
          <w:tcPr>
            <w:tcW w:w="3760" w:type="dxa"/>
            <w:vAlign w:val="bottom"/>
            <w:gridSpan w:val="3"/>
          </w:tcPr>
          <w:p>
            <w:pPr>
              <w:jc w:val="center"/>
              <w:ind w:right="1480"/>
              <w:spacing w:after="0"/>
              <w:rPr>
                <w:sz w:val="20"/>
                <w:szCs w:val="20"/>
                <w:color w:val="auto"/>
              </w:rPr>
            </w:pPr>
            <w:r>
              <w:rPr>
                <w:rFonts w:ascii="Arial" w:cs="Arial" w:eastAsia="Arial" w:hAnsi="Arial"/>
                <w:sz w:val="18"/>
                <w:szCs w:val="18"/>
                <w:color w:val="auto"/>
                <w:w w:val="95"/>
              </w:rPr>
              <w:t>Director</w:t>
            </w:r>
          </w:p>
        </w:tc>
        <w:tc>
          <w:tcPr>
            <w:tcW w:w="1960" w:type="dxa"/>
            <w:vAlign w:val="bottom"/>
            <w:gridSpan w:val="3"/>
          </w:tcPr>
          <w:p>
            <w:pPr>
              <w:jc w:val="center"/>
              <w:ind w:left="812"/>
              <w:spacing w:after="0"/>
              <w:rPr>
                <w:sz w:val="20"/>
                <w:szCs w:val="20"/>
                <w:color w:val="auto"/>
              </w:rPr>
            </w:pPr>
            <w:r>
              <w:rPr>
                <w:rFonts w:ascii="Arial" w:cs="Arial" w:eastAsia="Arial" w:hAnsi="Arial"/>
                <w:sz w:val="18"/>
                <w:szCs w:val="18"/>
                <w:color w:val="auto"/>
                <w:w w:val="95"/>
              </w:rPr>
              <w:t>April 28, 2017</w:t>
            </w:r>
          </w:p>
        </w:tc>
      </w:tr>
      <w:tr>
        <w:trPr>
          <w:trHeight w:val="224"/>
        </w:trPr>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80" w:type="dxa"/>
            <w:vAlign w:val="bottom"/>
            <w:gridSpan w:val="3"/>
          </w:tcPr>
          <w:p>
            <w:pPr>
              <w:jc w:val="center"/>
              <w:ind w:right="660"/>
              <w:spacing w:after="0"/>
              <w:rPr>
                <w:sz w:val="20"/>
                <w:szCs w:val="20"/>
                <w:color w:val="auto"/>
              </w:rPr>
            </w:pPr>
            <w:r>
              <w:rPr>
                <w:rFonts w:ascii="Arial" w:cs="Arial" w:eastAsia="Arial" w:hAnsi="Arial"/>
                <w:sz w:val="18"/>
                <w:szCs w:val="18"/>
                <w:color w:val="auto"/>
                <w:w w:val="91"/>
              </w:rPr>
              <w:t>Nicolas Barthelemy</w:t>
            </w:r>
          </w:p>
        </w:tc>
        <w:tc>
          <w:tcPr>
            <w:tcW w:w="1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r>
      <w:tr>
        <w:trPr>
          <w:trHeight w:val="431"/>
        </w:trPr>
        <w:tc>
          <w:tcPr>
            <w:tcW w:w="440" w:type="dxa"/>
            <w:vAlign w:val="bottom"/>
          </w:tcPr>
          <w:p>
            <w:pPr>
              <w:spacing w:after="0"/>
              <w:rPr>
                <w:sz w:val="20"/>
                <w:szCs w:val="20"/>
                <w:color w:val="auto"/>
              </w:rPr>
            </w:pPr>
            <w:r>
              <w:rPr>
                <w:rFonts w:ascii="Arial" w:cs="Arial" w:eastAsia="Arial" w:hAnsi="Arial"/>
                <w:sz w:val="18"/>
                <w:szCs w:val="18"/>
                <w:color w:val="auto"/>
              </w:rPr>
              <w:t>*By:</w:t>
            </w:r>
          </w:p>
        </w:tc>
        <w:tc>
          <w:tcPr>
            <w:tcW w:w="220" w:type="dxa"/>
            <w:vAlign w:val="bottom"/>
          </w:tcPr>
          <w:p>
            <w:pPr>
              <w:spacing w:after="0"/>
              <w:rPr>
                <w:sz w:val="24"/>
                <w:szCs w:val="24"/>
                <w:color w:val="auto"/>
              </w:rPr>
            </w:pPr>
          </w:p>
        </w:tc>
        <w:tc>
          <w:tcPr>
            <w:tcW w:w="268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Vikram Jog</w:t>
            </w:r>
          </w:p>
        </w:tc>
        <w:tc>
          <w:tcPr>
            <w:tcW w:w="1240" w:type="dxa"/>
            <w:vAlign w:val="bottom"/>
            <w:tcBorders>
              <w:bottom w:val="single" w:sz="8" w:color="auto"/>
            </w:tcBorders>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209"/>
        </w:trPr>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80" w:type="dxa"/>
            <w:vAlign w:val="bottom"/>
            <w:gridSpan w:val="3"/>
          </w:tcPr>
          <w:p>
            <w:pPr>
              <w:spacing w:after="0"/>
              <w:rPr>
                <w:sz w:val="20"/>
                <w:szCs w:val="20"/>
                <w:color w:val="auto"/>
              </w:rPr>
            </w:pPr>
            <w:r>
              <w:rPr>
                <w:rFonts w:ascii="Arial" w:cs="Arial" w:eastAsia="Arial" w:hAnsi="Arial"/>
                <w:sz w:val="18"/>
                <w:szCs w:val="18"/>
                <w:color w:val="auto"/>
              </w:rPr>
              <w:t>Vikram Jog</w:t>
            </w:r>
          </w:p>
        </w:tc>
        <w:tc>
          <w:tcPr>
            <w:tcW w:w="1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r>
      <w:tr>
        <w:trPr>
          <w:trHeight w:val="230"/>
        </w:trPr>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80" w:type="dxa"/>
            <w:vAlign w:val="bottom"/>
            <w:gridSpan w:val="3"/>
          </w:tcPr>
          <w:p>
            <w:pPr>
              <w:spacing w:after="0"/>
              <w:rPr>
                <w:sz w:val="20"/>
                <w:szCs w:val="20"/>
                <w:color w:val="auto"/>
              </w:rPr>
            </w:pPr>
            <w:r>
              <w:rPr>
                <w:rFonts w:ascii="Arial" w:cs="Arial" w:eastAsia="Arial" w:hAnsi="Arial"/>
                <w:sz w:val="18"/>
                <w:szCs w:val="18"/>
                <w:color w:val="auto"/>
              </w:rPr>
              <w:t>Attorney-in-Fact</w:t>
            </w:r>
          </w:p>
        </w:tc>
        <w:tc>
          <w:tcPr>
            <w:tcW w:w="1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r>
    </w:tbl>
    <w:p>
      <w:pPr>
        <w:sectPr>
          <w:pgSz w:w="11900" w:h="16838" w:orient="portrait"/>
          <w:cols w:equalWidth="0" w:num="1">
            <w:col w:w="11340"/>
          </w:cols>
          <w:pgMar w:left="240" w:top="270" w:right="319" w:bottom="1440" w:gutter="0" w:footer="0" w:header="0"/>
        </w:sectPr>
      </w:pPr>
    </w:p>
    <w:bookmarkStart w:id="9" w:name="page10"/>
    <w:bookmarkEnd w:id="9"/>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INDEX</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Exhibit</w:t>
            </w:r>
          </w:p>
        </w:tc>
        <w:tc>
          <w:tcPr>
            <w:tcW w:w="200" w:type="dxa"/>
            <w:vAlign w:val="bottom"/>
          </w:tcPr>
          <w:p>
            <w:pPr>
              <w:spacing w:after="0"/>
              <w:rPr>
                <w:sz w:val="14"/>
                <w:szCs w:val="14"/>
                <w:color w:val="auto"/>
              </w:rPr>
            </w:pPr>
          </w:p>
        </w:tc>
        <w:tc>
          <w:tcPr>
            <w:tcW w:w="5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3040" w:type="dxa"/>
            <w:vAlign w:val="bottom"/>
            <w:tcBorders>
              <w:bottom w:val="single" w:sz="8" w:color="auto"/>
            </w:tcBorders>
            <w:gridSpan w:val="6"/>
          </w:tcPr>
          <w:p>
            <w:pPr>
              <w:ind w:left="820"/>
              <w:spacing w:after="0"/>
              <w:rPr>
                <w:sz w:val="20"/>
                <w:szCs w:val="20"/>
                <w:color w:val="auto"/>
              </w:rPr>
            </w:pPr>
            <w:r>
              <w:rPr>
                <w:rFonts w:ascii="Arial" w:cs="Arial" w:eastAsia="Arial" w:hAnsi="Arial"/>
                <w:sz w:val="14"/>
                <w:szCs w:val="14"/>
                <w:b w:val="1"/>
                <w:bCs w:val="1"/>
                <w:color w:val="auto"/>
              </w:rPr>
              <w:t>Incorporated by Reference</w:t>
            </w:r>
          </w:p>
        </w:tc>
        <w:tc>
          <w:tcPr>
            <w:tcW w:w="9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5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gridSpan w:val="2"/>
          </w:tcPr>
          <w:p>
            <w:pPr>
              <w:jc w:val="center"/>
              <w:ind w:right="260"/>
              <w:spacing w:after="0" w:line="142" w:lineRule="exact"/>
              <w:rPr>
                <w:sz w:val="20"/>
                <w:szCs w:val="20"/>
                <w:color w:val="auto"/>
              </w:rPr>
            </w:pPr>
            <w:r>
              <w:rPr>
                <w:rFonts w:ascii="Arial" w:cs="Arial" w:eastAsia="Arial" w:hAnsi="Arial"/>
                <w:sz w:val="14"/>
                <w:szCs w:val="14"/>
                <w:b w:val="1"/>
                <w:bCs w:val="1"/>
                <w:color w:val="auto"/>
                <w:w w:val="98"/>
              </w:rPr>
              <w:t>Exhibit</w:t>
            </w: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540" w:type="dxa"/>
            <w:vAlign w:val="bottom"/>
            <w:tcBorders>
              <w:bottom w:val="single" w:sz="8" w:color="auto"/>
            </w:tcBorders>
          </w:tcPr>
          <w:p>
            <w:pPr>
              <w:jc w:val="right"/>
              <w:ind w:right="72"/>
              <w:spacing w:after="0" w:line="115" w:lineRule="exact"/>
              <w:rPr>
                <w:sz w:val="20"/>
                <w:szCs w:val="20"/>
                <w:color w:val="auto"/>
              </w:rPr>
            </w:pPr>
            <w:r>
              <w:rPr>
                <w:rFonts w:ascii="Arial" w:cs="Arial" w:eastAsia="Arial" w:hAnsi="Arial"/>
                <w:sz w:val="13"/>
                <w:szCs w:val="13"/>
                <w:b w:val="1"/>
                <w:bCs w:val="1"/>
                <w:color w:val="auto"/>
              </w:rPr>
              <w:t>No.</w:t>
            </w:r>
          </w:p>
        </w:tc>
        <w:tc>
          <w:tcPr>
            <w:tcW w:w="200" w:type="dxa"/>
            <w:vAlign w:val="bottom"/>
          </w:tcPr>
          <w:p>
            <w:pPr>
              <w:spacing w:after="0"/>
              <w:rPr>
                <w:sz w:val="11"/>
                <w:szCs w:val="11"/>
                <w:color w:val="auto"/>
              </w:rPr>
            </w:pPr>
          </w:p>
        </w:tc>
        <w:tc>
          <w:tcPr>
            <w:tcW w:w="5960" w:type="dxa"/>
            <w:vAlign w:val="bottom"/>
            <w:gridSpan w:val="2"/>
          </w:tcPr>
          <w:p>
            <w:pPr>
              <w:ind w:left="2280"/>
              <w:spacing w:after="0" w:line="129" w:lineRule="exact"/>
              <w:rPr>
                <w:sz w:val="20"/>
                <w:szCs w:val="20"/>
                <w:color w:val="auto"/>
              </w:rPr>
            </w:pPr>
            <w:r>
              <w:rPr>
                <w:rFonts w:ascii="Arial" w:cs="Arial" w:eastAsia="Arial" w:hAnsi="Arial"/>
                <w:sz w:val="14"/>
                <w:szCs w:val="14"/>
                <w:b w:val="1"/>
                <w:bCs w:val="1"/>
                <w:color w:val="auto"/>
              </w:rPr>
              <w:t>Exhibit Description</w:t>
            </w:r>
          </w:p>
        </w:tc>
        <w:tc>
          <w:tcPr>
            <w:tcW w:w="700" w:type="dxa"/>
            <w:vAlign w:val="bottom"/>
            <w:gridSpan w:val="2"/>
          </w:tcPr>
          <w:p>
            <w:pPr>
              <w:ind w:left="60"/>
              <w:spacing w:after="0" w:line="129" w:lineRule="exact"/>
              <w:rPr>
                <w:sz w:val="20"/>
                <w:szCs w:val="20"/>
                <w:color w:val="auto"/>
              </w:rPr>
            </w:pPr>
            <w:r>
              <w:rPr>
                <w:rFonts w:ascii="Arial" w:cs="Arial" w:eastAsia="Arial" w:hAnsi="Arial"/>
                <w:sz w:val="14"/>
                <w:szCs w:val="14"/>
                <w:b w:val="1"/>
                <w:bCs w:val="1"/>
                <w:color w:val="auto"/>
              </w:rPr>
              <w:t>Form</w:t>
            </w:r>
          </w:p>
        </w:tc>
        <w:tc>
          <w:tcPr>
            <w:tcW w:w="1180" w:type="dxa"/>
            <w:vAlign w:val="bottom"/>
            <w:gridSpan w:val="2"/>
          </w:tcPr>
          <w:p>
            <w:pPr>
              <w:ind w:left="220"/>
              <w:spacing w:after="0" w:line="129" w:lineRule="exact"/>
              <w:rPr>
                <w:sz w:val="20"/>
                <w:szCs w:val="20"/>
                <w:color w:val="auto"/>
              </w:rPr>
            </w:pPr>
            <w:r>
              <w:rPr>
                <w:rFonts w:ascii="Arial" w:cs="Arial" w:eastAsia="Arial" w:hAnsi="Arial"/>
                <w:sz w:val="14"/>
                <w:szCs w:val="14"/>
                <w:b w:val="1"/>
                <w:bCs w:val="1"/>
                <w:color w:val="auto"/>
              </w:rPr>
              <w:t>File No.</w:t>
            </w:r>
          </w:p>
        </w:tc>
        <w:tc>
          <w:tcPr>
            <w:tcW w:w="720" w:type="dxa"/>
            <w:vAlign w:val="bottom"/>
            <w:gridSpan w:val="2"/>
          </w:tcPr>
          <w:p>
            <w:pPr>
              <w:jc w:val="center"/>
              <w:ind w:right="260"/>
              <w:spacing w:after="0" w:line="129" w:lineRule="exact"/>
              <w:rPr>
                <w:sz w:val="20"/>
                <w:szCs w:val="20"/>
                <w:color w:val="auto"/>
              </w:rPr>
            </w:pPr>
            <w:r>
              <w:rPr>
                <w:rFonts w:ascii="Arial" w:cs="Arial" w:eastAsia="Arial" w:hAnsi="Arial"/>
                <w:sz w:val="14"/>
                <w:szCs w:val="14"/>
                <w:b w:val="1"/>
                <w:bCs w:val="1"/>
                <w:color w:val="auto"/>
                <w:w w:val="97"/>
              </w:rPr>
              <w:t>No.</w:t>
            </w:r>
          </w:p>
        </w:tc>
        <w:tc>
          <w:tcPr>
            <w:tcW w:w="1140" w:type="dxa"/>
            <w:vAlign w:val="bottom"/>
            <w:gridSpan w:val="2"/>
          </w:tcPr>
          <w:p>
            <w:pPr>
              <w:ind w:left="100"/>
              <w:spacing w:after="0" w:line="129" w:lineRule="exact"/>
              <w:rPr>
                <w:sz w:val="20"/>
                <w:szCs w:val="20"/>
                <w:color w:val="auto"/>
              </w:rPr>
            </w:pPr>
            <w:r>
              <w:rPr>
                <w:rFonts w:ascii="Arial" w:cs="Arial" w:eastAsia="Arial" w:hAnsi="Arial"/>
                <w:sz w:val="14"/>
                <w:szCs w:val="14"/>
                <w:b w:val="1"/>
                <w:bCs w:val="1"/>
                <w:color w:val="auto"/>
              </w:rPr>
              <w:t>Filing Date</w:t>
            </w:r>
          </w:p>
        </w:tc>
        <w:tc>
          <w:tcPr>
            <w:tcW w:w="920" w:type="dxa"/>
            <w:vAlign w:val="bottom"/>
          </w:tcPr>
          <w:p>
            <w:pPr>
              <w:spacing w:after="0" w:line="129" w:lineRule="exact"/>
              <w:rPr>
                <w:sz w:val="20"/>
                <w:szCs w:val="20"/>
                <w:color w:val="auto"/>
              </w:rPr>
            </w:pPr>
            <w:r>
              <w:rPr>
                <w:rFonts w:ascii="Arial" w:cs="Arial" w:eastAsia="Arial" w:hAnsi="Arial"/>
                <w:sz w:val="14"/>
                <w:szCs w:val="14"/>
                <w:b w:val="1"/>
                <w:bCs w:val="1"/>
                <w:color w:val="auto"/>
                <w:w w:val="94"/>
              </w:rPr>
              <w:t>Filed Herewith</w:t>
            </w:r>
          </w:p>
        </w:tc>
        <w:tc>
          <w:tcPr>
            <w:tcW w:w="0" w:type="dxa"/>
            <w:vAlign w:val="bottom"/>
          </w:tcPr>
          <w:p>
            <w:pPr>
              <w:spacing w:after="0"/>
              <w:rPr>
                <w:sz w:val="1"/>
                <w:szCs w:val="1"/>
                <w:color w:val="auto"/>
              </w:rPr>
            </w:pPr>
          </w:p>
        </w:tc>
      </w:tr>
      <w:tr>
        <w:trPr>
          <w:trHeight w:val="21"/>
        </w:trPr>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04"/>
        </w:trPr>
        <w:tc>
          <w:tcPr>
            <w:tcW w:w="540" w:type="dxa"/>
            <w:vAlign w:val="bottom"/>
          </w:tcPr>
          <w:p>
            <w:pPr>
              <w:jc w:val="right"/>
              <w:ind w:right="32"/>
              <w:spacing w:after="0"/>
              <w:rPr>
                <w:sz w:val="20"/>
                <w:szCs w:val="20"/>
                <w:color w:val="auto"/>
              </w:rPr>
            </w:pPr>
            <w:r>
              <w:rPr>
                <w:rFonts w:ascii="Arial" w:cs="Arial" w:eastAsia="Arial" w:hAnsi="Arial"/>
                <w:sz w:val="18"/>
                <w:szCs w:val="18"/>
                <w:color w:val="auto"/>
              </w:rPr>
              <w:t>1.1*</w:t>
            </w:r>
          </w:p>
        </w:tc>
        <w:tc>
          <w:tcPr>
            <w:tcW w:w="200" w:type="dxa"/>
            <w:vAlign w:val="bottom"/>
          </w:tcPr>
          <w:p>
            <w:pPr>
              <w:spacing w:after="0"/>
              <w:rPr>
                <w:sz w:val="24"/>
                <w:szCs w:val="24"/>
                <w:color w:val="auto"/>
              </w:rPr>
            </w:pPr>
          </w:p>
        </w:tc>
        <w:tc>
          <w:tcPr>
            <w:tcW w:w="5960" w:type="dxa"/>
            <w:vAlign w:val="bottom"/>
            <w:gridSpan w:val="2"/>
          </w:tcPr>
          <w:p>
            <w:pPr>
              <w:spacing w:after="0"/>
              <w:rPr>
                <w:sz w:val="20"/>
                <w:szCs w:val="20"/>
                <w:color w:val="auto"/>
              </w:rPr>
            </w:pPr>
            <w:r>
              <w:rPr>
                <w:rFonts w:ascii="Arial" w:cs="Arial" w:eastAsia="Arial" w:hAnsi="Arial"/>
                <w:sz w:val="18"/>
                <w:szCs w:val="18"/>
                <w:color w:val="auto"/>
              </w:rPr>
              <w:t>Form of Underwriting Agreement.</w:t>
            </w: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540" w:type="dxa"/>
            <w:vAlign w:val="bottom"/>
          </w:tcPr>
          <w:p>
            <w:pPr>
              <w:jc w:val="right"/>
              <w:ind w:right="132"/>
              <w:spacing w:after="0"/>
              <w:rPr>
                <w:sz w:val="20"/>
                <w:szCs w:val="20"/>
                <w:color w:val="auto"/>
              </w:rPr>
            </w:pPr>
            <w:r>
              <w:rPr>
                <w:rFonts w:ascii="Arial" w:cs="Arial" w:eastAsia="Arial" w:hAnsi="Arial"/>
                <w:sz w:val="18"/>
                <w:szCs w:val="18"/>
                <w:color w:val="auto"/>
              </w:rPr>
              <w:t>3.1</w:t>
            </w:r>
          </w:p>
        </w:tc>
        <w:tc>
          <w:tcPr>
            <w:tcW w:w="200" w:type="dxa"/>
            <w:vAlign w:val="bottom"/>
          </w:tcPr>
          <w:p>
            <w:pPr>
              <w:spacing w:after="0"/>
              <w:rPr>
                <w:sz w:val="24"/>
                <w:szCs w:val="24"/>
                <w:color w:val="auto"/>
              </w:rPr>
            </w:pPr>
          </w:p>
        </w:tc>
        <w:tc>
          <w:tcPr>
            <w:tcW w:w="5960" w:type="dxa"/>
            <w:vAlign w:val="bottom"/>
            <w:gridSpan w:val="2"/>
          </w:tcPr>
          <w:p>
            <w:pPr>
              <w:spacing w:after="0"/>
              <w:rPr>
                <w:sz w:val="20"/>
                <w:szCs w:val="20"/>
                <w:color w:val="auto"/>
              </w:rPr>
            </w:pPr>
            <w:r>
              <w:rPr>
                <w:rFonts w:ascii="Arial" w:cs="Arial" w:eastAsia="Arial" w:hAnsi="Arial"/>
                <w:sz w:val="18"/>
                <w:szCs w:val="18"/>
                <w:color w:val="auto"/>
              </w:rPr>
              <w:t>Eighth Amended and Restated Certificate of Incorporation of Fluidigm</w:t>
            </w: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960" w:type="dxa"/>
            <w:vAlign w:val="bottom"/>
            <w:gridSpan w:val="2"/>
          </w:tcPr>
          <w:p>
            <w:pPr>
              <w:spacing w:after="0"/>
              <w:rPr>
                <w:sz w:val="20"/>
                <w:szCs w:val="20"/>
                <w:color w:val="auto"/>
              </w:rPr>
            </w:pPr>
            <w:r>
              <w:rPr>
                <w:rFonts w:ascii="Arial" w:cs="Arial" w:eastAsia="Arial" w:hAnsi="Arial"/>
                <w:sz w:val="18"/>
                <w:szCs w:val="18"/>
                <w:color w:val="auto"/>
              </w:rPr>
              <w:t>Corporation filed on February 15, 2011.</w:t>
            </w:r>
          </w:p>
        </w:tc>
        <w:tc>
          <w:tcPr>
            <w:tcW w:w="700" w:type="dxa"/>
            <w:vAlign w:val="bottom"/>
            <w:gridSpan w:val="2"/>
          </w:tcPr>
          <w:p>
            <w:pPr>
              <w:jc w:val="center"/>
              <w:ind w:right="200"/>
              <w:spacing w:after="0"/>
              <w:rPr>
                <w:sz w:val="20"/>
                <w:szCs w:val="20"/>
                <w:color w:val="auto"/>
              </w:rPr>
            </w:pPr>
            <w:r>
              <w:rPr>
                <w:rFonts w:ascii="Arial" w:cs="Arial" w:eastAsia="Arial" w:hAnsi="Arial"/>
                <w:sz w:val="18"/>
                <w:szCs w:val="18"/>
                <w:color w:val="auto"/>
                <w:w w:val="99"/>
              </w:rPr>
              <w:t>10-K</w:t>
            </w:r>
          </w:p>
        </w:tc>
        <w:tc>
          <w:tcPr>
            <w:tcW w:w="920" w:type="dxa"/>
            <w:vAlign w:val="bottom"/>
          </w:tcPr>
          <w:p>
            <w:pPr>
              <w:jc w:val="center"/>
              <w:spacing w:after="0"/>
              <w:rPr>
                <w:sz w:val="20"/>
                <w:szCs w:val="20"/>
                <w:color w:val="auto"/>
              </w:rPr>
            </w:pPr>
            <w:r>
              <w:rPr>
                <w:rFonts w:ascii="Arial" w:cs="Arial" w:eastAsia="Arial" w:hAnsi="Arial"/>
                <w:sz w:val="18"/>
                <w:szCs w:val="18"/>
                <w:color w:val="auto"/>
                <w:w w:val="90"/>
              </w:rPr>
              <w:t>001-34180</w:t>
            </w:r>
          </w:p>
        </w:tc>
        <w:tc>
          <w:tcPr>
            <w:tcW w:w="260" w:type="dxa"/>
            <w:vAlign w:val="bottom"/>
          </w:tcPr>
          <w:p>
            <w:pPr>
              <w:spacing w:after="0"/>
              <w:rPr>
                <w:sz w:val="20"/>
                <w:szCs w:val="20"/>
                <w:color w:val="auto"/>
              </w:rPr>
            </w:pPr>
          </w:p>
        </w:tc>
        <w:tc>
          <w:tcPr>
            <w:tcW w:w="460" w:type="dxa"/>
            <w:vAlign w:val="bottom"/>
          </w:tcPr>
          <w:p>
            <w:pPr>
              <w:jc w:val="center"/>
              <w:spacing w:after="0"/>
              <w:rPr>
                <w:sz w:val="20"/>
                <w:szCs w:val="20"/>
                <w:color w:val="auto"/>
              </w:rPr>
            </w:pPr>
            <w:r>
              <w:rPr>
                <w:rFonts w:ascii="Arial" w:cs="Arial" w:eastAsia="Arial" w:hAnsi="Arial"/>
                <w:sz w:val="18"/>
                <w:szCs w:val="18"/>
                <w:color w:val="auto"/>
                <w:w w:val="95"/>
              </w:rPr>
              <w:t>3.1</w:t>
            </w:r>
          </w:p>
        </w:tc>
        <w:tc>
          <w:tcPr>
            <w:tcW w:w="260" w:type="dxa"/>
            <w:vAlign w:val="bottom"/>
          </w:tcPr>
          <w:p>
            <w:pPr>
              <w:spacing w:after="0"/>
              <w:rPr>
                <w:sz w:val="20"/>
                <w:szCs w:val="20"/>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89"/>
              </w:rPr>
              <w:t>3/28/2011</w:t>
            </w: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540" w:type="dxa"/>
            <w:vAlign w:val="bottom"/>
          </w:tcPr>
          <w:p>
            <w:pPr>
              <w:jc w:val="right"/>
              <w:ind w:right="132"/>
              <w:spacing w:after="0"/>
              <w:rPr>
                <w:sz w:val="20"/>
                <w:szCs w:val="20"/>
                <w:color w:val="auto"/>
              </w:rPr>
            </w:pPr>
            <w:r>
              <w:rPr>
                <w:rFonts w:ascii="Arial" w:cs="Arial" w:eastAsia="Arial" w:hAnsi="Arial"/>
                <w:sz w:val="18"/>
                <w:szCs w:val="18"/>
                <w:color w:val="auto"/>
              </w:rPr>
              <w:t>3.2</w:t>
            </w:r>
          </w:p>
        </w:tc>
        <w:tc>
          <w:tcPr>
            <w:tcW w:w="200" w:type="dxa"/>
            <w:vAlign w:val="bottom"/>
          </w:tcPr>
          <w:p>
            <w:pPr>
              <w:spacing w:after="0"/>
              <w:rPr>
                <w:sz w:val="24"/>
                <w:szCs w:val="24"/>
                <w:color w:val="auto"/>
              </w:rPr>
            </w:pPr>
          </w:p>
        </w:tc>
        <w:tc>
          <w:tcPr>
            <w:tcW w:w="5960" w:type="dxa"/>
            <w:vAlign w:val="bottom"/>
            <w:gridSpan w:val="2"/>
          </w:tcPr>
          <w:p>
            <w:pPr>
              <w:spacing w:after="0"/>
              <w:rPr>
                <w:sz w:val="20"/>
                <w:szCs w:val="20"/>
                <w:color w:val="auto"/>
              </w:rPr>
            </w:pPr>
            <w:r>
              <w:rPr>
                <w:rFonts w:ascii="Arial" w:cs="Arial" w:eastAsia="Arial" w:hAnsi="Arial"/>
                <w:sz w:val="18"/>
                <w:szCs w:val="18"/>
                <w:color w:val="auto"/>
              </w:rPr>
              <w:t>Amended and Restated Bylaws of Fluidigm Corporation effective as of</w:t>
            </w: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960" w:type="dxa"/>
            <w:vAlign w:val="bottom"/>
            <w:gridSpan w:val="2"/>
          </w:tcPr>
          <w:p>
            <w:pPr>
              <w:spacing w:after="0"/>
              <w:rPr>
                <w:sz w:val="20"/>
                <w:szCs w:val="20"/>
                <w:color w:val="auto"/>
              </w:rPr>
            </w:pPr>
            <w:r>
              <w:rPr>
                <w:rFonts w:ascii="Arial" w:cs="Arial" w:eastAsia="Arial" w:hAnsi="Arial"/>
                <w:sz w:val="18"/>
                <w:szCs w:val="18"/>
                <w:color w:val="auto"/>
              </w:rPr>
              <w:t>February 9, 2011.</w:t>
            </w:r>
          </w:p>
        </w:tc>
        <w:tc>
          <w:tcPr>
            <w:tcW w:w="700" w:type="dxa"/>
            <w:vAlign w:val="bottom"/>
            <w:gridSpan w:val="2"/>
          </w:tcPr>
          <w:p>
            <w:pPr>
              <w:jc w:val="center"/>
              <w:ind w:right="200"/>
              <w:spacing w:after="0"/>
              <w:rPr>
                <w:sz w:val="20"/>
                <w:szCs w:val="20"/>
                <w:color w:val="auto"/>
              </w:rPr>
            </w:pPr>
            <w:r>
              <w:rPr>
                <w:rFonts w:ascii="Arial" w:cs="Arial" w:eastAsia="Arial" w:hAnsi="Arial"/>
                <w:sz w:val="18"/>
                <w:szCs w:val="18"/>
                <w:color w:val="auto"/>
                <w:w w:val="99"/>
              </w:rPr>
              <w:t>10-K</w:t>
            </w:r>
          </w:p>
        </w:tc>
        <w:tc>
          <w:tcPr>
            <w:tcW w:w="920" w:type="dxa"/>
            <w:vAlign w:val="bottom"/>
          </w:tcPr>
          <w:p>
            <w:pPr>
              <w:jc w:val="center"/>
              <w:spacing w:after="0"/>
              <w:rPr>
                <w:sz w:val="20"/>
                <w:szCs w:val="20"/>
                <w:color w:val="auto"/>
              </w:rPr>
            </w:pPr>
            <w:r>
              <w:rPr>
                <w:rFonts w:ascii="Arial" w:cs="Arial" w:eastAsia="Arial" w:hAnsi="Arial"/>
                <w:sz w:val="18"/>
                <w:szCs w:val="18"/>
                <w:color w:val="auto"/>
                <w:w w:val="90"/>
              </w:rPr>
              <w:t>001-34180</w:t>
            </w:r>
          </w:p>
        </w:tc>
        <w:tc>
          <w:tcPr>
            <w:tcW w:w="260" w:type="dxa"/>
            <w:vAlign w:val="bottom"/>
          </w:tcPr>
          <w:p>
            <w:pPr>
              <w:spacing w:after="0"/>
              <w:rPr>
                <w:sz w:val="20"/>
                <w:szCs w:val="20"/>
                <w:color w:val="auto"/>
              </w:rPr>
            </w:pPr>
          </w:p>
        </w:tc>
        <w:tc>
          <w:tcPr>
            <w:tcW w:w="460" w:type="dxa"/>
            <w:vAlign w:val="bottom"/>
          </w:tcPr>
          <w:p>
            <w:pPr>
              <w:jc w:val="center"/>
              <w:spacing w:after="0"/>
              <w:rPr>
                <w:sz w:val="20"/>
                <w:szCs w:val="20"/>
                <w:color w:val="auto"/>
              </w:rPr>
            </w:pPr>
            <w:r>
              <w:rPr>
                <w:rFonts w:ascii="Arial" w:cs="Arial" w:eastAsia="Arial" w:hAnsi="Arial"/>
                <w:sz w:val="18"/>
                <w:szCs w:val="18"/>
                <w:color w:val="auto"/>
                <w:w w:val="95"/>
              </w:rPr>
              <w:t>3.2</w:t>
            </w:r>
          </w:p>
        </w:tc>
        <w:tc>
          <w:tcPr>
            <w:tcW w:w="260" w:type="dxa"/>
            <w:vAlign w:val="bottom"/>
          </w:tcPr>
          <w:p>
            <w:pPr>
              <w:spacing w:after="0"/>
              <w:rPr>
                <w:sz w:val="20"/>
                <w:szCs w:val="20"/>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89"/>
              </w:rPr>
              <w:t>3/28/2011</w:t>
            </w: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540" w:type="dxa"/>
            <w:vAlign w:val="bottom"/>
          </w:tcPr>
          <w:p>
            <w:pPr>
              <w:jc w:val="right"/>
              <w:ind w:right="132"/>
              <w:spacing w:after="0"/>
              <w:rPr>
                <w:sz w:val="20"/>
                <w:szCs w:val="20"/>
                <w:color w:val="auto"/>
              </w:rPr>
            </w:pPr>
            <w:r>
              <w:rPr>
                <w:rFonts w:ascii="Arial" w:cs="Arial" w:eastAsia="Arial" w:hAnsi="Arial"/>
                <w:sz w:val="18"/>
                <w:szCs w:val="18"/>
                <w:color w:val="auto"/>
              </w:rPr>
              <w:t>3.3</w:t>
            </w:r>
          </w:p>
        </w:tc>
        <w:tc>
          <w:tcPr>
            <w:tcW w:w="200" w:type="dxa"/>
            <w:vAlign w:val="bottom"/>
          </w:tcPr>
          <w:p>
            <w:pPr>
              <w:spacing w:after="0"/>
              <w:rPr>
                <w:sz w:val="24"/>
                <w:szCs w:val="24"/>
                <w:color w:val="auto"/>
              </w:rPr>
            </w:pPr>
          </w:p>
        </w:tc>
        <w:tc>
          <w:tcPr>
            <w:tcW w:w="5960" w:type="dxa"/>
            <w:vAlign w:val="bottom"/>
            <w:gridSpan w:val="2"/>
          </w:tcPr>
          <w:p>
            <w:pPr>
              <w:spacing w:after="0"/>
              <w:rPr>
                <w:sz w:val="20"/>
                <w:szCs w:val="20"/>
                <w:color w:val="auto"/>
              </w:rPr>
            </w:pPr>
            <w:r>
              <w:rPr>
                <w:rFonts w:ascii="Arial" w:cs="Arial" w:eastAsia="Arial" w:hAnsi="Arial"/>
                <w:sz w:val="18"/>
                <w:szCs w:val="18"/>
                <w:color w:val="auto"/>
                <w:w w:val="99"/>
              </w:rPr>
              <w:t>Certificate of Designation of Rights, Preferences and Privileges of Series A</w:t>
            </w: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960" w:type="dxa"/>
            <w:vAlign w:val="bottom"/>
            <w:gridSpan w:val="2"/>
          </w:tcPr>
          <w:p>
            <w:pPr>
              <w:spacing w:after="0"/>
              <w:rPr>
                <w:sz w:val="20"/>
                <w:szCs w:val="20"/>
                <w:color w:val="auto"/>
              </w:rPr>
            </w:pPr>
            <w:r>
              <w:rPr>
                <w:rFonts w:ascii="Arial" w:cs="Arial" w:eastAsia="Arial" w:hAnsi="Arial"/>
                <w:sz w:val="18"/>
                <w:szCs w:val="18"/>
                <w:color w:val="auto"/>
              </w:rPr>
              <w:t>Participating Preferred Stock.</w:t>
            </w:r>
          </w:p>
        </w:tc>
        <w:tc>
          <w:tcPr>
            <w:tcW w:w="70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8-K</w:t>
            </w:r>
          </w:p>
        </w:tc>
        <w:tc>
          <w:tcPr>
            <w:tcW w:w="920" w:type="dxa"/>
            <w:vAlign w:val="bottom"/>
          </w:tcPr>
          <w:p>
            <w:pPr>
              <w:jc w:val="center"/>
              <w:spacing w:after="0"/>
              <w:rPr>
                <w:sz w:val="20"/>
                <w:szCs w:val="20"/>
                <w:color w:val="auto"/>
              </w:rPr>
            </w:pPr>
            <w:r>
              <w:rPr>
                <w:rFonts w:ascii="Arial" w:cs="Arial" w:eastAsia="Arial" w:hAnsi="Arial"/>
                <w:sz w:val="18"/>
                <w:szCs w:val="18"/>
                <w:color w:val="auto"/>
                <w:w w:val="90"/>
              </w:rPr>
              <w:t>001-34180</w:t>
            </w:r>
          </w:p>
        </w:tc>
        <w:tc>
          <w:tcPr>
            <w:tcW w:w="260" w:type="dxa"/>
            <w:vAlign w:val="bottom"/>
          </w:tcPr>
          <w:p>
            <w:pPr>
              <w:spacing w:after="0"/>
              <w:rPr>
                <w:sz w:val="20"/>
                <w:szCs w:val="20"/>
                <w:color w:val="auto"/>
              </w:rPr>
            </w:pPr>
          </w:p>
        </w:tc>
        <w:tc>
          <w:tcPr>
            <w:tcW w:w="460" w:type="dxa"/>
            <w:vAlign w:val="bottom"/>
          </w:tcPr>
          <w:p>
            <w:pPr>
              <w:jc w:val="center"/>
              <w:spacing w:after="0"/>
              <w:rPr>
                <w:sz w:val="20"/>
                <w:szCs w:val="20"/>
                <w:color w:val="auto"/>
              </w:rPr>
            </w:pPr>
            <w:r>
              <w:rPr>
                <w:rFonts w:ascii="Arial" w:cs="Arial" w:eastAsia="Arial" w:hAnsi="Arial"/>
                <w:sz w:val="18"/>
                <w:szCs w:val="18"/>
                <w:color w:val="auto"/>
                <w:w w:val="95"/>
              </w:rPr>
              <w:t>3.1</w:t>
            </w:r>
          </w:p>
        </w:tc>
        <w:tc>
          <w:tcPr>
            <w:tcW w:w="260" w:type="dxa"/>
            <w:vAlign w:val="bottom"/>
          </w:tcPr>
          <w:p>
            <w:pPr>
              <w:spacing w:after="0"/>
              <w:rPr>
                <w:sz w:val="20"/>
                <w:szCs w:val="20"/>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90"/>
              </w:rPr>
              <w:t>11/22/2016</w:t>
            </w: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540" w:type="dxa"/>
            <w:vAlign w:val="bottom"/>
          </w:tcPr>
          <w:p>
            <w:pPr>
              <w:jc w:val="right"/>
              <w:ind w:right="132"/>
              <w:spacing w:after="0"/>
              <w:rPr>
                <w:sz w:val="20"/>
                <w:szCs w:val="20"/>
                <w:color w:val="auto"/>
              </w:rPr>
            </w:pPr>
            <w:r>
              <w:rPr>
                <w:rFonts w:ascii="Arial" w:cs="Arial" w:eastAsia="Arial" w:hAnsi="Arial"/>
                <w:sz w:val="18"/>
                <w:szCs w:val="18"/>
                <w:color w:val="auto"/>
              </w:rPr>
              <w:t>4.1</w:t>
            </w:r>
          </w:p>
        </w:tc>
        <w:tc>
          <w:tcPr>
            <w:tcW w:w="200" w:type="dxa"/>
            <w:vAlign w:val="bottom"/>
          </w:tcPr>
          <w:p>
            <w:pPr>
              <w:spacing w:after="0"/>
              <w:rPr>
                <w:sz w:val="24"/>
                <w:szCs w:val="24"/>
                <w:color w:val="auto"/>
              </w:rPr>
            </w:pPr>
          </w:p>
        </w:tc>
        <w:tc>
          <w:tcPr>
            <w:tcW w:w="5960" w:type="dxa"/>
            <w:vAlign w:val="bottom"/>
            <w:gridSpan w:val="2"/>
          </w:tcPr>
          <w:p>
            <w:pPr>
              <w:spacing w:after="0"/>
              <w:rPr>
                <w:sz w:val="20"/>
                <w:szCs w:val="20"/>
                <w:color w:val="auto"/>
              </w:rPr>
            </w:pPr>
            <w:r>
              <w:rPr>
                <w:rFonts w:ascii="Arial" w:cs="Arial" w:eastAsia="Arial" w:hAnsi="Arial"/>
                <w:sz w:val="18"/>
                <w:szCs w:val="18"/>
                <w:color w:val="auto"/>
              </w:rPr>
              <w:t>Specimen Common Stock Certificate of Fluidigm Corporation.</w:t>
            </w:r>
          </w:p>
        </w:tc>
        <w:tc>
          <w:tcPr>
            <w:tcW w:w="700" w:type="dxa"/>
            <w:vAlign w:val="bottom"/>
            <w:gridSpan w:val="2"/>
          </w:tcPr>
          <w:p>
            <w:pPr>
              <w:jc w:val="center"/>
              <w:ind w:right="200"/>
              <w:spacing w:after="0"/>
              <w:rPr>
                <w:sz w:val="20"/>
                <w:szCs w:val="20"/>
                <w:color w:val="auto"/>
              </w:rPr>
            </w:pPr>
            <w:r>
              <w:rPr>
                <w:rFonts w:ascii="Arial" w:cs="Arial" w:eastAsia="Arial" w:hAnsi="Arial"/>
                <w:sz w:val="18"/>
                <w:szCs w:val="18"/>
                <w:color w:val="auto"/>
                <w:w w:val="92"/>
              </w:rPr>
              <w:t>S-8</w:t>
            </w:r>
          </w:p>
        </w:tc>
        <w:tc>
          <w:tcPr>
            <w:tcW w:w="920" w:type="dxa"/>
            <w:vAlign w:val="bottom"/>
          </w:tcPr>
          <w:p>
            <w:pPr>
              <w:jc w:val="center"/>
              <w:spacing w:after="0"/>
              <w:rPr>
                <w:sz w:val="20"/>
                <w:szCs w:val="20"/>
                <w:color w:val="auto"/>
              </w:rPr>
            </w:pPr>
            <w:r>
              <w:rPr>
                <w:rFonts w:ascii="Arial" w:cs="Arial" w:eastAsia="Arial" w:hAnsi="Arial"/>
                <w:sz w:val="18"/>
                <w:szCs w:val="18"/>
                <w:color w:val="auto"/>
                <w:w w:val="90"/>
              </w:rPr>
              <w:t>001-34180</w:t>
            </w:r>
          </w:p>
        </w:tc>
        <w:tc>
          <w:tcPr>
            <w:tcW w:w="260" w:type="dxa"/>
            <w:vAlign w:val="bottom"/>
          </w:tcPr>
          <w:p>
            <w:pPr>
              <w:spacing w:after="0"/>
              <w:rPr>
                <w:sz w:val="24"/>
                <w:szCs w:val="24"/>
                <w:color w:val="auto"/>
              </w:rPr>
            </w:pPr>
          </w:p>
        </w:tc>
        <w:tc>
          <w:tcPr>
            <w:tcW w:w="460" w:type="dxa"/>
            <w:vAlign w:val="bottom"/>
          </w:tcPr>
          <w:p>
            <w:pPr>
              <w:jc w:val="center"/>
              <w:spacing w:after="0"/>
              <w:rPr>
                <w:sz w:val="20"/>
                <w:szCs w:val="20"/>
                <w:color w:val="auto"/>
              </w:rPr>
            </w:pPr>
            <w:r>
              <w:rPr>
                <w:rFonts w:ascii="Arial" w:cs="Arial" w:eastAsia="Arial" w:hAnsi="Arial"/>
                <w:sz w:val="18"/>
                <w:szCs w:val="18"/>
                <w:color w:val="auto"/>
                <w:w w:val="95"/>
              </w:rPr>
              <w:t>4.1</w:t>
            </w:r>
          </w:p>
        </w:tc>
        <w:tc>
          <w:tcPr>
            <w:tcW w:w="26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92"/>
              </w:rPr>
              <w:t>1/13/2017</w:t>
            </w: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540" w:type="dxa"/>
            <w:vAlign w:val="bottom"/>
          </w:tcPr>
          <w:p>
            <w:pPr>
              <w:jc w:val="right"/>
              <w:ind w:right="132"/>
              <w:spacing w:after="0"/>
              <w:rPr>
                <w:sz w:val="20"/>
                <w:szCs w:val="20"/>
                <w:color w:val="auto"/>
              </w:rPr>
            </w:pPr>
            <w:r>
              <w:rPr>
                <w:rFonts w:ascii="Arial" w:cs="Arial" w:eastAsia="Arial" w:hAnsi="Arial"/>
                <w:sz w:val="18"/>
                <w:szCs w:val="18"/>
                <w:color w:val="auto"/>
              </w:rPr>
              <w:t>4.2</w:t>
            </w:r>
          </w:p>
        </w:tc>
        <w:tc>
          <w:tcPr>
            <w:tcW w:w="200" w:type="dxa"/>
            <w:vAlign w:val="bottom"/>
          </w:tcPr>
          <w:p>
            <w:pPr>
              <w:spacing w:after="0"/>
              <w:rPr>
                <w:sz w:val="24"/>
                <w:szCs w:val="24"/>
                <w:color w:val="auto"/>
              </w:rPr>
            </w:pPr>
          </w:p>
        </w:tc>
        <w:tc>
          <w:tcPr>
            <w:tcW w:w="5960" w:type="dxa"/>
            <w:vAlign w:val="bottom"/>
            <w:gridSpan w:val="2"/>
          </w:tcPr>
          <w:p>
            <w:pPr>
              <w:spacing w:after="0"/>
              <w:rPr>
                <w:sz w:val="20"/>
                <w:szCs w:val="20"/>
                <w:color w:val="auto"/>
              </w:rPr>
            </w:pPr>
            <w:r>
              <w:rPr>
                <w:rFonts w:ascii="Arial" w:cs="Arial" w:eastAsia="Arial" w:hAnsi="Arial"/>
                <w:sz w:val="18"/>
                <w:szCs w:val="18"/>
                <w:color w:val="auto"/>
                <w:w w:val="93"/>
              </w:rPr>
              <w:t>Tax Benefit Preservation Plan, dated as of November 21, 2016, by and between</w:t>
            </w: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960" w:type="dxa"/>
            <w:vAlign w:val="bottom"/>
            <w:gridSpan w:val="2"/>
          </w:tcPr>
          <w:p>
            <w:pPr>
              <w:spacing w:after="0"/>
              <w:rPr>
                <w:sz w:val="20"/>
                <w:szCs w:val="20"/>
                <w:color w:val="auto"/>
              </w:rPr>
            </w:pPr>
            <w:r>
              <w:rPr>
                <w:rFonts w:ascii="Arial" w:cs="Arial" w:eastAsia="Arial" w:hAnsi="Arial"/>
                <w:sz w:val="18"/>
                <w:szCs w:val="18"/>
                <w:color w:val="auto"/>
              </w:rPr>
              <w:t>Fluidigm Corporation and Computershare Inc., as Rights Agent.</w:t>
            </w:r>
          </w:p>
        </w:tc>
        <w:tc>
          <w:tcPr>
            <w:tcW w:w="70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8-K</w:t>
            </w:r>
          </w:p>
        </w:tc>
        <w:tc>
          <w:tcPr>
            <w:tcW w:w="920" w:type="dxa"/>
            <w:vAlign w:val="bottom"/>
          </w:tcPr>
          <w:p>
            <w:pPr>
              <w:jc w:val="center"/>
              <w:spacing w:after="0"/>
              <w:rPr>
                <w:sz w:val="20"/>
                <w:szCs w:val="20"/>
                <w:color w:val="auto"/>
              </w:rPr>
            </w:pPr>
            <w:r>
              <w:rPr>
                <w:rFonts w:ascii="Arial" w:cs="Arial" w:eastAsia="Arial" w:hAnsi="Arial"/>
                <w:sz w:val="18"/>
                <w:szCs w:val="18"/>
                <w:color w:val="auto"/>
                <w:w w:val="90"/>
              </w:rPr>
              <w:t>001-34180</w:t>
            </w:r>
          </w:p>
        </w:tc>
        <w:tc>
          <w:tcPr>
            <w:tcW w:w="260" w:type="dxa"/>
            <w:vAlign w:val="bottom"/>
          </w:tcPr>
          <w:p>
            <w:pPr>
              <w:spacing w:after="0"/>
              <w:rPr>
                <w:sz w:val="20"/>
                <w:szCs w:val="20"/>
                <w:color w:val="auto"/>
              </w:rPr>
            </w:pPr>
          </w:p>
        </w:tc>
        <w:tc>
          <w:tcPr>
            <w:tcW w:w="460" w:type="dxa"/>
            <w:vAlign w:val="bottom"/>
          </w:tcPr>
          <w:p>
            <w:pPr>
              <w:jc w:val="center"/>
              <w:spacing w:after="0"/>
              <w:rPr>
                <w:sz w:val="20"/>
                <w:szCs w:val="20"/>
                <w:color w:val="auto"/>
              </w:rPr>
            </w:pPr>
            <w:r>
              <w:rPr>
                <w:rFonts w:ascii="Arial" w:cs="Arial" w:eastAsia="Arial" w:hAnsi="Arial"/>
                <w:sz w:val="18"/>
                <w:szCs w:val="18"/>
                <w:color w:val="auto"/>
                <w:w w:val="95"/>
              </w:rPr>
              <w:t>4.1</w:t>
            </w:r>
          </w:p>
        </w:tc>
        <w:tc>
          <w:tcPr>
            <w:tcW w:w="260" w:type="dxa"/>
            <w:vAlign w:val="bottom"/>
          </w:tcPr>
          <w:p>
            <w:pPr>
              <w:spacing w:after="0"/>
              <w:rPr>
                <w:sz w:val="20"/>
                <w:szCs w:val="20"/>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90"/>
              </w:rPr>
              <w:t>11/22/2016</w:t>
            </w: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540" w:type="dxa"/>
            <w:vAlign w:val="bottom"/>
          </w:tcPr>
          <w:p>
            <w:pPr>
              <w:jc w:val="right"/>
              <w:spacing w:after="0"/>
              <w:rPr>
                <w:sz w:val="20"/>
                <w:szCs w:val="20"/>
                <w:color w:val="auto"/>
              </w:rPr>
            </w:pPr>
            <w:r>
              <w:rPr>
                <w:rFonts w:ascii="Arial" w:cs="Arial" w:eastAsia="Arial" w:hAnsi="Arial"/>
                <w:sz w:val="18"/>
                <w:szCs w:val="18"/>
                <w:color w:val="auto"/>
              </w:rPr>
              <w:t>4.3**</w:t>
            </w:r>
          </w:p>
        </w:tc>
        <w:tc>
          <w:tcPr>
            <w:tcW w:w="200" w:type="dxa"/>
            <w:vAlign w:val="bottom"/>
          </w:tcPr>
          <w:p>
            <w:pPr>
              <w:spacing w:after="0"/>
              <w:rPr>
                <w:sz w:val="24"/>
                <w:szCs w:val="24"/>
                <w:color w:val="auto"/>
              </w:rPr>
            </w:pPr>
          </w:p>
        </w:tc>
        <w:tc>
          <w:tcPr>
            <w:tcW w:w="5960" w:type="dxa"/>
            <w:vAlign w:val="bottom"/>
            <w:gridSpan w:val="2"/>
          </w:tcPr>
          <w:p>
            <w:pPr>
              <w:spacing w:after="0"/>
              <w:rPr>
                <w:sz w:val="20"/>
                <w:szCs w:val="20"/>
                <w:color w:val="auto"/>
              </w:rPr>
            </w:pPr>
            <w:r>
              <w:rPr>
                <w:rFonts w:ascii="Arial" w:cs="Arial" w:eastAsia="Arial" w:hAnsi="Arial"/>
                <w:sz w:val="18"/>
                <w:szCs w:val="18"/>
                <w:color w:val="auto"/>
              </w:rPr>
              <w:t>Form of Senior Indenture.</w:t>
            </w: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40" w:type="dxa"/>
            <w:vAlign w:val="bottom"/>
          </w:tcPr>
          <w:p>
            <w:pPr>
              <w:jc w:val="right"/>
              <w:spacing w:after="0"/>
              <w:rPr>
                <w:sz w:val="20"/>
                <w:szCs w:val="20"/>
                <w:color w:val="auto"/>
              </w:rPr>
            </w:pPr>
            <w:r>
              <w:rPr>
                <w:rFonts w:ascii="Arial" w:cs="Arial" w:eastAsia="Arial" w:hAnsi="Arial"/>
                <w:sz w:val="18"/>
                <w:szCs w:val="18"/>
                <w:color w:val="auto"/>
              </w:rPr>
              <w:t>4.4**</w:t>
            </w:r>
          </w:p>
        </w:tc>
        <w:tc>
          <w:tcPr>
            <w:tcW w:w="200" w:type="dxa"/>
            <w:vAlign w:val="bottom"/>
          </w:tcPr>
          <w:p>
            <w:pPr>
              <w:spacing w:after="0"/>
              <w:rPr>
                <w:sz w:val="24"/>
                <w:szCs w:val="24"/>
                <w:color w:val="auto"/>
              </w:rPr>
            </w:pPr>
          </w:p>
        </w:tc>
        <w:tc>
          <w:tcPr>
            <w:tcW w:w="5960" w:type="dxa"/>
            <w:vAlign w:val="bottom"/>
            <w:gridSpan w:val="2"/>
          </w:tcPr>
          <w:p>
            <w:pPr>
              <w:spacing w:after="0"/>
              <w:rPr>
                <w:sz w:val="20"/>
                <w:szCs w:val="20"/>
                <w:color w:val="auto"/>
              </w:rPr>
            </w:pPr>
            <w:r>
              <w:rPr>
                <w:rFonts w:ascii="Arial" w:cs="Arial" w:eastAsia="Arial" w:hAnsi="Arial"/>
                <w:sz w:val="18"/>
                <w:szCs w:val="18"/>
                <w:color w:val="auto"/>
              </w:rPr>
              <w:t>Form of Subordinated Indenture.</w:t>
            </w: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40" w:type="dxa"/>
            <w:vAlign w:val="bottom"/>
          </w:tcPr>
          <w:p>
            <w:pPr>
              <w:jc w:val="right"/>
              <w:ind w:right="32"/>
              <w:spacing w:after="0"/>
              <w:rPr>
                <w:sz w:val="20"/>
                <w:szCs w:val="20"/>
                <w:color w:val="auto"/>
              </w:rPr>
            </w:pPr>
            <w:r>
              <w:rPr>
                <w:rFonts w:ascii="Arial" w:cs="Arial" w:eastAsia="Arial" w:hAnsi="Arial"/>
                <w:sz w:val="18"/>
                <w:szCs w:val="18"/>
                <w:color w:val="auto"/>
              </w:rPr>
              <w:t>4.5*</w:t>
            </w:r>
          </w:p>
        </w:tc>
        <w:tc>
          <w:tcPr>
            <w:tcW w:w="200" w:type="dxa"/>
            <w:vAlign w:val="bottom"/>
          </w:tcPr>
          <w:p>
            <w:pPr>
              <w:spacing w:after="0"/>
              <w:rPr>
                <w:sz w:val="24"/>
                <w:szCs w:val="24"/>
                <w:color w:val="auto"/>
              </w:rPr>
            </w:pPr>
          </w:p>
        </w:tc>
        <w:tc>
          <w:tcPr>
            <w:tcW w:w="5960" w:type="dxa"/>
            <w:vAlign w:val="bottom"/>
            <w:gridSpan w:val="2"/>
          </w:tcPr>
          <w:p>
            <w:pPr>
              <w:spacing w:after="0"/>
              <w:rPr>
                <w:sz w:val="20"/>
                <w:szCs w:val="20"/>
                <w:color w:val="auto"/>
              </w:rPr>
            </w:pPr>
            <w:r>
              <w:rPr>
                <w:rFonts w:ascii="Arial" w:cs="Arial" w:eastAsia="Arial" w:hAnsi="Arial"/>
                <w:sz w:val="18"/>
                <w:szCs w:val="18"/>
                <w:color w:val="auto"/>
              </w:rPr>
              <w:t>Form of Senior Debt Security.</w:t>
            </w: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40" w:type="dxa"/>
            <w:vAlign w:val="bottom"/>
          </w:tcPr>
          <w:p>
            <w:pPr>
              <w:jc w:val="right"/>
              <w:ind w:right="32"/>
              <w:spacing w:after="0"/>
              <w:rPr>
                <w:sz w:val="20"/>
                <w:szCs w:val="20"/>
                <w:color w:val="auto"/>
              </w:rPr>
            </w:pPr>
            <w:r>
              <w:rPr>
                <w:rFonts w:ascii="Arial" w:cs="Arial" w:eastAsia="Arial" w:hAnsi="Arial"/>
                <w:sz w:val="18"/>
                <w:szCs w:val="18"/>
                <w:color w:val="auto"/>
              </w:rPr>
              <w:t>4.6*</w:t>
            </w:r>
          </w:p>
        </w:tc>
        <w:tc>
          <w:tcPr>
            <w:tcW w:w="200" w:type="dxa"/>
            <w:vAlign w:val="bottom"/>
          </w:tcPr>
          <w:p>
            <w:pPr>
              <w:spacing w:after="0"/>
              <w:rPr>
                <w:sz w:val="24"/>
                <w:szCs w:val="24"/>
                <w:color w:val="auto"/>
              </w:rPr>
            </w:pPr>
          </w:p>
        </w:tc>
        <w:tc>
          <w:tcPr>
            <w:tcW w:w="5960" w:type="dxa"/>
            <w:vAlign w:val="bottom"/>
            <w:gridSpan w:val="2"/>
          </w:tcPr>
          <w:p>
            <w:pPr>
              <w:spacing w:after="0"/>
              <w:rPr>
                <w:sz w:val="20"/>
                <w:szCs w:val="20"/>
                <w:color w:val="auto"/>
              </w:rPr>
            </w:pPr>
            <w:r>
              <w:rPr>
                <w:rFonts w:ascii="Arial" w:cs="Arial" w:eastAsia="Arial" w:hAnsi="Arial"/>
                <w:sz w:val="18"/>
                <w:szCs w:val="18"/>
                <w:color w:val="auto"/>
              </w:rPr>
              <w:t>Form of Subordinated Debt Security.</w:t>
            </w: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40" w:type="dxa"/>
            <w:vAlign w:val="bottom"/>
          </w:tcPr>
          <w:p>
            <w:pPr>
              <w:jc w:val="right"/>
              <w:ind w:right="32"/>
              <w:spacing w:after="0"/>
              <w:rPr>
                <w:sz w:val="20"/>
                <w:szCs w:val="20"/>
                <w:color w:val="auto"/>
              </w:rPr>
            </w:pPr>
            <w:r>
              <w:rPr>
                <w:rFonts w:ascii="Arial" w:cs="Arial" w:eastAsia="Arial" w:hAnsi="Arial"/>
                <w:sz w:val="18"/>
                <w:szCs w:val="18"/>
                <w:color w:val="auto"/>
              </w:rPr>
              <w:t>4.7*</w:t>
            </w:r>
          </w:p>
        </w:tc>
        <w:tc>
          <w:tcPr>
            <w:tcW w:w="200" w:type="dxa"/>
            <w:vAlign w:val="bottom"/>
          </w:tcPr>
          <w:p>
            <w:pPr>
              <w:spacing w:after="0"/>
              <w:rPr>
                <w:sz w:val="24"/>
                <w:szCs w:val="24"/>
                <w:color w:val="auto"/>
              </w:rPr>
            </w:pPr>
          </w:p>
        </w:tc>
        <w:tc>
          <w:tcPr>
            <w:tcW w:w="5960" w:type="dxa"/>
            <w:vAlign w:val="bottom"/>
            <w:gridSpan w:val="2"/>
          </w:tcPr>
          <w:p>
            <w:pPr>
              <w:spacing w:after="0"/>
              <w:rPr>
                <w:sz w:val="20"/>
                <w:szCs w:val="20"/>
                <w:color w:val="auto"/>
              </w:rPr>
            </w:pPr>
            <w:r>
              <w:rPr>
                <w:rFonts w:ascii="Arial" w:cs="Arial" w:eastAsia="Arial" w:hAnsi="Arial"/>
                <w:sz w:val="18"/>
                <w:szCs w:val="18"/>
                <w:color w:val="auto"/>
              </w:rPr>
              <w:t>Form of Certificate of Designation.</w:t>
            </w: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40" w:type="dxa"/>
            <w:vAlign w:val="bottom"/>
          </w:tcPr>
          <w:p>
            <w:pPr>
              <w:jc w:val="right"/>
              <w:ind w:right="32"/>
              <w:spacing w:after="0"/>
              <w:rPr>
                <w:sz w:val="20"/>
                <w:szCs w:val="20"/>
                <w:color w:val="auto"/>
              </w:rPr>
            </w:pPr>
            <w:r>
              <w:rPr>
                <w:rFonts w:ascii="Arial" w:cs="Arial" w:eastAsia="Arial" w:hAnsi="Arial"/>
                <w:sz w:val="18"/>
                <w:szCs w:val="18"/>
                <w:color w:val="auto"/>
              </w:rPr>
              <w:t>4.8*</w:t>
            </w:r>
          </w:p>
        </w:tc>
        <w:tc>
          <w:tcPr>
            <w:tcW w:w="200" w:type="dxa"/>
            <w:vAlign w:val="bottom"/>
          </w:tcPr>
          <w:p>
            <w:pPr>
              <w:spacing w:after="0"/>
              <w:rPr>
                <w:sz w:val="24"/>
                <w:szCs w:val="24"/>
                <w:color w:val="auto"/>
              </w:rPr>
            </w:pPr>
          </w:p>
        </w:tc>
        <w:tc>
          <w:tcPr>
            <w:tcW w:w="5960" w:type="dxa"/>
            <w:vAlign w:val="bottom"/>
            <w:gridSpan w:val="2"/>
          </w:tcPr>
          <w:p>
            <w:pPr>
              <w:spacing w:after="0"/>
              <w:rPr>
                <w:sz w:val="20"/>
                <w:szCs w:val="20"/>
                <w:color w:val="auto"/>
              </w:rPr>
            </w:pPr>
            <w:r>
              <w:rPr>
                <w:rFonts w:ascii="Arial" w:cs="Arial" w:eastAsia="Arial" w:hAnsi="Arial"/>
                <w:sz w:val="18"/>
                <w:szCs w:val="18"/>
                <w:color w:val="auto"/>
              </w:rPr>
              <w:t>Form of Preferred Stock Certificate.</w:t>
            </w: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40" w:type="dxa"/>
            <w:vAlign w:val="bottom"/>
          </w:tcPr>
          <w:p>
            <w:pPr>
              <w:jc w:val="right"/>
              <w:ind w:right="32"/>
              <w:spacing w:after="0"/>
              <w:rPr>
                <w:sz w:val="20"/>
                <w:szCs w:val="20"/>
                <w:color w:val="auto"/>
              </w:rPr>
            </w:pPr>
            <w:r>
              <w:rPr>
                <w:rFonts w:ascii="Arial" w:cs="Arial" w:eastAsia="Arial" w:hAnsi="Arial"/>
                <w:sz w:val="18"/>
                <w:szCs w:val="18"/>
                <w:color w:val="auto"/>
              </w:rPr>
              <w:t>4.9*</w:t>
            </w:r>
          </w:p>
        </w:tc>
        <w:tc>
          <w:tcPr>
            <w:tcW w:w="200" w:type="dxa"/>
            <w:vAlign w:val="bottom"/>
          </w:tcPr>
          <w:p>
            <w:pPr>
              <w:spacing w:after="0"/>
              <w:rPr>
                <w:sz w:val="24"/>
                <w:szCs w:val="24"/>
                <w:color w:val="auto"/>
              </w:rPr>
            </w:pPr>
          </w:p>
        </w:tc>
        <w:tc>
          <w:tcPr>
            <w:tcW w:w="5960" w:type="dxa"/>
            <w:vAlign w:val="bottom"/>
            <w:gridSpan w:val="2"/>
          </w:tcPr>
          <w:p>
            <w:pPr>
              <w:spacing w:after="0"/>
              <w:rPr>
                <w:sz w:val="20"/>
                <w:szCs w:val="20"/>
                <w:color w:val="auto"/>
              </w:rPr>
            </w:pPr>
            <w:r>
              <w:rPr>
                <w:rFonts w:ascii="Arial" w:cs="Arial" w:eastAsia="Arial" w:hAnsi="Arial"/>
                <w:sz w:val="18"/>
                <w:szCs w:val="18"/>
                <w:color w:val="auto"/>
              </w:rPr>
              <w:t>Form of Warrant Agreement.</w:t>
            </w: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40" w:type="dxa"/>
            <w:vAlign w:val="bottom"/>
          </w:tcPr>
          <w:p>
            <w:pPr>
              <w:jc w:val="right"/>
              <w:spacing w:after="0"/>
              <w:rPr>
                <w:sz w:val="20"/>
                <w:szCs w:val="20"/>
                <w:color w:val="auto"/>
              </w:rPr>
            </w:pPr>
            <w:r>
              <w:rPr>
                <w:rFonts w:ascii="Arial" w:cs="Arial" w:eastAsia="Arial" w:hAnsi="Arial"/>
                <w:sz w:val="18"/>
                <w:szCs w:val="18"/>
                <w:color w:val="auto"/>
              </w:rPr>
              <w:t>4.10*</w:t>
            </w:r>
          </w:p>
        </w:tc>
        <w:tc>
          <w:tcPr>
            <w:tcW w:w="200" w:type="dxa"/>
            <w:vAlign w:val="bottom"/>
          </w:tcPr>
          <w:p>
            <w:pPr>
              <w:spacing w:after="0"/>
              <w:rPr>
                <w:sz w:val="24"/>
                <w:szCs w:val="24"/>
                <w:color w:val="auto"/>
              </w:rPr>
            </w:pPr>
          </w:p>
        </w:tc>
        <w:tc>
          <w:tcPr>
            <w:tcW w:w="5960" w:type="dxa"/>
            <w:vAlign w:val="bottom"/>
            <w:gridSpan w:val="2"/>
          </w:tcPr>
          <w:p>
            <w:pPr>
              <w:spacing w:after="0"/>
              <w:rPr>
                <w:sz w:val="20"/>
                <w:szCs w:val="20"/>
                <w:color w:val="auto"/>
              </w:rPr>
            </w:pPr>
            <w:r>
              <w:rPr>
                <w:rFonts w:ascii="Arial" w:cs="Arial" w:eastAsia="Arial" w:hAnsi="Arial"/>
                <w:sz w:val="18"/>
                <w:szCs w:val="18"/>
                <w:color w:val="auto"/>
              </w:rPr>
              <w:t>Form of Warrant/Subscription Agreement.</w:t>
            </w: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40" w:type="dxa"/>
            <w:vAlign w:val="bottom"/>
          </w:tcPr>
          <w:p>
            <w:pPr>
              <w:jc w:val="right"/>
              <w:ind w:right="132"/>
              <w:spacing w:after="0"/>
              <w:rPr>
                <w:sz w:val="20"/>
                <w:szCs w:val="20"/>
                <w:color w:val="auto"/>
              </w:rPr>
            </w:pPr>
            <w:r>
              <w:rPr>
                <w:rFonts w:ascii="Arial" w:cs="Arial" w:eastAsia="Arial" w:hAnsi="Arial"/>
                <w:sz w:val="18"/>
                <w:szCs w:val="18"/>
                <w:color w:val="auto"/>
              </w:rPr>
              <w:t>5.1</w:t>
            </w:r>
          </w:p>
        </w:tc>
        <w:tc>
          <w:tcPr>
            <w:tcW w:w="200" w:type="dxa"/>
            <w:vAlign w:val="bottom"/>
          </w:tcPr>
          <w:p>
            <w:pPr>
              <w:spacing w:after="0"/>
              <w:rPr>
                <w:sz w:val="24"/>
                <w:szCs w:val="24"/>
                <w:color w:val="auto"/>
              </w:rPr>
            </w:pPr>
          </w:p>
        </w:tc>
        <w:tc>
          <w:tcPr>
            <w:tcW w:w="5960" w:type="dxa"/>
            <w:vAlign w:val="bottom"/>
            <w:gridSpan w:val="2"/>
          </w:tcPr>
          <w:p>
            <w:pPr>
              <w:spacing w:after="0"/>
              <w:rPr>
                <w:sz w:val="20"/>
                <w:szCs w:val="20"/>
                <w:color w:val="auto"/>
              </w:rPr>
            </w:pPr>
            <w:r>
              <w:rPr>
                <w:rFonts w:ascii="Arial" w:cs="Arial" w:eastAsia="Arial" w:hAnsi="Arial"/>
                <w:sz w:val="18"/>
                <w:szCs w:val="18"/>
                <w:color w:val="auto"/>
              </w:rPr>
              <w:t>Opinion of Wilson Sonsini Goodrich &amp; Rosati, Professional Corporation.</w:t>
            </w: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ind w:left="52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324"/>
        </w:trPr>
        <w:tc>
          <w:tcPr>
            <w:tcW w:w="540" w:type="dxa"/>
            <w:vAlign w:val="bottom"/>
          </w:tcPr>
          <w:p>
            <w:pPr>
              <w:jc w:val="right"/>
              <w:ind w:right="132"/>
              <w:spacing w:after="0"/>
              <w:rPr>
                <w:sz w:val="20"/>
                <w:szCs w:val="20"/>
                <w:color w:val="auto"/>
              </w:rPr>
            </w:pPr>
            <w:r>
              <w:rPr>
                <w:rFonts w:ascii="Arial" w:cs="Arial" w:eastAsia="Arial" w:hAnsi="Arial"/>
                <w:sz w:val="18"/>
                <w:szCs w:val="18"/>
                <w:color w:val="auto"/>
                <w:w w:val="85"/>
              </w:rPr>
              <w:t>12.1</w:t>
            </w:r>
          </w:p>
        </w:tc>
        <w:tc>
          <w:tcPr>
            <w:tcW w:w="200" w:type="dxa"/>
            <w:vAlign w:val="bottom"/>
          </w:tcPr>
          <w:p>
            <w:pPr>
              <w:spacing w:after="0"/>
              <w:rPr>
                <w:sz w:val="24"/>
                <w:szCs w:val="24"/>
                <w:color w:val="auto"/>
              </w:rPr>
            </w:pPr>
          </w:p>
        </w:tc>
        <w:tc>
          <w:tcPr>
            <w:tcW w:w="5960" w:type="dxa"/>
            <w:vAlign w:val="bottom"/>
            <w:gridSpan w:val="2"/>
          </w:tcPr>
          <w:p>
            <w:pPr>
              <w:spacing w:after="0"/>
              <w:rPr>
                <w:sz w:val="20"/>
                <w:szCs w:val="20"/>
                <w:color w:val="auto"/>
              </w:rPr>
            </w:pPr>
            <w:r>
              <w:rPr>
                <w:rFonts w:ascii="Arial" w:cs="Arial" w:eastAsia="Arial" w:hAnsi="Arial"/>
                <w:sz w:val="18"/>
                <w:szCs w:val="18"/>
                <w:color w:val="auto"/>
              </w:rPr>
              <w:t>Statement re Computation of Ratio of Earnings to Fixed Charges.</w:t>
            </w:r>
          </w:p>
        </w:tc>
        <w:tc>
          <w:tcPr>
            <w:tcW w:w="700" w:type="dxa"/>
            <w:vAlign w:val="bottom"/>
            <w:gridSpan w:val="2"/>
          </w:tcPr>
          <w:p>
            <w:pPr>
              <w:jc w:val="center"/>
              <w:ind w:right="200"/>
              <w:spacing w:after="0"/>
              <w:rPr>
                <w:sz w:val="20"/>
                <w:szCs w:val="20"/>
                <w:color w:val="auto"/>
              </w:rPr>
            </w:pPr>
            <w:r>
              <w:rPr>
                <w:rFonts w:ascii="Arial" w:cs="Arial" w:eastAsia="Arial" w:hAnsi="Arial"/>
                <w:sz w:val="18"/>
                <w:szCs w:val="18"/>
                <w:color w:val="auto"/>
                <w:w w:val="99"/>
              </w:rPr>
              <w:t>10-K</w:t>
            </w:r>
          </w:p>
        </w:tc>
        <w:tc>
          <w:tcPr>
            <w:tcW w:w="920" w:type="dxa"/>
            <w:vAlign w:val="bottom"/>
          </w:tcPr>
          <w:p>
            <w:pPr>
              <w:jc w:val="center"/>
              <w:spacing w:after="0"/>
              <w:rPr>
                <w:sz w:val="20"/>
                <w:szCs w:val="20"/>
                <w:color w:val="auto"/>
              </w:rPr>
            </w:pPr>
            <w:r>
              <w:rPr>
                <w:rFonts w:ascii="Arial" w:cs="Arial" w:eastAsia="Arial" w:hAnsi="Arial"/>
                <w:sz w:val="18"/>
                <w:szCs w:val="18"/>
                <w:color w:val="auto"/>
                <w:w w:val="90"/>
              </w:rPr>
              <w:t>001-34180</w:t>
            </w:r>
          </w:p>
        </w:tc>
        <w:tc>
          <w:tcPr>
            <w:tcW w:w="260" w:type="dxa"/>
            <w:vAlign w:val="bottom"/>
          </w:tcPr>
          <w:p>
            <w:pPr>
              <w:spacing w:after="0"/>
              <w:rPr>
                <w:sz w:val="24"/>
                <w:szCs w:val="24"/>
                <w:color w:val="auto"/>
              </w:rPr>
            </w:pPr>
          </w:p>
        </w:tc>
        <w:tc>
          <w:tcPr>
            <w:tcW w:w="460" w:type="dxa"/>
            <w:vAlign w:val="bottom"/>
          </w:tcPr>
          <w:p>
            <w:pPr>
              <w:jc w:val="center"/>
              <w:spacing w:after="0"/>
              <w:rPr>
                <w:sz w:val="20"/>
                <w:szCs w:val="20"/>
                <w:color w:val="auto"/>
              </w:rPr>
            </w:pPr>
            <w:r>
              <w:rPr>
                <w:rFonts w:ascii="Arial" w:cs="Arial" w:eastAsia="Arial" w:hAnsi="Arial"/>
                <w:sz w:val="18"/>
                <w:szCs w:val="18"/>
                <w:color w:val="auto"/>
                <w:w w:val="91"/>
              </w:rPr>
              <w:t>12.1</w:t>
            </w:r>
          </w:p>
        </w:tc>
        <w:tc>
          <w:tcPr>
            <w:tcW w:w="26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91"/>
              </w:rPr>
              <w:t>3/3/2017</w:t>
            </w: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540" w:type="dxa"/>
            <w:vAlign w:val="bottom"/>
          </w:tcPr>
          <w:p>
            <w:pPr>
              <w:jc w:val="right"/>
              <w:ind w:right="132"/>
              <w:spacing w:after="0"/>
              <w:rPr>
                <w:sz w:val="20"/>
                <w:szCs w:val="20"/>
                <w:color w:val="auto"/>
              </w:rPr>
            </w:pPr>
            <w:r>
              <w:rPr>
                <w:rFonts w:ascii="Arial" w:cs="Arial" w:eastAsia="Arial" w:hAnsi="Arial"/>
                <w:sz w:val="18"/>
                <w:szCs w:val="18"/>
                <w:color w:val="auto"/>
                <w:w w:val="85"/>
              </w:rPr>
              <w:t>23.1</w:t>
            </w:r>
          </w:p>
        </w:tc>
        <w:tc>
          <w:tcPr>
            <w:tcW w:w="200" w:type="dxa"/>
            <w:vAlign w:val="bottom"/>
          </w:tcPr>
          <w:p>
            <w:pPr>
              <w:spacing w:after="0"/>
              <w:rPr>
                <w:sz w:val="24"/>
                <w:szCs w:val="24"/>
                <w:color w:val="auto"/>
              </w:rPr>
            </w:pPr>
          </w:p>
        </w:tc>
        <w:tc>
          <w:tcPr>
            <w:tcW w:w="5960" w:type="dxa"/>
            <w:vAlign w:val="bottom"/>
            <w:gridSpan w:val="2"/>
          </w:tcPr>
          <w:p>
            <w:pPr>
              <w:spacing w:after="0"/>
              <w:rPr>
                <w:sz w:val="20"/>
                <w:szCs w:val="20"/>
                <w:color w:val="auto"/>
              </w:rPr>
            </w:pPr>
            <w:r>
              <w:rPr>
                <w:rFonts w:ascii="Arial" w:cs="Arial" w:eastAsia="Arial" w:hAnsi="Arial"/>
                <w:sz w:val="18"/>
                <w:szCs w:val="18"/>
                <w:color w:val="auto"/>
              </w:rPr>
              <w:t>Consent of PricewaterhouseCoopers LLP, independent registered public</w:t>
            </w: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960" w:type="dxa"/>
            <w:vAlign w:val="bottom"/>
            <w:gridSpan w:val="2"/>
          </w:tcPr>
          <w:p>
            <w:pPr>
              <w:spacing w:after="0"/>
              <w:rPr>
                <w:sz w:val="20"/>
                <w:szCs w:val="20"/>
                <w:color w:val="auto"/>
              </w:rPr>
            </w:pPr>
            <w:r>
              <w:rPr>
                <w:rFonts w:ascii="Arial" w:cs="Arial" w:eastAsia="Arial" w:hAnsi="Arial"/>
                <w:sz w:val="18"/>
                <w:szCs w:val="18"/>
                <w:color w:val="auto"/>
              </w:rPr>
              <w:t>accounting firm.</w:t>
            </w:r>
          </w:p>
        </w:tc>
        <w:tc>
          <w:tcPr>
            <w:tcW w:w="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ind w:left="52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324"/>
        </w:trPr>
        <w:tc>
          <w:tcPr>
            <w:tcW w:w="540" w:type="dxa"/>
            <w:vAlign w:val="bottom"/>
          </w:tcPr>
          <w:p>
            <w:pPr>
              <w:jc w:val="right"/>
              <w:ind w:right="132"/>
              <w:spacing w:after="0"/>
              <w:rPr>
                <w:sz w:val="20"/>
                <w:szCs w:val="20"/>
                <w:color w:val="auto"/>
              </w:rPr>
            </w:pPr>
            <w:r>
              <w:rPr>
                <w:rFonts w:ascii="Arial" w:cs="Arial" w:eastAsia="Arial" w:hAnsi="Arial"/>
                <w:sz w:val="18"/>
                <w:szCs w:val="18"/>
                <w:color w:val="auto"/>
                <w:w w:val="85"/>
              </w:rPr>
              <w:t>23.2</w:t>
            </w:r>
          </w:p>
        </w:tc>
        <w:tc>
          <w:tcPr>
            <w:tcW w:w="200" w:type="dxa"/>
            <w:vAlign w:val="bottom"/>
          </w:tcPr>
          <w:p>
            <w:pPr>
              <w:spacing w:after="0"/>
              <w:rPr>
                <w:sz w:val="24"/>
                <w:szCs w:val="24"/>
                <w:color w:val="auto"/>
              </w:rPr>
            </w:pPr>
          </w:p>
        </w:tc>
        <w:tc>
          <w:tcPr>
            <w:tcW w:w="5960" w:type="dxa"/>
            <w:vAlign w:val="bottom"/>
            <w:gridSpan w:val="2"/>
          </w:tcPr>
          <w:p>
            <w:pPr>
              <w:spacing w:after="0"/>
              <w:rPr>
                <w:sz w:val="20"/>
                <w:szCs w:val="20"/>
                <w:color w:val="auto"/>
              </w:rPr>
            </w:pPr>
            <w:r>
              <w:rPr>
                <w:rFonts w:ascii="Arial" w:cs="Arial" w:eastAsia="Arial" w:hAnsi="Arial"/>
                <w:sz w:val="18"/>
                <w:szCs w:val="18"/>
                <w:color w:val="auto"/>
                <w:w w:val="95"/>
              </w:rPr>
              <w:t>Consent of Ernst &amp; Young LLP, independent registered public accounting firm.</w:t>
            </w: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ind w:left="52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310"/>
        </w:trPr>
        <w:tc>
          <w:tcPr>
            <w:tcW w:w="540" w:type="dxa"/>
            <w:vAlign w:val="bottom"/>
          </w:tcPr>
          <w:p>
            <w:pPr>
              <w:jc w:val="right"/>
              <w:ind w:right="132"/>
              <w:spacing w:after="0"/>
              <w:rPr>
                <w:sz w:val="20"/>
                <w:szCs w:val="20"/>
                <w:color w:val="auto"/>
              </w:rPr>
            </w:pPr>
            <w:r>
              <w:rPr>
                <w:rFonts w:ascii="Arial" w:cs="Arial" w:eastAsia="Arial" w:hAnsi="Arial"/>
                <w:sz w:val="18"/>
                <w:szCs w:val="18"/>
                <w:color w:val="auto"/>
                <w:w w:val="85"/>
              </w:rPr>
              <w:t>23.3</w:t>
            </w:r>
          </w:p>
        </w:tc>
        <w:tc>
          <w:tcPr>
            <w:tcW w:w="200" w:type="dxa"/>
            <w:vAlign w:val="bottom"/>
          </w:tcPr>
          <w:p>
            <w:pPr>
              <w:spacing w:after="0"/>
              <w:rPr>
                <w:sz w:val="24"/>
                <w:szCs w:val="24"/>
                <w:color w:val="auto"/>
              </w:rPr>
            </w:pPr>
          </w:p>
        </w:tc>
        <w:tc>
          <w:tcPr>
            <w:tcW w:w="5960" w:type="dxa"/>
            <w:vAlign w:val="bottom"/>
            <w:gridSpan w:val="2"/>
          </w:tcPr>
          <w:p>
            <w:pPr>
              <w:spacing w:after="0"/>
              <w:rPr>
                <w:sz w:val="20"/>
                <w:szCs w:val="20"/>
                <w:color w:val="auto"/>
              </w:rPr>
            </w:pPr>
            <w:r>
              <w:rPr>
                <w:rFonts w:ascii="Arial" w:cs="Arial" w:eastAsia="Arial" w:hAnsi="Arial"/>
                <w:sz w:val="18"/>
                <w:szCs w:val="18"/>
                <w:color w:val="auto"/>
              </w:rPr>
              <w:t>Consent of Wilson Sonsini Goodrich &amp; Rosati, Professional Corporation</w:t>
            </w: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960" w:type="dxa"/>
            <w:vAlign w:val="bottom"/>
            <w:gridSpan w:val="2"/>
          </w:tcPr>
          <w:p>
            <w:pPr>
              <w:spacing w:after="0"/>
              <w:rPr>
                <w:sz w:val="20"/>
                <w:szCs w:val="20"/>
                <w:color w:val="auto"/>
              </w:rPr>
            </w:pPr>
            <w:r>
              <w:rPr>
                <w:rFonts w:ascii="Arial" w:cs="Arial" w:eastAsia="Arial" w:hAnsi="Arial"/>
                <w:sz w:val="18"/>
                <w:szCs w:val="18"/>
                <w:color w:val="auto"/>
              </w:rPr>
              <w:t>(included in Exhibit 5.1).</w:t>
            </w:r>
          </w:p>
        </w:tc>
        <w:tc>
          <w:tcPr>
            <w:tcW w:w="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ind w:left="52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324"/>
        </w:trPr>
        <w:tc>
          <w:tcPr>
            <w:tcW w:w="540" w:type="dxa"/>
            <w:vAlign w:val="bottom"/>
          </w:tcPr>
          <w:p>
            <w:pPr>
              <w:jc w:val="right"/>
              <w:ind w:right="132"/>
              <w:spacing w:after="0"/>
              <w:rPr>
                <w:sz w:val="20"/>
                <w:szCs w:val="20"/>
                <w:color w:val="auto"/>
              </w:rPr>
            </w:pPr>
            <w:r>
              <w:rPr>
                <w:rFonts w:ascii="Arial" w:cs="Arial" w:eastAsia="Arial" w:hAnsi="Arial"/>
                <w:sz w:val="18"/>
                <w:szCs w:val="18"/>
                <w:color w:val="auto"/>
                <w:w w:val="85"/>
              </w:rPr>
              <w:t>24.1</w:t>
            </w:r>
          </w:p>
        </w:tc>
        <w:tc>
          <w:tcPr>
            <w:tcW w:w="200" w:type="dxa"/>
            <w:vAlign w:val="bottom"/>
          </w:tcPr>
          <w:p>
            <w:pPr>
              <w:spacing w:after="0"/>
              <w:rPr>
                <w:sz w:val="24"/>
                <w:szCs w:val="24"/>
                <w:color w:val="auto"/>
              </w:rPr>
            </w:pPr>
          </w:p>
        </w:tc>
        <w:tc>
          <w:tcPr>
            <w:tcW w:w="5960" w:type="dxa"/>
            <w:vAlign w:val="bottom"/>
            <w:gridSpan w:val="2"/>
          </w:tcPr>
          <w:p>
            <w:pPr>
              <w:spacing w:after="0"/>
              <w:rPr>
                <w:sz w:val="20"/>
                <w:szCs w:val="20"/>
                <w:color w:val="auto"/>
              </w:rPr>
            </w:pPr>
            <w:r>
              <w:rPr>
                <w:rFonts w:ascii="Arial" w:cs="Arial" w:eastAsia="Arial" w:hAnsi="Arial"/>
                <w:sz w:val="18"/>
                <w:szCs w:val="18"/>
                <w:color w:val="auto"/>
              </w:rPr>
              <w:t>Power of Attorney (included on signature page thereto).</w:t>
            </w:r>
          </w:p>
        </w:tc>
        <w:tc>
          <w:tcPr>
            <w:tcW w:w="700" w:type="dxa"/>
            <w:vAlign w:val="bottom"/>
            <w:gridSpan w:val="2"/>
          </w:tcPr>
          <w:p>
            <w:pPr>
              <w:jc w:val="center"/>
              <w:ind w:right="200"/>
              <w:spacing w:after="0"/>
              <w:rPr>
                <w:sz w:val="20"/>
                <w:szCs w:val="20"/>
                <w:color w:val="auto"/>
              </w:rPr>
            </w:pPr>
            <w:r>
              <w:rPr>
                <w:rFonts w:ascii="Arial" w:cs="Arial" w:eastAsia="Arial" w:hAnsi="Arial"/>
                <w:sz w:val="18"/>
                <w:szCs w:val="18"/>
                <w:color w:val="auto"/>
                <w:w w:val="92"/>
              </w:rPr>
              <w:t>S-3</w:t>
            </w: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333-216542</w:t>
            </w:r>
          </w:p>
        </w:tc>
        <w:tc>
          <w:tcPr>
            <w:tcW w:w="260" w:type="dxa"/>
            <w:vAlign w:val="bottom"/>
          </w:tcPr>
          <w:p>
            <w:pPr>
              <w:spacing w:after="0"/>
              <w:rPr>
                <w:sz w:val="24"/>
                <w:szCs w:val="24"/>
                <w:color w:val="auto"/>
              </w:rPr>
            </w:pPr>
          </w:p>
        </w:tc>
        <w:tc>
          <w:tcPr>
            <w:tcW w:w="460" w:type="dxa"/>
            <w:vAlign w:val="bottom"/>
          </w:tcPr>
          <w:p>
            <w:pPr>
              <w:jc w:val="center"/>
              <w:spacing w:after="0"/>
              <w:rPr>
                <w:sz w:val="20"/>
                <w:szCs w:val="20"/>
                <w:color w:val="auto"/>
              </w:rPr>
            </w:pPr>
            <w:r>
              <w:rPr>
                <w:rFonts w:ascii="Arial" w:cs="Arial" w:eastAsia="Arial" w:hAnsi="Arial"/>
                <w:sz w:val="18"/>
                <w:szCs w:val="18"/>
                <w:color w:val="auto"/>
                <w:w w:val="91"/>
              </w:rPr>
              <w:t>24.1</w:t>
            </w:r>
          </w:p>
        </w:tc>
        <w:tc>
          <w:tcPr>
            <w:tcW w:w="26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91"/>
              </w:rPr>
              <w:t>3/8/2017</w:t>
            </w: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540" w:type="dxa"/>
            <w:vAlign w:val="bottom"/>
          </w:tcPr>
          <w:p>
            <w:pPr>
              <w:jc w:val="right"/>
              <w:ind w:right="132"/>
              <w:spacing w:after="0"/>
              <w:rPr>
                <w:sz w:val="20"/>
                <w:szCs w:val="20"/>
                <w:color w:val="auto"/>
              </w:rPr>
            </w:pPr>
            <w:r>
              <w:rPr>
                <w:rFonts w:ascii="Arial" w:cs="Arial" w:eastAsia="Arial" w:hAnsi="Arial"/>
                <w:sz w:val="18"/>
                <w:szCs w:val="18"/>
                <w:color w:val="auto"/>
                <w:w w:val="85"/>
              </w:rPr>
              <w:t>24.2</w:t>
            </w:r>
          </w:p>
        </w:tc>
        <w:tc>
          <w:tcPr>
            <w:tcW w:w="200" w:type="dxa"/>
            <w:vAlign w:val="bottom"/>
          </w:tcPr>
          <w:p>
            <w:pPr>
              <w:spacing w:after="0"/>
              <w:rPr>
                <w:sz w:val="24"/>
                <w:szCs w:val="24"/>
                <w:color w:val="auto"/>
              </w:rPr>
            </w:pPr>
          </w:p>
        </w:tc>
        <w:tc>
          <w:tcPr>
            <w:tcW w:w="5960" w:type="dxa"/>
            <w:vAlign w:val="bottom"/>
            <w:gridSpan w:val="2"/>
          </w:tcPr>
          <w:p>
            <w:pPr>
              <w:spacing w:after="0"/>
              <w:rPr>
                <w:sz w:val="20"/>
                <w:szCs w:val="20"/>
                <w:color w:val="auto"/>
              </w:rPr>
            </w:pPr>
            <w:r>
              <w:rPr>
                <w:rFonts w:ascii="Arial" w:cs="Arial" w:eastAsia="Arial" w:hAnsi="Arial"/>
                <w:sz w:val="18"/>
                <w:szCs w:val="18"/>
                <w:color w:val="auto"/>
              </w:rPr>
              <w:t>Power of Attorney for certain directors of Fluidigm Corporation, authorizing</w:t>
            </w: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960" w:type="dxa"/>
            <w:vAlign w:val="bottom"/>
            <w:gridSpan w:val="2"/>
          </w:tcPr>
          <w:p>
            <w:pPr>
              <w:spacing w:after="0"/>
              <w:rPr>
                <w:sz w:val="20"/>
                <w:szCs w:val="20"/>
                <w:color w:val="auto"/>
              </w:rPr>
            </w:pPr>
            <w:r>
              <w:rPr>
                <w:rFonts w:ascii="Arial" w:cs="Arial" w:eastAsia="Arial" w:hAnsi="Arial"/>
                <w:sz w:val="18"/>
                <w:szCs w:val="18"/>
                <w:color w:val="auto"/>
              </w:rPr>
              <w:t>the signing of the Registration Statement on Form S-3 on their behalf.</w:t>
            </w:r>
          </w:p>
        </w:tc>
        <w:tc>
          <w:tcPr>
            <w:tcW w:w="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ind w:left="52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310"/>
        </w:trPr>
        <w:tc>
          <w:tcPr>
            <w:tcW w:w="540" w:type="dxa"/>
            <w:vAlign w:val="bottom"/>
          </w:tcPr>
          <w:p>
            <w:pPr>
              <w:jc w:val="right"/>
              <w:ind w:right="32"/>
              <w:spacing w:after="0"/>
              <w:rPr>
                <w:sz w:val="20"/>
                <w:szCs w:val="20"/>
                <w:color w:val="auto"/>
              </w:rPr>
            </w:pPr>
            <w:r>
              <w:rPr>
                <w:rFonts w:ascii="Arial" w:cs="Arial" w:eastAsia="Arial" w:hAnsi="Arial"/>
                <w:sz w:val="18"/>
                <w:szCs w:val="18"/>
                <w:color w:val="auto"/>
                <w:w w:val="95"/>
              </w:rPr>
              <w:t>25.1*</w:t>
            </w:r>
          </w:p>
        </w:tc>
        <w:tc>
          <w:tcPr>
            <w:tcW w:w="200" w:type="dxa"/>
            <w:vAlign w:val="bottom"/>
          </w:tcPr>
          <w:p>
            <w:pPr>
              <w:spacing w:after="0"/>
              <w:rPr>
                <w:sz w:val="24"/>
                <w:szCs w:val="24"/>
                <w:color w:val="auto"/>
              </w:rPr>
            </w:pPr>
          </w:p>
        </w:tc>
        <w:tc>
          <w:tcPr>
            <w:tcW w:w="5960" w:type="dxa"/>
            <w:vAlign w:val="bottom"/>
            <w:gridSpan w:val="2"/>
          </w:tcPr>
          <w:p>
            <w:pPr>
              <w:spacing w:after="0"/>
              <w:rPr>
                <w:sz w:val="20"/>
                <w:szCs w:val="20"/>
                <w:color w:val="auto"/>
              </w:rPr>
            </w:pPr>
            <w:r>
              <w:rPr>
                <w:rFonts w:ascii="Arial" w:cs="Arial" w:eastAsia="Arial" w:hAnsi="Arial"/>
                <w:sz w:val="18"/>
                <w:szCs w:val="18"/>
                <w:color w:val="auto"/>
              </w:rPr>
              <w:t>Form T-1 Statement of Eligibility of Trustee for Senior Indenture under the</w:t>
            </w: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960" w:type="dxa"/>
            <w:vAlign w:val="bottom"/>
            <w:gridSpan w:val="2"/>
          </w:tcPr>
          <w:p>
            <w:pPr>
              <w:spacing w:after="0"/>
              <w:rPr>
                <w:sz w:val="20"/>
                <w:szCs w:val="20"/>
                <w:color w:val="auto"/>
              </w:rPr>
            </w:pPr>
            <w:r>
              <w:rPr>
                <w:rFonts w:ascii="Arial" w:cs="Arial" w:eastAsia="Arial" w:hAnsi="Arial"/>
                <w:sz w:val="18"/>
                <w:szCs w:val="18"/>
                <w:color w:val="auto"/>
              </w:rPr>
              <w:t>Trust Indenture Act of 1939.</w:t>
            </w:r>
          </w:p>
        </w:tc>
        <w:tc>
          <w:tcPr>
            <w:tcW w:w="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540" w:type="dxa"/>
            <w:vAlign w:val="bottom"/>
          </w:tcPr>
          <w:p>
            <w:pPr>
              <w:jc w:val="right"/>
              <w:ind w:right="32"/>
              <w:spacing w:after="0"/>
              <w:rPr>
                <w:sz w:val="20"/>
                <w:szCs w:val="20"/>
                <w:color w:val="auto"/>
              </w:rPr>
            </w:pPr>
            <w:r>
              <w:rPr>
                <w:rFonts w:ascii="Arial" w:cs="Arial" w:eastAsia="Arial" w:hAnsi="Arial"/>
                <w:sz w:val="18"/>
                <w:szCs w:val="18"/>
                <w:color w:val="auto"/>
                <w:w w:val="95"/>
              </w:rPr>
              <w:t>25.2*</w:t>
            </w:r>
          </w:p>
        </w:tc>
        <w:tc>
          <w:tcPr>
            <w:tcW w:w="200" w:type="dxa"/>
            <w:vAlign w:val="bottom"/>
          </w:tcPr>
          <w:p>
            <w:pPr>
              <w:spacing w:after="0"/>
              <w:rPr>
                <w:sz w:val="24"/>
                <w:szCs w:val="24"/>
                <w:color w:val="auto"/>
              </w:rPr>
            </w:pPr>
          </w:p>
        </w:tc>
        <w:tc>
          <w:tcPr>
            <w:tcW w:w="5960" w:type="dxa"/>
            <w:vAlign w:val="bottom"/>
            <w:gridSpan w:val="2"/>
          </w:tcPr>
          <w:p>
            <w:pPr>
              <w:spacing w:after="0"/>
              <w:rPr>
                <w:sz w:val="20"/>
                <w:szCs w:val="20"/>
                <w:color w:val="auto"/>
              </w:rPr>
            </w:pPr>
            <w:r>
              <w:rPr>
                <w:rFonts w:ascii="Arial" w:cs="Arial" w:eastAsia="Arial" w:hAnsi="Arial"/>
                <w:sz w:val="18"/>
                <w:szCs w:val="18"/>
                <w:color w:val="auto"/>
                <w:w w:val="97"/>
              </w:rPr>
              <w:t>Form T-1 Statement of Eligibility of Trustee for Subordinated Indenture under</w:t>
            </w: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960" w:type="dxa"/>
            <w:vAlign w:val="bottom"/>
            <w:gridSpan w:val="2"/>
          </w:tcPr>
          <w:p>
            <w:pPr>
              <w:spacing w:after="0"/>
              <w:rPr>
                <w:sz w:val="20"/>
                <w:szCs w:val="20"/>
                <w:color w:val="auto"/>
              </w:rPr>
            </w:pPr>
            <w:r>
              <w:rPr>
                <w:rFonts w:ascii="Arial" w:cs="Arial" w:eastAsia="Arial" w:hAnsi="Arial"/>
                <w:sz w:val="18"/>
                <w:szCs w:val="18"/>
                <w:color w:val="auto"/>
              </w:rPr>
              <w:t>the Trust Indenture Act of 1939.</w:t>
            </w:r>
          </w:p>
        </w:tc>
        <w:tc>
          <w:tcPr>
            <w:tcW w:w="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hanging="452"/>
        <w:spacing w:after="0"/>
        <w:tabs>
          <w:tab w:leader="none" w:pos="4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To be filed by amendment or as an exhibit to a report pursuant to Section 13(a) or 15(d) of the Securities Exchange Act of 1934, as amended and</w:t>
      </w:r>
    </w:p>
    <w:p>
      <w:pPr>
        <w:spacing w:after="0" w:line="4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incorporated herein by reference.</w:t>
      </w:r>
    </w:p>
    <w:p>
      <w:pPr>
        <w:spacing w:after="0" w:line="9" w:lineRule="exact"/>
        <w:rPr>
          <w:sz w:val="20"/>
          <w:szCs w:val="20"/>
          <w:color w:val="auto"/>
        </w:rPr>
      </w:pPr>
    </w:p>
    <w:p>
      <w:pPr>
        <w:ind w:left="460" w:hanging="452"/>
        <w:spacing w:after="0"/>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Previously filed.</w:t>
      </w:r>
    </w:p>
    <w:p>
      <w:pPr>
        <w:sectPr>
          <w:pgSz w:w="11900" w:h="16838" w:orient="portrait"/>
          <w:cols w:equalWidth="0" w:num="1">
            <w:col w:w="11360"/>
          </w:cols>
          <w:pgMar w:left="240" w:top="270" w:right="299" w:bottom="1440" w:gutter="0" w:footer="0" w:header="0"/>
        </w:sectPr>
      </w:pPr>
    </w:p>
    <w:bookmarkStart w:id="10" w:name="page11"/>
    <w:bookmarkEnd w:id="10"/>
    <w:p>
      <w:pPr>
        <w:jc w:val="right"/>
        <w:spacing w:after="0"/>
        <w:rPr>
          <w:sz w:val="20"/>
          <w:szCs w:val="20"/>
          <w:color w:val="auto"/>
        </w:rPr>
      </w:pPr>
      <w:r>
        <w:rPr>
          <w:rFonts w:ascii="Arial" w:cs="Arial" w:eastAsia="Arial" w:hAnsi="Arial"/>
          <w:sz w:val="18"/>
          <w:szCs w:val="18"/>
          <w:b w:val="1"/>
          <w:bCs w:val="1"/>
          <w:color w:val="auto"/>
        </w:rPr>
        <w:t>Exhibit 5.1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April 28,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Fluidigm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7000 Shoreline Court, Suite 100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South San Francisco, California 94080</w:t>
      </w:r>
    </w:p>
    <w:p>
      <w:pPr>
        <w:spacing w:after="0" w:line="234"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b w:val="1"/>
          <w:bCs w:val="1"/>
          <w:color w:val="auto"/>
        </w:rPr>
        <w:t>Re:</w:t>
      </w:r>
      <w:r>
        <w:rPr>
          <w:sz w:val="20"/>
          <w:szCs w:val="20"/>
          <w:color w:val="auto"/>
        </w:rPr>
        <w:tab/>
      </w:r>
      <w:r>
        <w:rPr>
          <w:rFonts w:ascii="Arial" w:cs="Arial" w:eastAsia="Arial" w:hAnsi="Arial"/>
          <w:sz w:val="16"/>
          <w:szCs w:val="16"/>
          <w:b w:val="1"/>
          <w:bCs w:val="1"/>
          <w:u w:val="single" w:color="auto"/>
          <w:color w:val="auto"/>
        </w:rPr>
        <w:t>Fluidigm Corporation—Registration Statement on Form S-3</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At your request, we have examined the Registration Statement on Form S-3, as amended (Registration No. 333-216542) (the “</w:t>
      </w:r>
      <w:r>
        <w:rPr>
          <w:rFonts w:ascii="Arial" w:cs="Arial" w:eastAsia="Arial" w:hAnsi="Arial"/>
          <w:sz w:val="17"/>
          <w:szCs w:val="17"/>
          <w:b w:val="1"/>
          <w:bCs w:val="1"/>
          <w:i w:val="1"/>
          <w:iCs w:val="1"/>
          <w:color w:val="auto"/>
        </w:rPr>
        <w:t>Registration</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Statement</w:t>
      </w:r>
      <w:r>
        <w:rPr>
          <w:rFonts w:ascii="Arial" w:cs="Arial" w:eastAsia="Arial" w:hAnsi="Arial"/>
          <w:sz w:val="16"/>
          <w:szCs w:val="16"/>
          <w:color w:val="auto"/>
        </w:rPr>
        <w:t>”), filed by Fluidigm Corporation, a Delaware corporation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with the Securities and Exchange Commission (the “</w:t>
      </w:r>
      <w:r>
        <w:rPr>
          <w:rFonts w:ascii="Arial" w:cs="Arial" w:eastAsia="Arial" w:hAnsi="Arial"/>
          <w:sz w:val="16"/>
          <w:szCs w:val="16"/>
          <w:b w:val="1"/>
          <w:bCs w:val="1"/>
          <w:i w:val="1"/>
          <w:iCs w:val="1"/>
          <w:color w:val="auto"/>
        </w:rPr>
        <w:t>Commission</w:t>
      </w:r>
      <w:r>
        <w:rPr>
          <w:rFonts w:ascii="Arial" w:cs="Arial" w:eastAsia="Arial" w:hAnsi="Arial"/>
          <w:sz w:val="16"/>
          <w:szCs w:val="16"/>
          <w:color w:val="auto"/>
        </w:rPr>
        <w:t>”)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connection with the registration pursuant to the Securities Act of 1933, as amended (the “</w:t>
      </w:r>
      <w:r>
        <w:rPr>
          <w:rFonts w:ascii="Arial" w:cs="Arial" w:eastAsia="Arial" w:hAnsi="Arial"/>
          <w:sz w:val="16"/>
          <w:szCs w:val="16"/>
          <w:b w:val="1"/>
          <w:bCs w:val="1"/>
          <w:i w:val="1"/>
          <w:iCs w:val="1"/>
          <w:color w:val="auto"/>
        </w:rPr>
        <w:t>Act</w:t>
      </w:r>
      <w:r>
        <w:rPr>
          <w:rFonts w:ascii="Arial" w:cs="Arial" w:eastAsia="Arial" w:hAnsi="Arial"/>
          <w:sz w:val="16"/>
          <w:szCs w:val="16"/>
          <w:color w:val="auto"/>
        </w:rPr>
        <w:t>”), of the offer and sale of the Securities (as defined below).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Registration Statement relates to the proposed offer, issuance and sale by the Company, from time to time pursuant to Rule 415 under the Act as set forth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Registration Statement, the prospectus contained therein (the “</w:t>
      </w:r>
      <w:r>
        <w:rPr>
          <w:rFonts w:ascii="Arial" w:cs="Arial" w:eastAsia="Arial" w:hAnsi="Arial"/>
          <w:sz w:val="16"/>
          <w:szCs w:val="16"/>
          <w:b w:val="1"/>
          <w:bCs w:val="1"/>
          <w:i w:val="1"/>
          <w:iCs w:val="1"/>
          <w:color w:val="auto"/>
        </w:rPr>
        <w:t>Prospectus</w:t>
      </w:r>
      <w:r>
        <w:rPr>
          <w:rFonts w:ascii="Arial" w:cs="Arial" w:eastAsia="Arial" w:hAnsi="Arial"/>
          <w:sz w:val="16"/>
          <w:szCs w:val="16"/>
          <w:color w:val="auto"/>
        </w:rPr>
        <w:t>”) and the supplements to the prospectus referred to therein (the “</w:t>
      </w:r>
      <w:r>
        <w:rPr>
          <w:rFonts w:ascii="Arial" w:cs="Arial" w:eastAsia="Arial" w:hAnsi="Arial"/>
          <w:sz w:val="16"/>
          <w:szCs w:val="16"/>
          <w:b w:val="1"/>
          <w:bCs w:val="1"/>
          <w:i w:val="1"/>
          <w:iCs w:val="1"/>
          <w:color w:val="auto"/>
        </w:rPr>
        <w:t>Prospectus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Supplements</w:t>
      </w:r>
      <w:r>
        <w:rPr>
          <w:rFonts w:ascii="Arial" w:cs="Arial" w:eastAsia="Arial" w:hAnsi="Arial"/>
          <w:sz w:val="16"/>
          <w:szCs w:val="16"/>
          <w:color w:val="auto"/>
        </w:rPr>
        <w:t>”) of (a) shares of the Company’s common stock, $0.001 par value per share (the “</w:t>
      </w:r>
      <w:r>
        <w:rPr>
          <w:rFonts w:ascii="Arial" w:cs="Arial" w:eastAsia="Arial" w:hAnsi="Arial"/>
          <w:sz w:val="16"/>
          <w:szCs w:val="16"/>
          <w:b w:val="1"/>
          <w:bCs w:val="1"/>
          <w:i w:val="1"/>
          <w:iCs w:val="1"/>
          <w:color w:val="auto"/>
        </w:rPr>
        <w:t>Common Stock</w:t>
      </w:r>
      <w:r>
        <w:rPr>
          <w:rFonts w:ascii="Arial" w:cs="Arial" w:eastAsia="Arial" w:hAnsi="Arial"/>
          <w:sz w:val="16"/>
          <w:szCs w:val="16"/>
          <w:color w:val="auto"/>
        </w:rPr>
        <w:t>”) and the preferred share purchase rights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Rights</w:t>
      </w:r>
      <w:r>
        <w:rPr>
          <w:rFonts w:ascii="Arial" w:cs="Arial" w:eastAsia="Arial" w:hAnsi="Arial"/>
          <w:sz w:val="16"/>
          <w:szCs w:val="16"/>
          <w:color w:val="auto"/>
        </w:rPr>
        <w:t>”) associated with the Common Stock issued pursuant to that certain Tax Benefit Preservation Plan, dated as of November 21, 2016 (the “</w:t>
      </w:r>
      <w:r>
        <w:rPr>
          <w:rFonts w:ascii="Arial" w:cs="Arial" w:eastAsia="Arial" w:hAnsi="Arial"/>
          <w:sz w:val="16"/>
          <w:szCs w:val="16"/>
          <w:b w:val="1"/>
          <w:bCs w:val="1"/>
          <w:i w:val="1"/>
          <w:iCs w:val="1"/>
          <w:color w:val="auto"/>
        </w:rPr>
        <w:t>Tax Benefit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Plan</w:t>
      </w:r>
      <w:r>
        <w:rPr>
          <w:rFonts w:ascii="Arial" w:cs="Arial" w:eastAsia="Arial" w:hAnsi="Arial"/>
          <w:sz w:val="16"/>
          <w:szCs w:val="16"/>
          <w:color w:val="auto"/>
        </w:rPr>
        <w:t>”) between the Company and Computershare Inc., as rights agent (the “</w:t>
      </w:r>
      <w:r>
        <w:rPr>
          <w:rFonts w:ascii="Arial" w:cs="Arial" w:eastAsia="Arial" w:hAnsi="Arial"/>
          <w:sz w:val="16"/>
          <w:szCs w:val="16"/>
          <w:b w:val="1"/>
          <w:bCs w:val="1"/>
          <w:i w:val="1"/>
          <w:iCs w:val="1"/>
          <w:color w:val="auto"/>
        </w:rPr>
        <w:t>Rights Agent</w:t>
      </w:r>
      <w:r>
        <w:rPr>
          <w:rFonts w:ascii="Arial" w:cs="Arial" w:eastAsia="Arial" w:hAnsi="Arial"/>
          <w:sz w:val="16"/>
          <w:szCs w:val="16"/>
          <w:color w:val="auto"/>
        </w:rPr>
        <w:t>”), (b) shares of the Company’s preferred stock, $0.001 par value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per share (the “</w:t>
      </w:r>
      <w:r>
        <w:rPr>
          <w:rFonts w:ascii="Arial" w:cs="Arial" w:eastAsia="Arial" w:hAnsi="Arial"/>
          <w:sz w:val="16"/>
          <w:szCs w:val="16"/>
          <w:b w:val="1"/>
          <w:bCs w:val="1"/>
          <w:i w:val="1"/>
          <w:iCs w:val="1"/>
          <w:color w:val="auto"/>
        </w:rPr>
        <w:t>Preferred Stock</w:t>
      </w:r>
      <w:r>
        <w:rPr>
          <w:rFonts w:ascii="Arial" w:cs="Arial" w:eastAsia="Arial" w:hAnsi="Arial"/>
          <w:sz w:val="16"/>
          <w:szCs w:val="16"/>
          <w:color w:val="auto"/>
        </w:rPr>
        <w:t>”), (c) the Company’s senior and subordinated debt securities (the “</w:t>
      </w:r>
      <w:r>
        <w:rPr>
          <w:rFonts w:ascii="Arial" w:cs="Arial" w:eastAsia="Arial" w:hAnsi="Arial"/>
          <w:sz w:val="16"/>
          <w:szCs w:val="16"/>
          <w:b w:val="1"/>
          <w:bCs w:val="1"/>
          <w:i w:val="1"/>
          <w:iCs w:val="1"/>
          <w:color w:val="auto"/>
        </w:rPr>
        <w:t>Debt Securities</w:t>
      </w:r>
      <w:r>
        <w:rPr>
          <w:rFonts w:ascii="Arial" w:cs="Arial" w:eastAsia="Arial" w:hAnsi="Arial"/>
          <w:sz w:val="16"/>
          <w:szCs w:val="16"/>
          <w:color w:val="auto"/>
        </w:rPr>
        <w:t>”), (d) warrants to purchase shares of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Company’s Common Stock or Preferred Stock (the “</w:t>
      </w:r>
      <w:r>
        <w:rPr>
          <w:rFonts w:ascii="Arial" w:cs="Arial" w:eastAsia="Arial" w:hAnsi="Arial"/>
          <w:sz w:val="16"/>
          <w:szCs w:val="16"/>
          <w:b w:val="1"/>
          <w:bCs w:val="1"/>
          <w:i w:val="1"/>
          <w:iCs w:val="1"/>
          <w:color w:val="auto"/>
        </w:rPr>
        <w:t>Warrants</w:t>
      </w:r>
      <w:r>
        <w:rPr>
          <w:rFonts w:ascii="Arial" w:cs="Arial" w:eastAsia="Arial" w:hAnsi="Arial"/>
          <w:sz w:val="16"/>
          <w:szCs w:val="16"/>
          <w:color w:val="auto"/>
        </w:rPr>
        <w:t>”), or (e) units (the “</w:t>
      </w:r>
      <w:r>
        <w:rPr>
          <w:rFonts w:ascii="Arial" w:cs="Arial" w:eastAsia="Arial" w:hAnsi="Arial"/>
          <w:sz w:val="16"/>
          <w:szCs w:val="16"/>
          <w:b w:val="1"/>
          <w:bCs w:val="1"/>
          <w:i w:val="1"/>
          <w:iCs w:val="1"/>
          <w:color w:val="auto"/>
        </w:rPr>
        <w:t>Units</w:t>
      </w:r>
      <w:r>
        <w:rPr>
          <w:rFonts w:ascii="Arial" w:cs="Arial" w:eastAsia="Arial" w:hAnsi="Arial"/>
          <w:sz w:val="16"/>
          <w:szCs w:val="16"/>
          <w:color w:val="auto"/>
        </w:rPr>
        <w:t>”) consisting of Common Stock (and the associated Rights), Preferred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Stock, Debt Securities, Warrants or any combination of the foregoing (the Common Stock (and the associated Rights), the Preferred Stock, the Debt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Securities, the Warrants and the Units are collectively referred to herein as the “</w:t>
      </w:r>
      <w:r>
        <w:rPr>
          <w:rFonts w:ascii="Arial" w:cs="Arial" w:eastAsia="Arial" w:hAnsi="Arial"/>
          <w:sz w:val="16"/>
          <w:szCs w:val="16"/>
          <w:b w:val="1"/>
          <w:bCs w:val="1"/>
          <w:i w:val="1"/>
          <w:iCs w:val="1"/>
          <w:color w:val="auto"/>
        </w:rPr>
        <w:t>Securities</w:t>
      </w:r>
      <w:r>
        <w:rPr>
          <w:rFonts w:ascii="Arial" w:cs="Arial" w:eastAsia="Arial" w:hAnsi="Arial"/>
          <w:sz w:val="16"/>
          <w:szCs w:val="16"/>
          <w:color w:val="auto"/>
        </w:rPr>
        <w:t>”). The maximum aggregate offering price of the Securities sold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pursuant to the Registration Statement shall not exceed $125,000,000 (or the equivalent thereof in United States dollars).</w:t>
      </w:r>
    </w:p>
    <w:p>
      <w:pPr>
        <w:spacing w:after="0" w:line="211"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Debt Securities are to be issued pursuant to a senior debt securities indenture (the “</w:t>
      </w:r>
      <w:r>
        <w:rPr>
          <w:rFonts w:ascii="Arial" w:cs="Arial" w:eastAsia="Arial" w:hAnsi="Arial"/>
          <w:sz w:val="18"/>
          <w:szCs w:val="18"/>
          <w:b w:val="1"/>
          <w:bCs w:val="1"/>
          <w:i w:val="1"/>
          <w:iCs w:val="1"/>
          <w:color w:val="auto"/>
        </w:rPr>
        <w:t>Senior Indenture</w:t>
      </w:r>
      <w:r>
        <w:rPr>
          <w:rFonts w:ascii="Arial" w:cs="Arial" w:eastAsia="Arial" w:hAnsi="Arial"/>
          <w:sz w:val="18"/>
          <w:szCs w:val="18"/>
          <w:color w:val="auto"/>
        </w:rPr>
        <w:t>”) and a subordinated debt securities indenture (the “</w:t>
      </w:r>
      <w:r>
        <w:rPr>
          <w:rFonts w:ascii="Arial" w:cs="Arial" w:eastAsia="Arial" w:hAnsi="Arial"/>
          <w:sz w:val="18"/>
          <w:szCs w:val="18"/>
          <w:b w:val="1"/>
          <w:bCs w:val="1"/>
          <w:i w:val="1"/>
          <w:iCs w:val="1"/>
          <w:color w:val="auto"/>
        </w:rPr>
        <w:t>Subordinated Indenture</w:t>
      </w:r>
      <w:r>
        <w:rPr>
          <w:rFonts w:ascii="Arial" w:cs="Arial" w:eastAsia="Arial" w:hAnsi="Arial"/>
          <w:sz w:val="18"/>
          <w:szCs w:val="18"/>
          <w:color w:val="auto"/>
        </w:rPr>
        <w:t>”), as applicable, both of which have been filed as exhibits to the Registration Statement (the “</w:t>
      </w:r>
      <w:r>
        <w:rPr>
          <w:rFonts w:ascii="Arial" w:cs="Arial" w:eastAsia="Arial" w:hAnsi="Arial"/>
          <w:sz w:val="18"/>
          <w:szCs w:val="18"/>
          <w:b w:val="1"/>
          <w:bCs w:val="1"/>
          <w:i w:val="1"/>
          <w:iCs w:val="1"/>
          <w:color w:val="auto"/>
        </w:rPr>
        <w:t>Indentures</w:t>
      </w:r>
      <w:r>
        <w:rPr>
          <w:rFonts w:ascii="Arial" w:cs="Arial" w:eastAsia="Arial" w:hAnsi="Arial"/>
          <w:sz w:val="18"/>
          <w:szCs w:val="18"/>
          <w:color w:val="auto"/>
        </w:rPr>
        <w:t>”) and are to be entered into, in each case, between the Company and a trustee to be identified (the “</w:t>
      </w:r>
      <w:r>
        <w:rPr>
          <w:rFonts w:ascii="Arial" w:cs="Arial" w:eastAsia="Arial" w:hAnsi="Arial"/>
          <w:sz w:val="18"/>
          <w:szCs w:val="18"/>
          <w:b w:val="1"/>
          <w:bCs w:val="1"/>
          <w:i w:val="1"/>
          <w:iCs w:val="1"/>
          <w:color w:val="auto"/>
        </w:rPr>
        <w:t>Trustee</w:t>
      </w:r>
      <w:r>
        <w:rPr>
          <w:rFonts w:ascii="Arial" w:cs="Arial" w:eastAsia="Arial" w:hAnsi="Arial"/>
          <w:sz w:val="18"/>
          <w:szCs w:val="18"/>
          <w:color w:val="auto"/>
        </w:rPr>
        <w:t>”). The Debt Securities are to be issued in the forms contemplated by the Indentures. Each indenture may be supplemented, as applicable, in connection with the issuance of each such series of Debt Securities, by a supplemental indenture or other appropriate action of the Company creating such series (each, a “</w:t>
      </w:r>
      <w:r>
        <w:rPr>
          <w:rFonts w:ascii="Arial" w:cs="Arial" w:eastAsia="Arial" w:hAnsi="Arial"/>
          <w:sz w:val="18"/>
          <w:szCs w:val="18"/>
          <w:b w:val="1"/>
          <w:bCs w:val="1"/>
          <w:i w:val="1"/>
          <w:iCs w:val="1"/>
          <w:color w:val="auto"/>
        </w:rPr>
        <w:t>Supplemental Indenture</w:t>
      </w:r>
      <w:r>
        <w:rPr>
          <w:rFonts w:ascii="Arial" w:cs="Arial" w:eastAsia="Arial" w:hAnsi="Arial"/>
          <w:sz w:val="18"/>
          <w:szCs w:val="18"/>
          <w:color w:val="auto"/>
        </w:rPr>
        <w:t>”). The shares of Common Stock (and the associated Rights) and Preferred Stock and</w:t>
      </w:r>
    </w:p>
    <w:p>
      <w:pPr>
        <w:sectPr>
          <w:pgSz w:w="11900" w:h="16838" w:orient="portrait"/>
          <w:cols w:equalWidth="0" w:num="1">
            <w:col w:w="11420"/>
          </w:cols>
          <w:pgMar w:left="240" w:top="121"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Fluidigm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April 28, 2017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143"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Debt Securities, Warrants, and Units are to be sold pursuant to a purchase, underwriting, placement agency or similar agreement in substantially the form to be filed under a Current Report on Form 8-K.</w:t>
      </w:r>
    </w:p>
    <w:p>
      <w:pPr>
        <w:spacing w:after="0" w:line="170"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We have examined instruments, documents, certificates and records which we have deemed relevant and necessary for the basis of our opinion hereinafter expressed. In such examination, we have assumed (a) the authenticity of original documents and the genuineness of all signatures; (b) the conformity to the originals of all documents submitted to us as copies; (c) the truth, accuracy, and completeness of the information, representations and warranties contained in the records, documents, instruments and certificates we have reviewed; (d) the Registration Statement, and any amendments thereto (including post-effective amendments), will have become effective under the Act; (e) a Prospectus Supplement will have been filed with the Commission describing the Securities offered thereby; (f) all Securities will be issued and sold in compliance with applicable Federal and state securities laws and in the manner stated in the Registration Statement and the applicable Prospectus Supplement; (g) a definitive purchase, underwriting, placement agency or similar agreement with respect to any Securities offered will have been duly authorized and validly executed and delivered by the Company and the other parties thereto; (h) any Securities issuable upon conversion, exchange, redemption, or exercise of any Securities being offered will be duly authorized, created and, if appropriate, reserved for issuance upon such conversion, exchange, redemption, or exercise; and (i) with respect to shares of Common Stock or Preferred Stock offered, there will be sufficient shares of Common Stock or Preferred Stock authorized under the Company’s organizational documents and not otherwise reserved for issuance.</w:t>
      </w:r>
    </w:p>
    <w:p>
      <w:pPr>
        <w:spacing w:after="0" w:line="180" w:lineRule="exact"/>
        <w:rPr>
          <w:sz w:val="20"/>
          <w:szCs w:val="20"/>
          <w:color w:val="auto"/>
        </w:rPr>
      </w:pPr>
    </w:p>
    <w:p>
      <w:pPr>
        <w:ind w:right="100" w:firstLine="456"/>
        <w:spacing w:after="0" w:line="271" w:lineRule="auto"/>
        <w:rPr>
          <w:sz w:val="20"/>
          <w:szCs w:val="20"/>
          <w:color w:val="auto"/>
        </w:rPr>
      </w:pPr>
      <w:r>
        <w:rPr>
          <w:rFonts w:ascii="Arial" w:cs="Arial" w:eastAsia="Arial" w:hAnsi="Arial"/>
          <w:sz w:val="17"/>
          <w:szCs w:val="17"/>
          <w:color w:val="auto"/>
        </w:rPr>
        <w:t>In rendering this opinion, we have also assumed that the Tax Benefit Plan has been duly authorized, executed and delivered by the Rights Agent and that the members of the Board of Directors of the Company or a duly authorized and acting committee thereof (such Board of Directors or Committee being hereinafter referred to as the “</w:t>
      </w:r>
      <w:r>
        <w:rPr>
          <w:rFonts w:ascii="Arial" w:cs="Arial" w:eastAsia="Arial" w:hAnsi="Arial"/>
          <w:sz w:val="17"/>
          <w:szCs w:val="17"/>
          <w:b w:val="1"/>
          <w:bCs w:val="1"/>
          <w:i w:val="1"/>
          <w:iCs w:val="1"/>
          <w:color w:val="auto"/>
        </w:rPr>
        <w:t>Board</w:t>
      </w:r>
      <w:r>
        <w:rPr>
          <w:rFonts w:ascii="Arial" w:cs="Arial" w:eastAsia="Arial" w:hAnsi="Arial"/>
          <w:sz w:val="17"/>
          <w:szCs w:val="17"/>
          <w:color w:val="auto"/>
        </w:rPr>
        <w:t>”) have acted in a manner consistent with their fiduciary duties as required under applicable law in adopting the Tax Benefit Plan. This opinion does not address the determination a court of competent jurisdiction may make regarding whether the Board may be required to redeem or terminate, or take other action with respect to, the Rights in the future based on the facts and circumstances existing at that time. It should be understood that our opinion addresses the Rights and Tax Benefit Plan in their entirety and not any particular provision of the Rights or the Tax Benefit Plan and that it is not settled whether the invalidity of any particular provision of a tax benefit preservation plan or purchase rights issued thereunder would result in invalidating in their entirety such rights.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Based on such examination, we are of the opinion that:</w:t>
      </w:r>
    </w:p>
    <w:p>
      <w:pPr>
        <w:spacing w:after="0" w:line="117" w:lineRule="exact"/>
        <w:rPr>
          <w:sz w:val="20"/>
          <w:szCs w:val="20"/>
          <w:color w:val="auto"/>
        </w:rPr>
      </w:pPr>
    </w:p>
    <w:p>
      <w:pPr>
        <w:ind w:right="380" w:firstLine="464"/>
        <w:spacing w:after="0" w:line="308" w:lineRule="auto"/>
        <w:tabs>
          <w:tab w:leader="none" w:pos="636" w:val="left"/>
        </w:tabs>
        <w:numPr>
          <w:ilvl w:val="0"/>
          <w:numId w:val="20"/>
        </w:numPr>
        <w:rPr>
          <w:rFonts w:ascii="Arial" w:cs="Arial" w:eastAsia="Arial" w:hAnsi="Arial"/>
          <w:sz w:val="17"/>
          <w:szCs w:val="17"/>
          <w:color w:val="auto"/>
        </w:rPr>
      </w:pPr>
      <w:r>
        <w:rPr>
          <w:rFonts w:ascii="Arial" w:cs="Arial" w:eastAsia="Arial" w:hAnsi="Arial"/>
          <w:sz w:val="17"/>
          <w:szCs w:val="17"/>
          <w:color w:val="auto"/>
        </w:rPr>
        <w:t>with respect to shares of Common Stock (and the associated Rights), when (a) the Board has taken all necessary corporate action to approve the issuance of and the terms of the offering of such shares of Common Stock (and the associated Rights) and related matters and (b)</w:t>
      </w:r>
    </w:p>
    <w:p>
      <w:pPr>
        <w:sectPr>
          <w:pgSz w:w="11900" w:h="16838" w:orient="portrait"/>
          <w:cols w:equalWidth="0" w:num="1">
            <w:col w:w="11380"/>
          </w:cols>
          <w:pgMar w:left="240" w:top="274" w:right="279" w:bottom="1440" w:gutter="0" w:footer="0" w:header="0"/>
        </w:sectPr>
      </w:pPr>
    </w:p>
    <w:bookmarkStart w:id="12" w:name="page13"/>
    <w:bookmarkEnd w:id="1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Fluidigm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April 28, 2017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143"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certificates representing such shares of Common Stock have been duly executed, countersigned, registered and delivered either (i) in accordance with the applicable definitive purchase, underwriting, placement agency or similar agreement approved by the Board, or upon the exercise of Warrants to purchase Common Stock, upon payment of the consideration therefor (not less than the par value of the Common Stock) provided for therein, or (ii) upon conversion or exercise of any other Security, in accordance with the terms of such Security or the instrument governing such Security providing for such conversion or exercise as approved by the Board, for the consideration approved by the Board (not less than the par value of the Common Stock), then such shares of Common Stock (and the associated Rights) will be validly issued, fully paid and nonassessable;</w:t>
      </w:r>
    </w:p>
    <w:p>
      <w:pPr>
        <w:spacing w:after="0" w:line="178" w:lineRule="exact"/>
        <w:rPr>
          <w:sz w:val="20"/>
          <w:szCs w:val="20"/>
          <w:color w:val="auto"/>
        </w:rPr>
      </w:pPr>
    </w:p>
    <w:p>
      <w:pPr>
        <w:jc w:val="both"/>
        <w:ind w:right="20" w:firstLine="464"/>
        <w:spacing w:after="0" w:line="286" w:lineRule="auto"/>
        <w:tabs>
          <w:tab w:leader="none" w:pos="636" w:val="left"/>
        </w:tabs>
        <w:numPr>
          <w:ilvl w:val="1"/>
          <w:numId w:val="21"/>
        </w:numPr>
        <w:rPr>
          <w:rFonts w:ascii="Arial" w:cs="Arial" w:eastAsia="Arial" w:hAnsi="Arial"/>
          <w:sz w:val="16"/>
          <w:szCs w:val="16"/>
          <w:color w:val="auto"/>
        </w:rPr>
      </w:pPr>
      <w:r>
        <w:rPr>
          <w:rFonts w:ascii="Arial" w:cs="Arial" w:eastAsia="Arial" w:hAnsi="Arial"/>
          <w:sz w:val="16"/>
          <w:szCs w:val="16"/>
          <w:color w:val="auto"/>
        </w:rPr>
        <w:t>with respect to any particular series of shares of Preferred Stock, when (a) the Board has taken all necessary corporate action to approve the issuance and terms of the shares of Preferred Stock, the terms of the offering thereof, and related matters, including the adoption of a certificate of designation relating to such Preferred Stock conforming to the Delaware General Corporation Law (a “</w:t>
      </w:r>
      <w:r>
        <w:rPr>
          <w:rFonts w:ascii="Arial" w:cs="Arial" w:eastAsia="Arial" w:hAnsi="Arial"/>
          <w:sz w:val="16"/>
          <w:szCs w:val="16"/>
          <w:b w:val="1"/>
          <w:bCs w:val="1"/>
          <w:i w:val="1"/>
          <w:iCs w:val="1"/>
          <w:color w:val="auto"/>
        </w:rPr>
        <w:t>Certificate</w:t>
      </w:r>
      <w:r>
        <w:rPr>
          <w:rFonts w:ascii="Arial" w:cs="Arial" w:eastAsia="Arial" w:hAnsi="Arial"/>
          <w:sz w:val="16"/>
          <w:szCs w:val="16"/>
          <w:color w:val="auto"/>
        </w:rPr>
        <w:t>”) and the filing of the Certificate with the Secretary of State of the State of Delaware and (b) certificates representing the shares of Preferred Stock have been duly executed, countersigned, registered and delivered either</w:t>
      </w:r>
    </w:p>
    <w:p>
      <w:pPr>
        <w:spacing w:after="0" w:line="1" w:lineRule="exact"/>
        <w:rPr>
          <w:rFonts w:ascii="Arial" w:cs="Arial" w:eastAsia="Arial" w:hAnsi="Arial"/>
          <w:sz w:val="16"/>
          <w:szCs w:val="16"/>
          <w:color w:val="auto"/>
        </w:rPr>
      </w:pPr>
    </w:p>
    <w:p>
      <w:pPr>
        <w:ind w:right="220" w:firstLine="8"/>
        <w:spacing w:after="0" w:line="271" w:lineRule="auto"/>
        <w:tabs>
          <w:tab w:leader="none" w:pos="215" w:val="left"/>
        </w:tabs>
        <w:numPr>
          <w:ilvl w:val="0"/>
          <w:numId w:val="22"/>
        </w:numPr>
        <w:rPr>
          <w:rFonts w:ascii="Arial" w:cs="Arial" w:eastAsia="Arial" w:hAnsi="Arial"/>
          <w:sz w:val="17"/>
          <w:szCs w:val="17"/>
          <w:color w:val="auto"/>
        </w:rPr>
      </w:pPr>
      <w:r>
        <w:rPr>
          <w:rFonts w:ascii="Arial" w:cs="Arial" w:eastAsia="Arial" w:hAnsi="Arial"/>
          <w:sz w:val="17"/>
          <w:szCs w:val="17"/>
          <w:color w:val="auto"/>
        </w:rPr>
        <w:t>in accordance with the applicable definitive purchase, underwriting, placement agency or similar agreement approved by the Board, or upon exercise of Warrants to purchase Preferred Stock, upon payment of consideration (not less than the par value of the Preferred Stock) provided for therein, or (ii) upon conversion or exercise of any other Security, in accordance with the terms of such Security or the instrument governing such Security providing for such conversion or exercise as approved by the Board, for the consideration approved by the Board (not less than the par value of the Preferred Stock), then the shares of Preferred Stock will be validly issued, fully paid and nonassessable;</w:t>
      </w:r>
    </w:p>
    <w:p>
      <w:pPr>
        <w:spacing w:after="0" w:line="178" w:lineRule="exact"/>
        <w:rPr>
          <w:rFonts w:ascii="Arial" w:cs="Arial" w:eastAsia="Arial" w:hAnsi="Arial"/>
          <w:sz w:val="17"/>
          <w:szCs w:val="17"/>
          <w:color w:val="auto"/>
        </w:rPr>
      </w:pPr>
    </w:p>
    <w:p>
      <w:pPr>
        <w:ind w:firstLine="464"/>
        <w:spacing w:after="0" w:line="289" w:lineRule="auto"/>
        <w:tabs>
          <w:tab w:leader="none" w:pos="636" w:val="left"/>
        </w:tabs>
        <w:numPr>
          <w:ilvl w:val="1"/>
          <w:numId w:val="22"/>
        </w:numPr>
        <w:rPr>
          <w:rFonts w:ascii="Arial" w:cs="Arial" w:eastAsia="Arial" w:hAnsi="Arial"/>
          <w:sz w:val="16"/>
          <w:szCs w:val="16"/>
          <w:color w:val="auto"/>
        </w:rPr>
      </w:pPr>
      <w:r>
        <w:rPr>
          <w:rFonts w:ascii="Arial" w:cs="Arial" w:eastAsia="Arial" w:hAnsi="Arial"/>
          <w:sz w:val="16"/>
          <w:szCs w:val="16"/>
          <w:color w:val="auto"/>
        </w:rPr>
        <w:t>with respect to Debt Securities to be issued under either the Senior Indenture or Subordinated Indenture, when (a) the Trustee is qualified to act as Trustee under the Senior Indenture or Subordinated Indenture, as applicable, (b) the Trustee has duly executed and delivered the Senior Indenture or Subordinated Indenture, as applicable, (c) the Senior Indenture or Subordinated Indenture, as applicable, has been duly authorized and validly executed and delivered by the Company to the Trustee, (d) the Senior Indenture or Subordinated Indenture, as applicable, has been duly qualified under the Trust Indenture Act of 1939, as amended, (e) the Board has taken all necessary corporate action to approve the issuance and terms of such Debt Securities, the terms of the offering thereof and related matters, and (f) such Debt Securities have been duly executed, authenticated, issued and delivered in accordance with the provisions of the Senior Indenture or Subordinated Indenture, as applicable, and the applicable definitive purchase, underwriting, placement agency or similar agreement approved by the Board, such Debt Securities will be validly issued and will constitute valid and binding obligations of the Company, enforceable against the Company, in accordance with their terms, and entitled to the benefits of the applicable Indenture;</w:t>
      </w:r>
    </w:p>
    <w:p>
      <w:pPr>
        <w:sectPr>
          <w:pgSz w:w="11900" w:h="16838" w:orient="portrait"/>
          <w:cols w:equalWidth="0" w:num="1">
            <w:col w:w="11380"/>
          </w:cols>
          <w:pgMar w:left="240" w:top="274" w:right="279" w:bottom="1440" w:gutter="0" w:footer="0" w:header="0"/>
        </w:sectPr>
      </w:pPr>
    </w:p>
    <w:bookmarkStart w:id="13" w:name="page14"/>
    <w:bookmarkEnd w:id="1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Fluidigm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April 28, 2017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4</w:t>
      </w:r>
    </w:p>
    <w:p>
      <w:pPr>
        <w:spacing w:after="0" w:line="143" w:lineRule="exact"/>
        <w:rPr>
          <w:sz w:val="20"/>
          <w:szCs w:val="20"/>
          <w:color w:val="auto"/>
        </w:rPr>
      </w:pPr>
    </w:p>
    <w:p>
      <w:pPr>
        <w:ind w:right="20" w:firstLine="464"/>
        <w:spacing w:after="0" w:line="297" w:lineRule="auto"/>
        <w:tabs>
          <w:tab w:leader="none" w:pos="636" w:val="left"/>
        </w:tabs>
        <w:numPr>
          <w:ilvl w:val="0"/>
          <w:numId w:val="23"/>
        </w:numPr>
        <w:rPr>
          <w:rFonts w:ascii="Arial" w:cs="Arial" w:eastAsia="Arial" w:hAnsi="Arial"/>
          <w:sz w:val="16"/>
          <w:szCs w:val="16"/>
          <w:color w:val="auto"/>
        </w:rPr>
      </w:pPr>
      <w:r>
        <w:rPr>
          <w:rFonts w:ascii="Arial" w:cs="Arial" w:eastAsia="Arial" w:hAnsi="Arial"/>
          <w:sz w:val="16"/>
          <w:szCs w:val="16"/>
          <w:color w:val="auto"/>
        </w:rPr>
        <w:t>with respect to the Warrants, when (a) the Board has taken all necessary corporate action to approve the issuance of and the terms of the Warrants and related matters and (b) the Warrants have been duly executed and delivered against payment therefor, pursuant to the applicable definitive purchase, underwriting, warrant, placement agency or similar agreement duly authorized, executed and delivered by the Company and a warrant agent and the certificates for the Warrants have been duly executed and delivered by the Company and such warrant agent, then the Warrants will be validly issued and will constitute valid and binding obligations of the Company, enforceable against the Company in accordance with their terms; and</w:t>
      </w:r>
    </w:p>
    <w:p>
      <w:pPr>
        <w:spacing w:after="0" w:line="158" w:lineRule="exact"/>
        <w:rPr>
          <w:rFonts w:ascii="Arial" w:cs="Arial" w:eastAsia="Arial" w:hAnsi="Arial"/>
          <w:sz w:val="16"/>
          <w:szCs w:val="16"/>
          <w:color w:val="auto"/>
        </w:rPr>
      </w:pPr>
    </w:p>
    <w:p>
      <w:pPr>
        <w:ind w:firstLine="464"/>
        <w:spacing w:after="0" w:line="276" w:lineRule="auto"/>
        <w:tabs>
          <w:tab w:leader="none" w:pos="636" w:val="left"/>
        </w:tabs>
        <w:numPr>
          <w:ilvl w:val="0"/>
          <w:numId w:val="23"/>
        </w:numPr>
        <w:rPr>
          <w:rFonts w:ascii="Arial" w:cs="Arial" w:eastAsia="Arial" w:hAnsi="Arial"/>
          <w:sz w:val="17"/>
          <w:szCs w:val="17"/>
          <w:color w:val="auto"/>
        </w:rPr>
      </w:pPr>
      <w:r>
        <w:rPr>
          <w:rFonts w:ascii="Arial" w:cs="Arial" w:eastAsia="Arial" w:hAnsi="Arial"/>
          <w:sz w:val="17"/>
          <w:szCs w:val="17"/>
          <w:color w:val="auto"/>
        </w:rPr>
        <w:t>with respect to the Units, when (a) the Board has taken all necessary corporate action to approve the issuance of and the terms of the Units and related matters and (b) the Units have been duly executed and delivered against payment therefor, pursuant to the applicable definitive purchase, underwriting, unit, placement agency or similar agreement duly authorized, executed and delivered by the Company and the certificates for the Units have been duly executed and delivered in accordance with such purchase, underwriting, unit, placement agency or similar agreement, then the Units will be validly issued and will constitute valid and binding obligations of the Company, enforceable against the Company in accordance with their terms.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Our opinion that any document is legal, valid and binding is qualified as to:</w:t>
      </w:r>
    </w:p>
    <w:p>
      <w:pPr>
        <w:spacing w:after="0" w:line="225" w:lineRule="exact"/>
        <w:rPr>
          <w:sz w:val="20"/>
          <w:szCs w:val="20"/>
          <w:color w:val="auto"/>
        </w:rPr>
      </w:pPr>
    </w:p>
    <w:p>
      <w:pPr>
        <w:ind w:right="580" w:firstLine="464"/>
        <w:spacing w:after="0" w:line="277" w:lineRule="auto"/>
        <w:tabs>
          <w:tab w:leader="none" w:pos="701" w:val="left"/>
        </w:tabs>
        <w:numPr>
          <w:ilvl w:val="0"/>
          <w:numId w:val="24"/>
        </w:numPr>
        <w:rPr>
          <w:rFonts w:ascii="Arial" w:cs="Arial" w:eastAsia="Arial" w:hAnsi="Arial"/>
          <w:sz w:val="18"/>
          <w:szCs w:val="18"/>
          <w:color w:val="auto"/>
        </w:rPr>
      </w:pPr>
      <w:r>
        <w:rPr>
          <w:rFonts w:ascii="Arial" w:cs="Arial" w:eastAsia="Arial" w:hAnsi="Arial"/>
          <w:sz w:val="18"/>
          <w:szCs w:val="18"/>
          <w:color w:val="auto"/>
        </w:rPr>
        <w:t>limitations imposed by bankruptcy, insolvency, reorganization, arrangement, fraudulent conveyance, moratorium or other laws relating to or affecting the rights of creditors generally;</w:t>
      </w:r>
    </w:p>
    <w:p>
      <w:pPr>
        <w:spacing w:after="0" w:line="170" w:lineRule="exact"/>
        <w:rPr>
          <w:rFonts w:ascii="Arial" w:cs="Arial" w:eastAsia="Arial" w:hAnsi="Arial"/>
          <w:sz w:val="18"/>
          <w:szCs w:val="18"/>
          <w:color w:val="auto"/>
        </w:rPr>
      </w:pPr>
    </w:p>
    <w:p>
      <w:pPr>
        <w:ind w:left="720" w:hanging="256"/>
        <w:spacing w:after="0"/>
        <w:tabs>
          <w:tab w:leader="none" w:pos="7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rights to indemnification and contribution which may be limited by applicable law or equitable principles; and</w:t>
      </w:r>
    </w:p>
    <w:p>
      <w:pPr>
        <w:spacing w:after="0" w:line="225" w:lineRule="exact"/>
        <w:rPr>
          <w:rFonts w:ascii="Arial" w:cs="Arial" w:eastAsia="Arial" w:hAnsi="Arial"/>
          <w:sz w:val="18"/>
          <w:szCs w:val="18"/>
          <w:color w:val="auto"/>
        </w:rPr>
      </w:pPr>
    </w:p>
    <w:p>
      <w:pPr>
        <w:ind w:right="80" w:firstLine="464"/>
        <w:spacing w:after="0" w:line="264" w:lineRule="auto"/>
        <w:tabs>
          <w:tab w:leader="none" w:pos="701" w:val="left"/>
        </w:tabs>
        <w:numPr>
          <w:ilvl w:val="0"/>
          <w:numId w:val="24"/>
        </w:numPr>
        <w:rPr>
          <w:rFonts w:ascii="Arial" w:cs="Arial" w:eastAsia="Arial" w:hAnsi="Arial"/>
          <w:sz w:val="18"/>
          <w:szCs w:val="18"/>
          <w:color w:val="auto"/>
        </w:rPr>
      </w:pPr>
      <w:r>
        <w:rPr>
          <w:rFonts w:ascii="Arial" w:cs="Arial" w:eastAsia="Arial" w:hAnsi="Arial"/>
          <w:sz w:val="18"/>
          <w:szCs w:val="18"/>
          <w:color w:val="auto"/>
        </w:rPr>
        <w:t>general principles of equity, including without limitation concepts of materiality, reasonableness, good faith and fair dealing, and the possible unavailability of specific performance or injunctive relief and limitation of rights of acceleration, regardless of whether such enforceability is considered in a proceeding in equity or at law.</w:t>
      </w:r>
    </w:p>
    <w:p>
      <w:pPr>
        <w:spacing w:after="0" w:line="181"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We express no opinion herein as to the laws of any state or jurisdiction other than the laws of the State of New York, the General Corporation Law of the State of Delaware (including the statutory provisions and all applicable judicial decisions interpreting those laws), and the federal laws of the United States of America.</w:t>
      </w:r>
    </w:p>
    <w:p>
      <w:pPr>
        <w:spacing w:after="0" w:line="28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 *</w:t>
      </w:r>
    </w:p>
    <w:p>
      <w:pPr>
        <w:sectPr>
          <w:pgSz w:w="11900" w:h="16838" w:orient="portrait"/>
          <w:cols w:equalWidth="0" w:num="1">
            <w:col w:w="11380"/>
          </w:cols>
          <w:pgMar w:left="240" w:top="274" w:right="279" w:bottom="1440" w:gutter="0" w:footer="0" w:header="0"/>
        </w:sectPr>
      </w:pPr>
    </w:p>
    <w:bookmarkStart w:id="14" w:name="page15"/>
    <w:bookmarkEnd w:id="1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Fluidigm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April 28, 2017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5</w:t>
      </w:r>
    </w:p>
    <w:p>
      <w:pPr>
        <w:spacing w:after="0" w:line="143"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We hereby consent to the filing of this opinion as an exhibit to the above-referenced Registration Statement and to the use of our name wherever it appears in the Registration Statement, the Prospectus, any Prospectus Supplement, and in any amendment or supplement thereto. In giving such consent, we do not believe that we are “experts” within the meaning of such term as used in the Act or the rules and regulations of the Commission issued thereunder with respect to any part of the Registration Statement, including this opinion as an exhibit or otherwise.</w:t>
      </w:r>
    </w:p>
    <w:p>
      <w:pPr>
        <w:spacing w:after="0" w:line="171"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WILSON SONSINI GOODRICH &amp; ROSATI</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Professional Corporation</w:t>
      </w:r>
    </w:p>
    <w:p>
      <w:pPr>
        <w:spacing w:after="0" w:line="211"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Wilson Sonsini Goodrich &amp; Rosati</w:t>
      </w:r>
    </w:p>
    <w:p>
      <w:pPr>
        <w:sectPr>
          <w:pgSz w:w="11900" w:h="16838" w:orient="portrait"/>
          <w:cols w:equalWidth="0" w:num="1">
            <w:col w:w="11380"/>
          </w:cols>
          <w:pgMar w:left="240" w:top="274" w:right="279" w:bottom="1440" w:gutter="0" w:footer="0" w:header="0"/>
        </w:sectPr>
      </w:pPr>
    </w:p>
    <w:bookmarkStart w:id="15" w:name="page16"/>
    <w:bookmarkEnd w:id="15"/>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CONSENT OF INDEPENDENT REGISTERED PUBLIC ACCOUNTING FIRM</w:t>
      </w:r>
    </w:p>
    <w:p>
      <w:pPr>
        <w:spacing w:after="0" w:line="225" w:lineRule="exact"/>
        <w:rPr>
          <w:sz w:val="20"/>
          <w:szCs w:val="20"/>
          <w:color w:val="auto"/>
        </w:rPr>
      </w:pPr>
    </w:p>
    <w:p>
      <w:pPr>
        <w:jc w:val="both"/>
        <w:ind w:right="180"/>
        <w:spacing w:after="0" w:line="259" w:lineRule="auto"/>
        <w:rPr>
          <w:sz w:val="20"/>
          <w:szCs w:val="20"/>
          <w:color w:val="auto"/>
        </w:rPr>
      </w:pPr>
      <w:r>
        <w:rPr>
          <w:rFonts w:ascii="Arial" w:cs="Arial" w:eastAsia="Arial" w:hAnsi="Arial"/>
          <w:sz w:val="18"/>
          <w:szCs w:val="18"/>
          <w:color w:val="auto"/>
        </w:rPr>
        <w:t>We hereby consent to the incorporation by reference in this Amendment No. 1 to the Registration Statement on Form S-3 of our report dated March 2, 2017 relating to the financial statements, financial statement schedule, and the effectiveness of internal control over financial reporting of Fluidigm Corporation, which appears in Fluidigm Corporation’s Annual Report on Form 10-K for the year ended December 31, 2016. We also consent to the reference to us under the heading “Experts” in such Registration Statement.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San Jose, CA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April 28, 2017</w:t>
      </w:r>
    </w:p>
    <w:p>
      <w:pPr>
        <w:sectPr>
          <w:pgSz w:w="11900" w:h="16838" w:orient="portrait"/>
          <w:cols w:equalWidth="0" w:num="1">
            <w:col w:w="11420"/>
          </w:cols>
          <w:pgMar w:left="240" w:top="121" w:right="239" w:bottom="1440" w:gutter="0" w:footer="0" w:header="0"/>
        </w:sectPr>
      </w:pPr>
    </w:p>
    <w:bookmarkStart w:id="16" w:name="page17"/>
    <w:bookmarkEnd w:id="16"/>
    <w:p>
      <w:pPr>
        <w:jc w:val="right"/>
        <w:spacing w:after="0"/>
        <w:rPr>
          <w:sz w:val="20"/>
          <w:szCs w:val="20"/>
          <w:color w:val="auto"/>
        </w:rPr>
      </w:pPr>
      <w:r>
        <w:rPr>
          <w:rFonts w:ascii="Arial" w:cs="Arial" w:eastAsia="Arial" w:hAnsi="Arial"/>
          <w:sz w:val="18"/>
          <w:szCs w:val="18"/>
          <w:b w:val="1"/>
          <w:bCs w:val="1"/>
          <w:color w:val="auto"/>
        </w:rPr>
        <w:t>Exhibit 23.2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We consent to the reference to our firm under the caption “Experts” in Amendment No. 1 to the Registration Statement (Form S-3, No. 333-216542) and related Prospectus of Fluidigm Corporation for the registration of common stock, preferred stock, debt securities, warrants and units and to the incorporation by reference therein of our report dated February 29, 2016, with respect to the consolidated financial statements and schedule of Fluidigm Corporation, included in its Annual Report (Form 10-K) for the year ended December 31, 2016, filed with the Securities and Exchange Commission.</w:t>
      </w:r>
    </w:p>
    <w:p>
      <w:pPr>
        <w:spacing w:after="0" w:line="154"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Redwood City, CA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April 28, 2017</w:t>
      </w:r>
    </w:p>
    <w:p>
      <w:pPr>
        <w:sectPr>
          <w:pgSz w:w="11900" w:h="16838" w:orient="portrait"/>
          <w:cols w:equalWidth="0" w:num="1">
            <w:col w:w="11420"/>
          </w:cols>
          <w:pgMar w:left="240" w:top="121" w:right="239" w:bottom="1440" w:gutter="0" w:footer="0" w:header="0"/>
        </w:sectPr>
      </w:pPr>
    </w:p>
    <w:bookmarkStart w:id="17" w:name="page18"/>
    <w:bookmarkEnd w:id="17"/>
    <w:p>
      <w:pPr>
        <w:jc w:val="right"/>
        <w:spacing w:after="0"/>
        <w:rPr>
          <w:sz w:val="20"/>
          <w:szCs w:val="20"/>
          <w:color w:val="auto"/>
        </w:rPr>
      </w:pPr>
      <w:r>
        <w:rPr>
          <w:rFonts w:ascii="Arial" w:cs="Arial" w:eastAsia="Arial" w:hAnsi="Arial"/>
          <w:sz w:val="18"/>
          <w:szCs w:val="18"/>
          <w:b w:val="1"/>
          <w:bCs w:val="1"/>
          <w:color w:val="auto"/>
        </w:rPr>
        <w:t>Exhibit 24.2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KNOW ALL PERSONS BY THESE PRESENTS, that each person whose signature appears below constitutes and appoints Stephen Christopher Linthwaite and Vikram Jog, and each of them, his true and lawful attorneys-in-fact and agents, with full power of substitution and resubstitution, for him and in his name, place and stead, in any and all capacities, to sign any and all amendments (including pre and post-effective amendments) to the Registration Statement on Form S-3 of Fluidigm Corporation (the “Company”) (Registration No. 333-216542), and any additional registration statement (including any amendment thereto) for the same offering that is to be effective upon filing pursuant to Rule 462(b) under the Securities Act of 1933,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as fully to all intents and purposes as he might or could do in person, hereby ratifying and confirming all that each of said attorneys-in-fact and agents or their substitute or substitutes may lawfully do or cause to be done by virtue hereof.</w:t>
      </w:r>
    </w:p>
    <w:p>
      <w:pPr>
        <w:spacing w:after="0" w:line="18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WITNESS WHEREOF, the undersigned have each caused this Power of Attorney to be executed as of April 28, 2017.</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Signature</w:t>
            </w:r>
          </w:p>
        </w:tc>
        <w:tc>
          <w:tcPr>
            <w:tcW w:w="100" w:type="dxa"/>
            <w:vAlign w:val="bottom"/>
          </w:tcPr>
          <w:p>
            <w:pPr>
              <w:spacing w:after="0"/>
              <w:rPr>
                <w:sz w:val="16"/>
                <w:szCs w:val="16"/>
                <w:color w:val="auto"/>
              </w:rPr>
            </w:pPr>
          </w:p>
        </w:tc>
        <w:tc>
          <w:tcPr>
            <w:tcW w:w="5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Title</w:t>
            </w:r>
          </w:p>
        </w:tc>
        <w:tc>
          <w:tcPr>
            <w:tcW w:w="220" w:type="dxa"/>
            <w:vAlign w:val="bottom"/>
          </w:tcPr>
          <w:p>
            <w:pPr>
              <w:spacing w:after="0"/>
              <w:rPr>
                <w:sz w:val="16"/>
                <w:szCs w:val="16"/>
                <w:color w:val="auto"/>
              </w:rPr>
            </w:pP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r>
      <w:tr>
        <w:trPr>
          <w:trHeight w:val="412"/>
        </w:trPr>
        <w:tc>
          <w:tcPr>
            <w:tcW w:w="4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Carlos Paya</w:t>
            </w:r>
          </w:p>
        </w:tc>
        <w:tc>
          <w:tcPr>
            <w:tcW w:w="100" w:type="dxa"/>
            <w:vAlign w:val="bottom"/>
          </w:tcPr>
          <w:p>
            <w:pPr>
              <w:spacing w:after="0"/>
              <w:rPr>
                <w:sz w:val="24"/>
                <w:szCs w:val="24"/>
                <w:color w:val="auto"/>
              </w:rPr>
            </w:pPr>
          </w:p>
        </w:tc>
        <w:tc>
          <w:tcPr>
            <w:tcW w:w="530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Director</w:t>
            </w:r>
          </w:p>
        </w:tc>
        <w:tc>
          <w:tcPr>
            <w:tcW w:w="1740" w:type="dxa"/>
            <w:vAlign w:val="bottom"/>
          </w:tcPr>
          <w:p>
            <w:pPr>
              <w:jc w:val="center"/>
              <w:spacing w:after="0"/>
              <w:rPr>
                <w:sz w:val="20"/>
                <w:szCs w:val="20"/>
                <w:color w:val="auto"/>
              </w:rPr>
            </w:pPr>
            <w:r>
              <w:rPr>
                <w:rFonts w:ascii="Arial" w:cs="Arial" w:eastAsia="Arial" w:hAnsi="Arial"/>
                <w:sz w:val="18"/>
                <w:szCs w:val="18"/>
                <w:color w:val="auto"/>
                <w:w w:val="95"/>
              </w:rPr>
              <w:t>April 28, 2017</w:t>
            </w:r>
          </w:p>
        </w:tc>
      </w:tr>
      <w:tr>
        <w:trPr>
          <w:trHeight w:val="224"/>
        </w:trPr>
        <w:tc>
          <w:tcPr>
            <w:tcW w:w="4280" w:type="dxa"/>
            <w:vAlign w:val="bottom"/>
          </w:tcPr>
          <w:p>
            <w:pPr>
              <w:jc w:val="center"/>
              <w:spacing w:after="0"/>
              <w:rPr>
                <w:sz w:val="20"/>
                <w:szCs w:val="20"/>
                <w:color w:val="auto"/>
              </w:rPr>
            </w:pPr>
            <w:r>
              <w:rPr>
                <w:rFonts w:ascii="Arial" w:cs="Arial" w:eastAsia="Arial" w:hAnsi="Arial"/>
                <w:sz w:val="18"/>
                <w:szCs w:val="18"/>
                <w:color w:val="auto"/>
                <w:w w:val="89"/>
              </w:rPr>
              <w:t>Carlos Paya</w:t>
            </w:r>
          </w:p>
        </w:tc>
        <w:tc>
          <w:tcPr>
            <w:tcW w:w="100" w:type="dxa"/>
            <w:vAlign w:val="bottom"/>
          </w:tcPr>
          <w:p>
            <w:pPr>
              <w:spacing w:after="0"/>
              <w:rPr>
                <w:sz w:val="19"/>
                <w:szCs w:val="19"/>
                <w:color w:val="auto"/>
              </w:rPr>
            </w:pPr>
          </w:p>
        </w:tc>
        <w:tc>
          <w:tcPr>
            <w:tcW w:w="5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431"/>
        </w:trPr>
        <w:tc>
          <w:tcPr>
            <w:tcW w:w="4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Nicolas Barthelemy</w:t>
            </w:r>
          </w:p>
        </w:tc>
        <w:tc>
          <w:tcPr>
            <w:tcW w:w="100" w:type="dxa"/>
            <w:vAlign w:val="bottom"/>
          </w:tcPr>
          <w:p>
            <w:pPr>
              <w:spacing w:after="0"/>
              <w:rPr>
                <w:sz w:val="24"/>
                <w:szCs w:val="24"/>
                <w:color w:val="auto"/>
              </w:rPr>
            </w:pPr>
          </w:p>
        </w:tc>
        <w:tc>
          <w:tcPr>
            <w:tcW w:w="530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Director</w:t>
            </w:r>
          </w:p>
        </w:tc>
        <w:tc>
          <w:tcPr>
            <w:tcW w:w="1740" w:type="dxa"/>
            <w:vAlign w:val="bottom"/>
          </w:tcPr>
          <w:p>
            <w:pPr>
              <w:jc w:val="center"/>
              <w:spacing w:after="0"/>
              <w:rPr>
                <w:sz w:val="20"/>
                <w:szCs w:val="20"/>
                <w:color w:val="auto"/>
              </w:rPr>
            </w:pPr>
            <w:r>
              <w:rPr>
                <w:rFonts w:ascii="Arial" w:cs="Arial" w:eastAsia="Arial" w:hAnsi="Arial"/>
                <w:sz w:val="18"/>
                <w:szCs w:val="18"/>
                <w:color w:val="auto"/>
                <w:w w:val="95"/>
              </w:rPr>
              <w:t>April 28, 2017</w:t>
            </w:r>
          </w:p>
        </w:tc>
      </w:tr>
      <w:tr>
        <w:trPr>
          <w:trHeight w:val="224"/>
        </w:trPr>
        <w:tc>
          <w:tcPr>
            <w:tcW w:w="4280" w:type="dxa"/>
            <w:vAlign w:val="bottom"/>
          </w:tcPr>
          <w:p>
            <w:pPr>
              <w:jc w:val="center"/>
              <w:spacing w:after="0"/>
              <w:rPr>
                <w:sz w:val="20"/>
                <w:szCs w:val="20"/>
                <w:color w:val="auto"/>
              </w:rPr>
            </w:pPr>
            <w:r>
              <w:rPr>
                <w:rFonts w:ascii="Arial" w:cs="Arial" w:eastAsia="Arial" w:hAnsi="Arial"/>
                <w:sz w:val="18"/>
                <w:szCs w:val="18"/>
                <w:color w:val="auto"/>
                <w:w w:val="92"/>
              </w:rPr>
              <w:t>Nicolas Barthelemy</w:t>
            </w:r>
          </w:p>
        </w:tc>
        <w:tc>
          <w:tcPr>
            <w:tcW w:w="100" w:type="dxa"/>
            <w:vAlign w:val="bottom"/>
          </w:tcPr>
          <w:p>
            <w:pPr>
              <w:spacing w:after="0"/>
              <w:rPr>
                <w:sz w:val="19"/>
                <w:szCs w:val="19"/>
                <w:color w:val="auto"/>
              </w:rPr>
            </w:pPr>
          </w:p>
        </w:tc>
        <w:tc>
          <w:tcPr>
            <w:tcW w:w="5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40" w:type="dxa"/>
            <w:vAlign w:val="bottom"/>
          </w:tcPr>
          <w:p>
            <w:pPr>
              <w:spacing w:after="0"/>
              <w:rPr>
                <w:sz w:val="19"/>
                <w:szCs w:val="19"/>
                <w:color w:val="auto"/>
              </w:rPr>
            </w:pPr>
          </w:p>
        </w:tc>
      </w:tr>
    </w:tbl>
    <w:p>
      <w:pPr>
        <w:spacing w:after="0" w:line="1" w:lineRule="exact"/>
        <w:rPr>
          <w:sz w:val="20"/>
          <w:szCs w:val="20"/>
          <w:color w:val="auto"/>
        </w:rPr>
      </w:pP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0E0F76"/>
    <w:multiLevelType w:val="hybridMultilevel"/>
    <w:lvl w:ilvl="0">
      <w:lvlJc w:val="left"/>
      <w:lvlText w:val="(%1)"/>
      <w:numFmt w:val="decimal"/>
      <w:start w:val="1"/>
    </w:lvl>
  </w:abstractNum>
  <w:abstractNum w:abstractNumId="1">
    <w:nsid w:val="3352255A"/>
    <w:multiLevelType w:val="hybridMultilevel"/>
    <w:lvl w:ilvl="0">
      <w:lvlJc w:val="left"/>
      <w:lvlText w:val="(%1)"/>
      <w:numFmt w:val="decimal"/>
      <w:start w:val="1"/>
    </w:lvl>
  </w:abstractNum>
  <w:abstractNum w:abstractNumId="2">
    <w:nsid w:val="109CF92E"/>
    <w:multiLevelType w:val="hybridMultilevel"/>
    <w:lvl w:ilvl="0">
      <w:lvlJc w:val="left"/>
      <w:lvlText w:val="•"/>
      <w:numFmt w:val="bullet"/>
      <w:start w:val="1"/>
    </w:lvl>
  </w:abstractNum>
  <w:abstractNum w:abstractNumId="3">
    <w:nsid w:val="DED7263"/>
    <w:multiLevelType w:val="hybridMultilevel"/>
    <w:lvl w:ilvl="0">
      <w:lvlJc w:val="left"/>
      <w:lvlText w:val="•"/>
      <w:numFmt w:val="bullet"/>
      <w:start w:val="1"/>
    </w:lvl>
  </w:abstractNum>
  <w:abstractNum w:abstractNumId="4">
    <w:nsid w:val="7FDCC233"/>
    <w:multiLevelType w:val="hybridMultilevel"/>
    <w:lvl w:ilvl="0">
      <w:lvlJc w:val="left"/>
      <w:lvlText w:val="(%1)"/>
      <w:numFmt w:val="lowerLetter"/>
      <w:start w:val="1"/>
    </w:lvl>
  </w:abstractNum>
  <w:abstractNum w:abstractNumId="5">
    <w:nsid w:val="1BEFD79F"/>
    <w:multiLevelType w:val="hybridMultilevel"/>
    <w:lvl w:ilvl="0">
      <w:lvlJc w:val="left"/>
      <w:lvlText w:val="*"/>
      <w:numFmt w:val="bullet"/>
      <w:start w:val="1"/>
    </w:lvl>
  </w:abstractNum>
  <w:abstractNum w:abstractNumId="6">
    <w:nsid w:val="41A7C4C9"/>
    <w:multiLevelType w:val="hybridMultilevel"/>
    <w:lvl w:ilvl="0">
      <w:lvlJc w:val="left"/>
      <w:lvlText w:val="**"/>
      <w:numFmt w:val="bullet"/>
      <w:start w:val="1"/>
    </w:lvl>
  </w:abstractNum>
  <w:abstractNum w:abstractNumId="7">
    <w:nsid w:val="6B68079A"/>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8">
    <w:nsid w:val="4E6AFB66"/>
    <w:multiLevelType w:val="hybridMultilevel"/>
    <w:lvl w:ilvl="0">
      <w:lvlJc w:val="left"/>
      <w:lvlText w:val="(%1)"/>
      <w:numFmt w:val="decimal"/>
      <w:start w:val="2"/>
    </w:lvl>
  </w:abstractNum>
  <w:abstractNum w:abstractNumId="9">
    <w:nsid w:val="25E45D32"/>
    <w:multiLevelType w:val="hybridMultilevel"/>
    <w:lvl w:ilvl="0">
      <w:lvlJc w:val="left"/>
      <w:lvlText w:val="(%1)"/>
      <w:numFmt w:val="decimal"/>
      <w:start w:val="3"/>
    </w:lvl>
    <w:lvl w:ilvl="1">
      <w:lvlJc w:val="left"/>
      <w:lvlText w:val="(%2)"/>
      <w:numFmt w:val="lowerRoman"/>
      <w:start w:val="1"/>
    </w:lvl>
  </w:abstractNum>
  <w:abstractNum w:abstractNumId="10">
    <w:nsid w:val="519B500D"/>
    <w:multiLevelType w:val="hybridMultilevel"/>
    <w:lvl w:ilvl="0">
      <w:lvlJc w:val="left"/>
      <w:lvlText w:val="(%1)"/>
      <w:numFmt w:val="upperLetter"/>
      <w:start w:val="1"/>
    </w:lvl>
  </w:abstractNum>
  <w:abstractNum w:abstractNumId="11">
    <w:nsid w:val="431BD7B7"/>
    <w:multiLevelType w:val="hybridMultilevel"/>
    <w:lvl w:ilvl="0">
      <w:lvlJc w:val="left"/>
      <w:lvlText w:val="%1"/>
      <w:numFmt w:val="decimal"/>
      <w:start w:val="1"/>
    </w:lvl>
    <w:lvl w:ilvl="1">
      <w:lvlJc w:val="left"/>
      <w:lvlText w:val="(%2)"/>
      <w:numFmt w:val="lowerRoman"/>
      <w:start w:val="2"/>
    </w:lvl>
  </w:abstractNum>
  <w:abstractNum w:abstractNumId="12">
    <w:nsid w:val="3F2DBA31"/>
    <w:multiLevelType w:val="hybridMultilevel"/>
    <w:lvl w:ilvl="0">
      <w:lvlJc w:val="left"/>
      <w:lvlText w:val="(%1)"/>
      <w:numFmt w:val="decimal"/>
      <w:start w:val="5"/>
    </w:lvl>
    <w:lvl w:ilvl="1">
      <w:lvlJc w:val="left"/>
      <w:lvlText w:val="(%2)"/>
      <w:numFmt w:val="lowerRoman"/>
      <w:start w:val="1"/>
    </w:lvl>
  </w:abstractNum>
  <w:abstractNum w:abstractNumId="13">
    <w:nsid w:val="7C83E458"/>
    <w:multiLevelType w:val="hybridMultilevel"/>
    <w:lvl w:ilvl="0">
      <w:lvlJc w:val="left"/>
      <w:lvlText w:val="%1"/>
      <w:numFmt w:val="lowerLetter"/>
      <w:start w:val="1"/>
    </w:lvl>
    <w:lvl w:ilvl="1">
      <w:lvlJc w:val="left"/>
      <w:lvlText w:val="(%2)"/>
      <w:numFmt w:val="lowerRoman"/>
      <w:start w:val="2"/>
    </w:lvl>
  </w:abstractNum>
  <w:abstractNum w:abstractNumId="14">
    <w:nsid w:val="257130A3"/>
    <w:multiLevelType w:val="hybridMultilevel"/>
    <w:lvl w:ilvl="0">
      <w:lvlJc w:val="left"/>
      <w:lvlText w:val="(%1)"/>
      <w:numFmt w:val="lowerLetter"/>
      <w:start w:val="2"/>
    </w:lvl>
    <w:lvl w:ilvl="1">
      <w:lvlJc w:val="left"/>
      <w:lvlText w:val="%2"/>
      <w:numFmt w:val="lowerRoman"/>
      <w:start w:val="1"/>
    </w:lvl>
  </w:abstractNum>
  <w:abstractNum w:abstractNumId="15">
    <w:nsid w:val="62BBD95A"/>
    <w:multiLevelType w:val="hybridMultilevel"/>
    <w:lvl w:ilvl="0">
      <w:lvlJc w:val="left"/>
      <w:lvlText w:val="(%1)"/>
      <w:numFmt w:val="decimal"/>
      <w:start w:val="1"/>
    </w:lvl>
  </w:abstractNum>
  <w:abstractNum w:abstractNumId="16">
    <w:nsid w:val="436C6125"/>
    <w:multiLevelType w:val="hybridMultilevel"/>
    <w:lvl w:ilvl="0">
      <w:lvlJc w:val="left"/>
      <w:lvlText w:val="(%1)"/>
      <w:numFmt w:val="lowerLetter"/>
      <w:start w:val="5"/>
    </w:lvl>
  </w:abstractNum>
  <w:abstractNum w:abstractNumId="17">
    <w:nsid w:val="628C895D"/>
    <w:multiLevelType w:val="hybridMultilevel"/>
    <w:lvl w:ilvl="0">
      <w:lvlJc w:val="left"/>
      <w:lvlText w:val="*"/>
      <w:numFmt w:val="bullet"/>
      <w:start w:val="1"/>
    </w:lvl>
  </w:abstractNum>
  <w:abstractNum w:abstractNumId="18">
    <w:nsid w:val="333AB105"/>
    <w:multiLevelType w:val="hybridMultilevel"/>
    <w:lvl w:ilvl="0">
      <w:lvlJc w:val="left"/>
      <w:lvlText w:val="**"/>
      <w:numFmt w:val="bullet"/>
      <w:start w:val="1"/>
    </w:lvl>
  </w:abstractNum>
  <w:abstractNum w:abstractNumId="19">
    <w:nsid w:val="721DA317"/>
    <w:multiLevelType w:val="hybridMultilevel"/>
    <w:lvl w:ilvl="0">
      <w:lvlJc w:val="left"/>
      <w:lvlText w:val="%1."/>
      <w:numFmt w:val="decimal"/>
      <w:start w:val="1"/>
    </w:lvl>
  </w:abstractNum>
  <w:abstractNum w:abstractNumId="20">
    <w:nsid w:val="2443A858"/>
    <w:multiLevelType w:val="hybridMultilevel"/>
    <w:lvl w:ilvl="0">
      <w:lvlJc w:val="left"/>
      <w:lvlText w:val="%1"/>
      <w:numFmt w:val="lowerRoman"/>
      <w:start w:val="1"/>
    </w:lvl>
    <w:lvl w:ilvl="1">
      <w:lvlJc w:val="left"/>
      <w:lvlText w:val="%2."/>
      <w:numFmt w:val="decimal"/>
      <w:start w:val="2"/>
    </w:lvl>
  </w:abstractNum>
  <w:abstractNum w:abstractNumId="21">
    <w:nsid w:val="2D1D5AE9"/>
    <w:multiLevelType w:val="hybridMultilevel"/>
    <w:lvl w:ilvl="0">
      <w:lvlJc w:val="left"/>
      <w:lvlText w:val="(%1)"/>
      <w:numFmt w:val="lowerRoman"/>
      <w:start w:val="1"/>
    </w:lvl>
    <w:lvl w:ilvl="1">
      <w:lvlJc w:val="left"/>
      <w:lvlText w:val="%2."/>
      <w:numFmt w:val="decimal"/>
      <w:start w:val="3"/>
    </w:lvl>
  </w:abstractNum>
  <w:abstractNum w:abstractNumId="22">
    <w:nsid w:val="6763845E"/>
    <w:multiLevelType w:val="hybridMultilevel"/>
    <w:lvl w:ilvl="0">
      <w:lvlJc w:val="left"/>
      <w:lvlText w:val="%1."/>
      <w:numFmt w:val="decimal"/>
      <w:start w:val="4"/>
    </w:lvl>
  </w:abstractNum>
  <w:abstractNum w:abstractNumId="23">
    <w:nsid w:val="75A2A8D4"/>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2019-12-06T17:40:13Z</dcterms:created>
  <dcterms:modified xsi:type="dcterms:W3CDTF">2019-12-06T17:40:13Z</dcterms:modified>
</cp:coreProperties>
</file>