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231F20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233680</wp:posOffset>
            </wp:positionH>
            <wp:positionV relativeFrom="page">
              <wp:posOffset>706120</wp:posOffset>
            </wp:positionV>
            <wp:extent cx="708914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231F20"/>
        </w:rPr>
        <w:t>SECURITIES AND EXCHANGE COMMISSION</w:t>
      </w:r>
    </w:p>
    <w:p>
      <w:pPr>
        <w:jc w:val="center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231F20"/>
        </w:rPr>
        <w:t>Washington, D.C. 20549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_____________________________________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231F20"/>
        </w:rPr>
        <w:t>SCHEDULE 14A INFORMATION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______________________________________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231F20"/>
        </w:rPr>
        <w:t>PROXY STATEMENT PURSUANT TO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231F20"/>
        </w:rPr>
        <w:t>SECTION 14(a) OF THE SECURITIES EXCHANGE ACT OF 1934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000000"/>
        </w:rPr>
        <w:t>☒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231F20"/>
        </w:rPr>
        <w:t>☐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Preliminary Proxy Statement</w:t>
      </w:r>
    </w:p>
    <w:p>
      <w:pPr>
        <w:spacing w:after="0" w:line="3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231F20"/>
        </w:rPr>
        <w:t>Confidential, for Use of the Commission Only (as permitted by Rule 14a-6(e)(2))</w:t>
      </w:r>
    </w:p>
    <w:p>
      <w:pPr>
        <w:spacing w:after="0" w:line="2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Definitive Proxy Statement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Definitive Additional Materials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Soliciting Material Pursuant to §240.14a-12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231F20"/>
        </w:rPr>
        <w:t>FLUIDIGM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41275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231F20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167005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231F20"/>
        </w:rPr>
        <w:t>(Name of Person(s) Filing Proxy Statement, if other than the Registrant)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Payment of Filing Fee (Check the appropriate box):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80" w:type="dxa"/>
            <w:vAlign w:val="bottom"/>
          </w:tcPr>
          <w:p>
            <w:pPr>
              <w:ind w:left="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☒</w:t>
            </w:r>
          </w:p>
        </w:tc>
        <w:tc>
          <w:tcPr>
            <w:tcW w:w="9860" w:type="dxa"/>
            <w:vAlign w:val="bottom"/>
            <w:gridSpan w:val="2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 fee required.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380" w:type="dxa"/>
            <w:vAlign w:val="bottom"/>
            <w:vMerge w:val="restart"/>
          </w:tcPr>
          <w:p>
            <w:pPr>
              <w:ind w:left="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231F20"/>
              </w:rPr>
              <w:t>☐</w:t>
            </w:r>
          </w:p>
        </w:tc>
        <w:tc>
          <w:tcPr>
            <w:tcW w:w="9860" w:type="dxa"/>
            <w:vAlign w:val="bottom"/>
            <w:gridSpan w:val="2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Fee computed on table below per Exchange Act Rules 14a-6(i)(1) and 0-11.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(1)</w:t>
            </w:r>
          </w:p>
        </w:tc>
        <w:tc>
          <w:tcPr>
            <w:tcW w:w="8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Title of each class of securities to which transaction applies: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(2)</w:t>
            </w:r>
          </w:p>
        </w:tc>
        <w:tc>
          <w:tcPr>
            <w:tcW w:w="8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Aggregate number of securities to which transaction applies: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(3)</w:t>
            </w:r>
          </w:p>
        </w:tc>
        <w:tc>
          <w:tcPr>
            <w:tcW w:w="8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  <w:w w:val="94"/>
              </w:rPr>
              <w:t>Per unit price or other underlying value of transaction computed pursuant to Exchange Act Rule 0-11 (set forth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the amount on which the filing fee is calculated and state how it was determined):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(4)</w:t>
            </w:r>
          </w:p>
        </w:tc>
        <w:tc>
          <w:tcPr>
            <w:tcW w:w="8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Proposed maximum aggregate value of transaction: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(5)</w:t>
            </w:r>
          </w:p>
        </w:tc>
        <w:tc>
          <w:tcPr>
            <w:tcW w:w="8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Total fee paid: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380" w:type="dxa"/>
            <w:vAlign w:val="bottom"/>
            <w:vMerge w:val="restart"/>
          </w:tcPr>
          <w:p>
            <w:pPr>
              <w:ind w:left="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  <w:tc>
          <w:tcPr>
            <w:tcW w:w="9860" w:type="dxa"/>
            <w:vAlign w:val="bottom"/>
            <w:gridSpan w:val="2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Fee paid previously with preliminary materials.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1380" w:type="dxa"/>
            <w:vAlign w:val="bottom"/>
            <w:vMerge w:val="restart"/>
          </w:tcPr>
          <w:p>
            <w:pPr>
              <w:ind w:left="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  <w:tc>
          <w:tcPr>
            <w:tcW w:w="9860" w:type="dxa"/>
            <w:vAlign w:val="bottom"/>
            <w:gridSpan w:val="2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Check box if any part of the fee is offset as provided by Exchange Act Rule 0-11(a)(2) and identify the filing for which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60" w:type="dxa"/>
            <w:vAlign w:val="bottom"/>
            <w:gridSpan w:val="2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the offsetting fee was paid previously. Identify the previous filing by registration statement number, or the Form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60" w:type="dxa"/>
            <w:vAlign w:val="bottom"/>
            <w:gridSpan w:val="2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Schedule and the date of its filing.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8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(1)</w:t>
            </w:r>
          </w:p>
        </w:tc>
        <w:tc>
          <w:tcPr>
            <w:tcW w:w="8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Amount Previously Paid: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(2)</w:t>
            </w:r>
          </w:p>
        </w:tc>
        <w:tc>
          <w:tcPr>
            <w:tcW w:w="8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Form, Schedule or Registration Statement No.: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(3)</w:t>
            </w:r>
          </w:p>
        </w:tc>
        <w:tc>
          <w:tcPr>
            <w:tcW w:w="8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Filing Party: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(4)</w:t>
            </w:r>
          </w:p>
        </w:tc>
        <w:tc>
          <w:tcPr>
            <w:tcW w:w="8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Date Filed: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1255" w:right="3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577850</wp:posOffset>
            </wp:positionV>
            <wp:extent cx="5863590" cy="7586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8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577215</wp:posOffset>
            </wp:positionV>
            <wp:extent cx="5863590" cy="7586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8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2021-04-14T16:23:35Z</dcterms:created>
  <dcterms:modified xsi:type="dcterms:W3CDTF">2021-04-14T16:23:35Z</dcterms:modified>
</cp:coreProperties>
</file>