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2024</w:t>
      </w:r>
    </w:p>
    <w:p>
      <w:pPr>
        <w:ind w:left="5520"/>
        <w:spacing w:after="0" w:line="229" w:lineRule="auto"/>
        <w:rPr>
          <w:sz w:val="20"/>
          <w:szCs w:val="20"/>
          <w:color w:val="auto"/>
        </w:rPr>
      </w:pPr>
      <w:r>
        <w:rPr>
          <w:rFonts w:ascii="Times New Roman" w:cs="Times New Roman" w:eastAsia="Times New Roman" w:hAnsi="Times New Roman"/>
          <w:sz w:val="22"/>
          <w:szCs w:val="22"/>
          <w:b w:val="1"/>
          <w:bCs w:val="1"/>
          <w:color w:val="auto"/>
        </w:rPr>
        <w:t>or</w:t>
      </w: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00"/>
          </w:cols>
          <w:pgMar w:left="320" w:top="1080" w:right="379" w:bottom="1440" w:gutter="0" w:footer="0" w:header="0"/>
        </w:sectPr>
      </w:pPr>
    </w:p>
    <w:p>
      <w:pPr>
        <w:spacing w:after="0" w:line="3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1" w:lineRule="exact"/>
        <w:rPr>
          <w:sz w:val="24"/>
          <w:szCs w:val="24"/>
          <w:color w:val="auto"/>
        </w:rPr>
      </w:pPr>
    </w:p>
    <w:p>
      <w:pPr>
        <w:sectPr>
          <w:pgSz w:w="11900" w:h="16838" w:orient="portrait"/>
          <w:cols w:equalWidth="0" w:num="2">
            <w:col w:w="6580" w:space="720"/>
            <w:col w:w="3900"/>
          </w:cols>
          <w:pgMar w:left="320" w:top="1080" w:right="379" w:bottom="1440" w:gutter="0" w:footer="0" w:header="0"/>
          <w:type w:val="continuous"/>
        </w:sectPr>
      </w:pPr>
    </w:p>
    <w:p>
      <w:pPr>
        <w:ind w:left="4000"/>
        <w:spacing w:after="0" w:line="198" w:lineRule="auto"/>
        <w:rPr>
          <w:sz w:val="20"/>
          <w:szCs w:val="20"/>
          <w:color w:val="auto"/>
        </w:rPr>
      </w:pPr>
      <w:r>
        <w:rPr>
          <w:rFonts w:ascii="Times New Roman" w:cs="Times New Roman" w:eastAsia="Times New Roman" w:hAnsi="Times New Roman"/>
          <w:sz w:val="14"/>
          <w:szCs w:val="14"/>
          <w:color w:val="auto"/>
        </w:rPr>
        <w:t>_____________________________________________</w:t>
      </w: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45720</wp:posOffset>
            </wp:positionV>
            <wp:extent cx="1285875"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925830"/>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0"/>
          <w:szCs w:val="40"/>
          <w:b w:val="1"/>
          <w:bCs w:val="1"/>
          <w:color w:val="auto"/>
        </w:rPr>
        <w:t>STANDARD BIOTOOLS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980" w:type="dxa"/>
        <w:tblCellMar>
          <w:top w:w="0" w:type="dxa"/>
          <w:left w:w="0" w:type="dxa"/>
          <w:bottom w:w="0" w:type="dxa"/>
          <w:right w:w="0" w:type="dxa"/>
        </w:tblCellMar>
      </w:tblPr>
      <w:tr>
        <w:trPr>
          <w:trHeight w:val="190"/>
        </w:trPr>
        <w:tc>
          <w:tcPr>
            <w:tcW w:w="266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spacing w:after="0"/>
              <w:rPr>
                <w:sz w:val="16"/>
                <w:szCs w:val="16"/>
                <w:color w:val="auto"/>
              </w:rPr>
            </w:pPr>
          </w:p>
        </w:tc>
        <w:tc>
          <w:tcPr>
            <w:tcW w:w="280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77-0513190</w:t>
            </w:r>
          </w:p>
        </w:tc>
        <w:tc>
          <w:tcPr>
            <w:tcW w:w="0" w:type="dxa"/>
            <w:vAlign w:val="bottom"/>
          </w:tcPr>
          <w:p>
            <w:pPr>
              <w:spacing w:after="0"/>
              <w:rPr>
                <w:sz w:val="1"/>
                <w:szCs w:val="1"/>
                <w:color w:val="auto"/>
              </w:rPr>
            </w:pPr>
          </w:p>
        </w:tc>
      </w:tr>
      <w:tr>
        <w:trPr>
          <w:trHeight w:val="205"/>
        </w:trPr>
        <w:tc>
          <w:tcPr>
            <w:tcW w:w="6440" w:type="dxa"/>
            <w:vAlign w:val="bottom"/>
            <w:gridSpan w:val="2"/>
          </w:tcPr>
          <w:p>
            <w:pPr>
              <w:jc w:val="center"/>
              <w:ind w:right="27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80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82"/>
        </w:trPr>
        <w:tc>
          <w:tcPr>
            <w:tcW w:w="266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2 Tower Place, Suite 2000</w:t>
            </w:r>
          </w:p>
        </w:tc>
        <w:tc>
          <w:tcPr>
            <w:tcW w:w="3780" w:type="dxa"/>
            <w:vAlign w:val="bottom"/>
          </w:tcPr>
          <w:p>
            <w:pPr>
              <w:spacing w:after="0"/>
              <w:rPr>
                <w:sz w:val="24"/>
                <w:szCs w:val="24"/>
                <w:color w:val="auto"/>
              </w:rPr>
            </w:pPr>
          </w:p>
        </w:tc>
        <w:tc>
          <w:tcPr>
            <w:tcW w:w="2800" w:type="dxa"/>
            <w:vAlign w:val="bottom"/>
            <w:vMerge w:val="restart"/>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78"/>
        </w:trPr>
        <w:tc>
          <w:tcPr>
            <w:tcW w:w="266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South San Francisco, CA</w:t>
            </w:r>
          </w:p>
        </w:tc>
        <w:tc>
          <w:tcPr>
            <w:tcW w:w="378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440" w:type="dxa"/>
            <w:vAlign w:val="bottom"/>
            <w:gridSpan w:val="2"/>
          </w:tcPr>
          <w:p>
            <w:pPr>
              <w:jc w:val="center"/>
              <w:ind w:right="27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00" w:type="dxa"/>
            <w:vAlign w:val="bottom"/>
          </w:tcPr>
          <w:p>
            <w:pPr>
              <w:jc w:val="center"/>
              <w:ind w:right="46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0"/>
        </w:trPr>
        <w:tc>
          <w:tcPr>
            <w:tcW w:w="2660" w:type="dxa"/>
            <w:vAlign w:val="bottom"/>
          </w:tcPr>
          <w:p>
            <w:pPr>
              <w:spacing w:after="0"/>
              <w:rPr>
                <w:sz w:val="13"/>
                <w:szCs w:val="13"/>
                <w:color w:val="auto"/>
              </w:rPr>
            </w:pPr>
          </w:p>
        </w:tc>
        <w:tc>
          <w:tcPr>
            <w:tcW w:w="65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(650) 266-6000</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378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_____________________________________________</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7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Trading Symbol(s)</w:t>
            </w:r>
          </w:p>
        </w:tc>
        <w:tc>
          <w:tcPr>
            <w:tcW w:w="28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90"/>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 per share</w:t>
            </w:r>
          </w:p>
        </w:tc>
        <w:tc>
          <w:tcPr>
            <w:tcW w:w="37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LAB</w:t>
            </w:r>
          </w:p>
        </w:tc>
        <w:tc>
          <w:tcPr>
            <w:tcW w:w="28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82" w:lineRule="exact"/>
        <w:rPr>
          <w:sz w:val="24"/>
          <w:szCs w:val="24"/>
          <w:color w:val="auto"/>
        </w:rPr>
      </w:pPr>
    </w:p>
    <w:p>
      <w:pPr>
        <w:ind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40"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0" w:firstLine="37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160"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380" w:right="320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3, 2024, there were 372,141,530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investments to expand our customer base, plans for our products, competitive position, industry environment, potential growth opportunities, market growth expectations, the effects of competition, cost structure optimization, acceleration of growth, potential merger and acquisition activity and restructuring plans (including expense reduction activities involving potential subleasing and talent relocation plans, modifications to the scope of the company’s proteomic and genomics businesses and discontinuing of certain product lines) and our expectations regarding the benefits and integration of acquired businesses and/or products (including in connection with our merger with SomaLogic, Inc. in January 2024).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our Annual Report on Form 10-K for the year ended December 31, 2023 filed with the Securities and Exchange Commission on March 1, 2024. Given these uncertainties, you should not place undue reliance on these forward-looking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spacing w:after="0" w:line="180"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7"/>
          <w:szCs w:val="17"/>
          <w:color w:val="auto"/>
        </w:rPr>
        <w:t>Standard BioTools, the Standard BioTools logo, Fluidigm®, the Fluidigm logo, 48.Atlas™, Access Array™, Advanta™, Advanta EASE™, Atlas™, Biomark™, Biomark X™, “Bringing new insights to life”™, C1™, Callisto™, Cell-ID™, CyTOF®, CyTOF XT™, the CyTOF XT logo, D3™, Delta Gene™, Direct™, Digital Array™, Dynamic Array™, EP1™, EQ™, FC1™, Flex Six™, Flow Conductor™, FluiDesign™, Helios™, High-Precision</w:t>
      </w:r>
    </w:p>
    <w:p>
      <w:pPr>
        <w:spacing w:after="0" w:line="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 xml:space="preserve">96.96 Genotyping™, HTI™,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and Cardio </w:t>
      </w:r>
      <w:r>
        <w:rPr>
          <w:rFonts w:ascii="Times New Roman" w:cs="Times New Roman" w:eastAsia="Times New Roman" w:hAnsi="Times New Roman"/>
          <w:sz w:val="24"/>
          <w:szCs w:val="24"/>
          <w:color w:val="auto"/>
          <w:vertAlign w:val="subscript"/>
        </w:rPr>
        <w:t>DM</w:t>
      </w:r>
      <w:r>
        <w:rPr>
          <w:rFonts w:ascii="Times New Roman" w:cs="Times New Roman" w:eastAsia="Times New Roman" w:hAnsi="Times New Roman"/>
          <w:sz w:val="18"/>
          <w:szCs w:val="18"/>
          <w:color w:val="auto"/>
        </w:rPr>
        <w:t>™ are trademarks or registered trademarks of Standard BioTools Inc. or its affiliates in the United States and/or other countries. Other service marks, trademarks and trade names referred to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117"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r>
      <w:tr>
        <w:trPr>
          <w:trHeight w:val="47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1000" w:type="dxa"/>
            <w:vAlign w:val="bottom"/>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20"/>
        </w:trPr>
        <w:tc>
          <w:tcPr>
            <w:tcW w:w="1000" w:type="dxa"/>
            <w:vAlign w:val="bottom"/>
          </w:tcPr>
          <w:p>
            <w:pPr>
              <w:spacing w:after="0"/>
              <w:rPr>
                <w:sz w:val="24"/>
                <w:szCs w:val="24"/>
                <w:color w:val="auto"/>
              </w:rPr>
            </w:pPr>
          </w:p>
        </w:tc>
        <w:tc>
          <w:tcPr>
            <w:tcW w:w="75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2024 and 2023</w:t>
            </w:r>
          </w:p>
        </w:tc>
        <w:tc>
          <w:tcPr>
            <w:tcW w:w="20" w:type="dxa"/>
            <w:vAlign w:val="bottom"/>
            <w:tcBorders>
              <w:bottom w:val="single" w:sz="8" w:color="0000EE"/>
            </w:tcBorders>
          </w:tcPr>
          <w:p>
            <w:pPr>
              <w:spacing w:after="0"/>
              <w:rPr>
                <w:sz w:val="24"/>
                <w:szCs w:val="24"/>
                <w:color w:val="auto"/>
              </w:rPr>
            </w:pPr>
          </w:p>
        </w:tc>
        <w:tc>
          <w:tcPr>
            <w:tcW w:w="1380" w:type="dxa"/>
            <w:vAlign w:val="bottom"/>
            <w:gridSpan w:val="2"/>
          </w:tcPr>
          <w:p>
            <w:pPr>
              <w:spacing w:after="0"/>
              <w:rPr>
                <w:sz w:val="24"/>
                <w:szCs w:val="24"/>
                <w:color w:val="auto"/>
              </w:rPr>
            </w:pPr>
          </w:p>
        </w:tc>
      </w:tr>
      <w:tr>
        <w:trPr>
          <w:trHeight w:val="574"/>
        </w:trPr>
        <w:tc>
          <w:tcPr>
            <w:tcW w:w="1000" w:type="dxa"/>
            <w:vAlign w:val="bottom"/>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months ended March 31, 2024 and 2023</w:t>
            </w: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74"/>
        </w:trPr>
        <w:tc>
          <w:tcPr>
            <w:tcW w:w="1000" w:type="dxa"/>
            <w:vAlign w:val="bottom"/>
          </w:tcPr>
          <w:p>
            <w:pPr>
              <w:spacing w:after="0"/>
              <w:rPr>
                <w:sz w:val="24"/>
                <w:szCs w:val="24"/>
                <w:color w:val="auto"/>
              </w:rPr>
            </w:pPr>
          </w:p>
        </w:tc>
        <w:tc>
          <w:tcPr>
            <w:tcW w:w="8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months ended March 31, 2024 and 2023</w:t>
            </w:r>
          </w:p>
        </w:tc>
      </w:tr>
      <w:tr>
        <w:trPr>
          <w:trHeight w:val="398"/>
        </w:trPr>
        <w:tc>
          <w:tcPr>
            <w:tcW w:w="1000" w:type="dxa"/>
            <w:vAlign w:val="bottom"/>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three months ended March 31, 2024 and 2023</w:t>
            </w:r>
          </w:p>
        </w:tc>
      </w:tr>
      <w:tr>
        <w:trPr>
          <w:trHeight w:val="398"/>
        </w:trPr>
        <w:tc>
          <w:tcPr>
            <w:tcW w:w="1000" w:type="dxa"/>
            <w:vAlign w:val="bottom"/>
          </w:tcPr>
          <w:p>
            <w:pPr>
              <w:spacing w:after="0"/>
              <w:rPr>
                <w:sz w:val="24"/>
                <w:szCs w:val="24"/>
                <w:color w:val="auto"/>
              </w:rPr>
            </w:pPr>
          </w:p>
        </w:tc>
        <w:tc>
          <w:tcPr>
            <w:tcW w:w="40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240" w:type="dxa"/>
            <w:vAlign w:val="bottom"/>
            <w:tcBorders>
              <w:top w:val="single" w:sz="8" w:color="0000FF"/>
            </w:tcBorders>
            <w:gridSpan w:val="5"/>
          </w:tcPr>
          <w:p>
            <w:pPr>
              <w:spacing w:after="0"/>
              <w:rPr>
                <w:sz w:val="24"/>
                <w:szCs w:val="24"/>
                <w:color w:val="auto"/>
              </w:rPr>
            </w:pPr>
          </w:p>
        </w:tc>
        <w:tc>
          <w:tcPr>
            <w:tcW w:w="1620" w:type="dxa"/>
            <w:vAlign w:val="bottom"/>
            <w:gridSpan w:val="4"/>
          </w:tcPr>
          <w:p>
            <w:pPr>
              <w:spacing w:after="0"/>
              <w:rPr>
                <w:sz w:val="24"/>
                <w:szCs w:val="24"/>
                <w:color w:val="auto"/>
              </w:rPr>
            </w:pPr>
          </w:p>
        </w:tc>
      </w:tr>
      <w:tr>
        <w:trPr>
          <w:trHeight w:val="37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37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480" w:type="dxa"/>
            <w:vAlign w:val="bottom"/>
            <w:gridSpan w:val="5"/>
          </w:tcPr>
          <w:p>
            <w:pPr>
              <w:spacing w:after="0"/>
              <w:rPr>
                <w:sz w:val="24"/>
                <w:szCs w:val="24"/>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7140" w:type="dxa"/>
            <w:vAlign w:val="bottom"/>
            <w:gridSpan w:val="12"/>
          </w:tcPr>
          <w:p>
            <w:pPr>
              <w:spacing w:after="0"/>
              <w:rPr>
                <w:sz w:val="24"/>
                <w:szCs w:val="24"/>
                <w:color w:val="auto"/>
              </w:rPr>
            </w:pPr>
          </w:p>
        </w:tc>
      </w:tr>
      <w:tr>
        <w:trPr>
          <w:trHeight w:val="43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600" w:type="dxa"/>
            <w:vAlign w:val="bottom"/>
            <w:gridSpan w:val="14"/>
          </w:tcPr>
          <w:p>
            <w:pPr>
              <w:spacing w:after="0"/>
              <w:rPr>
                <w:sz w:val="24"/>
                <w:szCs w:val="24"/>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80" w:type="dxa"/>
            <w:vAlign w:val="bottom"/>
            <w:gridSpan w:val="8"/>
          </w:tcPr>
          <w:p>
            <w:pPr>
              <w:spacing w:after="0"/>
              <w:rPr>
                <w:sz w:val="24"/>
                <w:szCs w:val="24"/>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540" w:type="dxa"/>
            <w:vAlign w:val="bottom"/>
            <w:gridSpan w:val="11"/>
          </w:tcPr>
          <w:p>
            <w:pPr>
              <w:spacing w:after="0"/>
              <w:rPr>
                <w:sz w:val="24"/>
                <w:szCs w:val="24"/>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160" w:type="dxa"/>
            <w:vAlign w:val="bottom"/>
            <w:gridSpan w:val="13"/>
          </w:tcPr>
          <w:p>
            <w:pPr>
              <w:spacing w:after="0"/>
              <w:rPr>
                <w:sz w:val="24"/>
                <w:szCs w:val="24"/>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620" w:type="dxa"/>
            <w:vAlign w:val="bottom"/>
            <w:gridSpan w:val="15"/>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6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767715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698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33655</wp:posOffset>
            </wp:positionV>
            <wp:extent cx="308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2">
            <w:col w:w="10060" w:space="720"/>
            <w:col w:w="360"/>
          </w:cols>
          <w:pgMar w:left="380" w:top="98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287,057</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51,704</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Short-term investments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175,225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63,191</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36,012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19,660</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Inventory</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40,359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20,533</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8,912</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547,565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158,215</w:t>
            </w: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Inventory, non-current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13,262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receivable, non-current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44,786</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24,187</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 net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32,966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30,663</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2,285</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Acquired intangible assets, net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24,794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106,269</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106,317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777,667</w:t>
            </w:r>
          </w:p>
        </w:tc>
        <w:tc>
          <w:tcPr>
            <w:tcW w:w="260" w:type="dxa"/>
            <w:vAlign w:val="bottom"/>
          </w:tcPr>
          <w:p>
            <w:pPr>
              <w:spacing w:after="0"/>
              <w:rPr>
                <w:sz w:val="15"/>
                <w:szCs w:val="15"/>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323,067</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7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MEZZANINE EQUITY AND STOCKHOLDERS’ EQUITY (DEFICIT)</w:t>
            </w: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13,141</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9,236</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21,019</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5,834</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4,323</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revenue, current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13,906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11,607</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grant income, current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3,587</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3,612</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Term loan, current</w:t>
            </w:r>
          </w:p>
        </w:tc>
        <w:tc>
          <w:tcPr>
            <w:tcW w:w="280" w:type="dxa"/>
            <w:vAlign w:val="bottom"/>
          </w:tcPr>
          <w:p>
            <w:pPr>
              <w:spacing w:after="0"/>
              <w:rPr>
                <w:sz w:val="16"/>
                <w:szCs w:val="16"/>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Convertible notes, current</w:t>
            </w:r>
          </w:p>
        </w:tc>
        <w:tc>
          <w:tcPr>
            <w:tcW w:w="2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54,656</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54,530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121,554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109,327</w:t>
            </w: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Convertible notes, non-current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Term loan, non-current</w:t>
            </w:r>
          </w:p>
        </w:tc>
        <w:tc>
          <w:tcPr>
            <w:tcW w:w="280" w:type="dxa"/>
            <w:vAlign w:val="bottom"/>
          </w:tcPr>
          <w:p>
            <w:pPr>
              <w:spacing w:after="0"/>
              <w:rPr>
                <w:sz w:val="16"/>
                <w:szCs w:val="16"/>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3,414</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31,108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30,374</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revenue, non-current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33,854</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3,520</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grant income, non-current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10,755</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2,820</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200,351</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159,865</w:t>
            </w:r>
          </w:p>
        </w:tc>
        <w:tc>
          <w:tcPr>
            <w:tcW w:w="100" w:type="dxa"/>
            <w:vAlign w:val="bottom"/>
          </w:tcPr>
          <w:p>
            <w:pPr>
              <w:spacing w:after="0"/>
              <w:rPr>
                <w:sz w:val="15"/>
                <w:szCs w:val="15"/>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8)</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Mezzanine equity:</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Redeemable preferred stock: $0.001 par value; zero and 256 shares authorized at March 31, 2024 and December 31,</w:t>
            </w: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2023, respectively; aggregate liquidation preference of zero and $255,559 at March 31, 2024 and December 31, 2023,</w:t>
            </w: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respectively</w:t>
            </w:r>
          </w:p>
        </w:tc>
        <w:tc>
          <w:tcPr>
            <w:tcW w:w="28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311,253</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 (deficit):</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Preferred stock: $0.001 par value, 10,000 and 9,744 shares authorized at March 31, 2024 and December 31, 2023,</w:t>
            </w: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respectively; no shares issued and outstanding at March 31, 2024 and December 31, 2023</w:t>
            </w:r>
          </w:p>
        </w:tc>
        <w:tc>
          <w:tcPr>
            <w:tcW w:w="28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77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Common stock: $0.001 par value, 600,000 shares authorized at March 31, 2024 and 400,000 shares authorized at</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December 31, 2023; 387,652 and 83,364 shares issued at March 31, 2024 and December 31, 2023, respectively;</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380,400 and 80,232 shares outstanding at March 31, 2024 and December 31, 2023, respectively</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1,674,672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860,816</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80" w:type="dxa"/>
            <w:vAlign w:val="bottom"/>
          </w:tcPr>
          <w:p>
            <w:pPr>
              <w:spacing w:after="0"/>
              <w:rPr>
                <w:sz w:val="16"/>
                <w:szCs w:val="16"/>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(1,792 )</w:t>
            </w:r>
          </w:p>
        </w:tc>
        <w:tc>
          <w:tcPr>
            <w:tcW w:w="24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(2,221 )</w:t>
            </w: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28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(1,078,923 )</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(1,000,752 )</w:t>
            </w: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stock at cost: 7,251 and 3,132 shares at March 31, 2024 and December 31, 2023, respectively</w:t>
            </w:r>
          </w:p>
        </w:tc>
        <w:tc>
          <w:tcPr>
            <w:tcW w:w="280" w:type="dxa"/>
            <w:vAlign w:val="bottom"/>
          </w:tcPr>
          <w:p>
            <w:pPr>
              <w:spacing w:after="0"/>
              <w:rPr>
                <w:sz w:val="16"/>
                <w:szCs w:val="16"/>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(17,028 )</w:t>
            </w:r>
          </w:p>
        </w:tc>
        <w:tc>
          <w:tcPr>
            <w:tcW w:w="24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(5,977 )</w:t>
            </w: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577,316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(148,051 )</w:t>
            </w:r>
          </w:p>
        </w:tc>
      </w:tr>
      <w:tr>
        <w:trPr>
          <w:trHeight w:val="18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mezzanine equity and stockholders’ equity (deficit)</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777,667</w:t>
            </w: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323,067</w:t>
            </w:r>
          </w:p>
        </w:tc>
        <w:tc>
          <w:tcPr>
            <w:tcW w:w="100" w:type="dxa"/>
            <w:vAlign w:val="bottom"/>
            <w:tcBorders>
              <w:top w:val="single" w:sz="8" w:color="CFF0FC"/>
            </w:tcBorders>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-5305425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-4337050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-2133600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280" w:type="dxa"/>
            <w:vAlign w:val="bottom"/>
          </w:tcPr>
          <w:p>
            <w:pPr>
              <w:spacing w:after="0"/>
              <w:rPr>
                <w:sz w:val="20"/>
                <w:szCs w:val="20"/>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revenue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revenue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(60,182 )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(16,593 )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(2,234 )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(32,029 )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(16,580 )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(32,157 )</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(16,843 )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(46,014 )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(78,171 )</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(16,843 )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(0.27 )</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per share attributable to common stockholders, basic and diluted</w:t>
            </w: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294,125</w:t>
            </w:r>
          </w:p>
        </w:tc>
        <w:tc>
          <w:tcPr>
            <w:tcW w:w="280" w:type="dxa"/>
            <w:vAlign w:val="bottom"/>
            <w:tcBorders>
              <w:top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79,080</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-3693795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-3068320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(32,157 )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(16,843 )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 (loss) on investments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(31,728 )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(16,275 )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900" w:type="dxa"/>
            <w:vAlign w:val="bottom"/>
            <w:gridSpan w:val="4"/>
            <w:vMerge w:val="restart"/>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1"/>
                <w:szCs w:val="11"/>
                <w:color w:val="auto"/>
              </w:rPr>
            </w:pPr>
          </w:p>
        </w:tc>
        <w:tc>
          <w:tcPr>
            <w:tcW w:w="8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Accum.</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4"/>
            <w:vMerge w:val="restart"/>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vMerge w:val="restart"/>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9"/>
              </w:rPr>
              <w:t>Accum.</w:t>
            </w:r>
          </w:p>
        </w:tc>
        <w:tc>
          <w:tcPr>
            <w:tcW w:w="180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8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9"/>
                <w:szCs w:val="19"/>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 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20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83,364</w:t>
            </w:r>
          </w:p>
        </w:tc>
        <w:tc>
          <w:tcPr>
            <w:tcW w:w="3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860,816</w:t>
            </w:r>
          </w:p>
        </w:tc>
        <w:tc>
          <w:tcPr>
            <w:tcW w:w="2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(2,221 )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4"/>
                <w:szCs w:val="14"/>
                <w:color w:val="auto"/>
              </w:rPr>
              <w:t>(1,000,75</w:t>
            </w:r>
          </w:p>
        </w:tc>
        <w:tc>
          <w:tcPr>
            <w:tcW w:w="220" w:type="dxa"/>
            <w:vAlign w:val="bottom"/>
            <w:shd w:val="clear" w:color="auto" w:fill="CFF0FC"/>
          </w:tcPr>
          <w:p>
            <w:pPr>
              <w:spacing w:after="0"/>
              <w:rPr>
                <w:sz w:val="11"/>
                <w:szCs w:val="11"/>
                <w:color w:val="auto"/>
              </w:rPr>
            </w:pPr>
          </w:p>
        </w:tc>
        <w:tc>
          <w:tcPr>
            <w:tcW w:w="116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(3,132 )  $</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(5,977 )</w:t>
            </w:r>
          </w:p>
        </w:tc>
        <w:tc>
          <w:tcPr>
            <w:tcW w:w="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   (148,051 )</w:t>
            </w: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160" w:type="dxa"/>
            <w:vAlign w:val="bottom"/>
            <w:gridSpan w:val="3"/>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Conversion of redeemable preferred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92,931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357,174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(46,014 )</w:t>
            </w:r>
          </w:p>
        </w:tc>
        <w:tc>
          <w:tcPr>
            <w:tcW w:w="11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311,253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restricted stock, net of shares</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withheld</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(20 )</w:t>
            </w:r>
          </w:p>
        </w:tc>
        <w:tc>
          <w:tcPr>
            <w:tcW w:w="14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160" w:type="dxa"/>
            <w:vAlign w:val="bottom"/>
            <w:gridSpan w:val="3"/>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(4,119 )</w:t>
            </w:r>
          </w:p>
        </w:tc>
        <w:tc>
          <w:tcPr>
            <w:tcW w:w="12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(11,051 )</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(11,051 )</w:t>
            </w:r>
          </w:p>
        </w:tc>
        <w:tc>
          <w:tcPr>
            <w:tcW w:w="0" w:type="dxa"/>
            <w:vAlign w:val="bottom"/>
          </w:tcPr>
          <w:p>
            <w:pPr>
              <w:spacing w:after="0"/>
              <w:rPr>
                <w:sz w:val="1"/>
                <w:szCs w:val="1"/>
                <w:color w:val="auto"/>
              </w:rPr>
            </w:pPr>
          </w:p>
        </w:tc>
      </w:tr>
      <w:tr>
        <w:trPr>
          <w:trHeight w:val="55"/>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relinquished in litigation</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settlement</w:t>
            </w: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160" w:type="dxa"/>
            <w:vAlign w:val="bottom"/>
            <w:gridSpan w:val="3"/>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Merger consideration (1)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209,577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444,010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(32,157 )</w:t>
            </w:r>
          </w:p>
        </w:tc>
        <w:tc>
          <w:tcPr>
            <w:tcW w:w="1160" w:type="dxa"/>
            <w:vAlign w:val="bottom"/>
            <w:tcBorders>
              <w:bottom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(32,157 )</w:t>
            </w:r>
          </w:p>
        </w:tc>
        <w:tc>
          <w:tcPr>
            <w:tcW w:w="0" w:type="dxa"/>
            <w:vAlign w:val="bottom"/>
          </w:tcPr>
          <w:p>
            <w:pPr>
              <w:spacing w:after="0"/>
              <w:rPr>
                <w:sz w:val="1"/>
                <w:szCs w:val="1"/>
                <w:color w:val="auto"/>
              </w:rPr>
            </w:pPr>
          </w:p>
        </w:tc>
      </w:tr>
      <w:tr>
        <w:trPr>
          <w:trHeight w:val="188"/>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20" w:type="dxa"/>
            <w:vAlign w:val="bottom"/>
            <w:tcBorders>
              <w:bottom w:val="single" w:sz="8" w:color="auto"/>
            </w:tcBorders>
            <w:vMerge w:val="continue"/>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 March 31, 2024</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387,652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1,674,672</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(1,792 )</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(1,078,92</w:t>
            </w:r>
          </w:p>
        </w:tc>
        <w:tc>
          <w:tcPr>
            <w:tcW w:w="22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(7,251 )</w:t>
            </w:r>
          </w:p>
        </w:tc>
        <w:tc>
          <w:tcPr>
            <w:tcW w:w="12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(17,028 )</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577,316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104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 xml:space="preserve">(1) Merger consideration included 26,367 shares of common stock that were beneficially issued to a related party. See Note 17, </w:t>
      </w:r>
      <w:r>
        <w:rPr>
          <w:rFonts w:ascii="Times New Roman" w:cs="Times New Roman" w:eastAsia="Times New Roman" w:hAnsi="Times New Roman"/>
          <w:sz w:val="14"/>
          <w:szCs w:val="14"/>
          <w:i w:val="1"/>
          <w:iCs w:val="1"/>
          <w:color w:val="auto"/>
        </w:rPr>
        <w:t>Related Parties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800" w:type="dxa"/>
            <w:vAlign w:val="bottom"/>
            <w:gridSpan w:val="3"/>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8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Accum.</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Accum.</w:t>
            </w:r>
          </w:p>
        </w:tc>
        <w:tc>
          <w:tcPr>
            <w:tcW w:w="19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4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 Loss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79,904</w:t>
            </w:r>
          </w:p>
        </w:tc>
        <w:tc>
          <w:tcPr>
            <w:tcW w:w="880" w:type="dxa"/>
            <w:vAlign w:val="bottom"/>
            <w:gridSpan w:val="2"/>
            <w:shd w:val="clear" w:color="auto" w:fill="CFF0FC"/>
          </w:tcPr>
          <w:p>
            <w:pPr>
              <w:jc w:val="right"/>
              <w:ind w:right="47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80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847,008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(926,096 )</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(563 )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(81,467 )</w:t>
            </w:r>
          </w:p>
        </w:tc>
        <w:tc>
          <w:tcPr>
            <w:tcW w:w="0" w:type="dxa"/>
            <w:vAlign w:val="bottom"/>
          </w:tcPr>
          <w:p>
            <w:pPr>
              <w:spacing w:after="0"/>
              <w:rPr>
                <w:sz w:val="1"/>
                <w:szCs w:val="1"/>
                <w:color w:val="auto"/>
              </w:rPr>
            </w:pPr>
          </w:p>
        </w:tc>
      </w:tr>
      <w:tr>
        <w:trPr>
          <w:trHeight w:val="139"/>
        </w:trPr>
        <w:tc>
          <w:tcPr>
            <w:tcW w:w="31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restricted stock, net of shares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withheld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(93 )</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185"/>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(1,250 )</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(2,466 )</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(2,466 )</w:t>
            </w: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(16,843 )</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(16,843 )</w:t>
            </w: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March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80,324</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7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80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850,063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(1,328 )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(942,939 )</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(1,672 )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(3,029 )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(97,153 )</w:t>
            </w: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(32,157 )</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(16,843 )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Bargain purchase gain</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(25,213 )</w:t>
            </w:r>
          </w:p>
        </w:tc>
        <w:tc>
          <w:tcPr>
            <w:tcW w:w="9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items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(6,329 )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(1,087 )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(1,409 )</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(10,284 )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(1,751 )</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(4,453 )</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21"/>
                <w:szCs w:val="2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(62,476 )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(8,485 )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acquired in merger</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280,033</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(73,177 )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112,000</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(781 )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(1,010 )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318,075</w:t>
            </w: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(8,192 )</w:t>
            </w:r>
          </w:p>
        </w:tc>
        <w:tc>
          <w:tcPr>
            <w:tcW w:w="9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term loan fee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(545 )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(11,051 )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(2,466 )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(19,733 )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(2,558 )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9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235,845</w:t>
            </w:r>
          </w:p>
        </w:tc>
        <w:tc>
          <w:tcPr>
            <w:tcW w:w="28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288,344</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114,458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consideration transferred in connection with merger (1)</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444,219</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right-of-use assets and lease liabilities</w:t>
            </w:r>
          </w:p>
        </w:tc>
        <w:tc>
          <w:tcPr>
            <w:tcW w:w="9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-3950970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-3007995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-1748155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-1087755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 xml:space="preserve">(1) Equity consideration transferred in connection with merger included 26,367 shares of common stock that were beneficially issued to a related party. See Note 17, </w:t>
      </w:r>
      <w:r>
        <w:rPr>
          <w:rFonts w:ascii="Times New Roman" w:cs="Times New Roman" w:eastAsia="Times New Roman" w:hAnsi="Times New Roman"/>
          <w:sz w:val="14"/>
          <w:szCs w:val="14"/>
          <w:i w:val="1"/>
          <w:iCs w:val="1"/>
          <w:color w:val="auto"/>
        </w:rPr>
        <w:t>Related Parties</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Standard BioTools Inc. ("Standard BioTools" or the "Company") is a Delaware corporation headquartered in South San Francisco, California. The Company has an established portfolio of essential, standardized next-generation technologies that help biomedical researchers develop medicines faster and better. As a leading solutions provider, the Company endeavors to provide reliable and repeatable insights in health and disease using its proprietary mass cytometry and microfluidics technologies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January 5, 2024 (the "Closing Date"), the Company completed the previously announced merger (the "Merger") with SomaLogic, Inc. ("SomaLogic"). As a result, SomaLogic and its subsidiaries became wholly owned subsidiaries of Standard BioTools. Upon completion of the Merger, each share of SomaLogic common stock, par value $0.0001 per share (the "SomaLogic Common Stock"), was exchanged for 1.11 shares of the Company's common stock, par value $0.001 per share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Utilizing the SomaLogic proteomics platform, the Company now enables researchers to analyze various types of biological samples for protein biomarker signatures, which can be utilized in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-171450</wp:posOffset>
            </wp:positionV>
            <wp:extent cx="3079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and, in the opinion of management, all adjustments of a normal and recurring nature, necessary for fair financial statement presentation, have been included. Certain prior period amounts have been reclassified to conform to the current period presentation.</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2023 ("2023 Financial Statements") included in the Company's Annual Report on Form 10-K for the fiscal year ended December 31, 2023, filed with the SEC on March 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results are not necessarily indicative of the results to be expected for the full year ending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and the fair value of intangible assets acquired in business combinations.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 w:name="page10"/>
    <w:bookmarkEnd w:id="9"/>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Charges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records liabilities for costs associated with exit or disposal activities in the period in which the liability is incurred. Costs for involuntary separation programs are recorded when management has approved the plan for separation, the employees are identified and made aware of the benefits they are entitled to, it is unlikely that the plan will change significantly, and if applicable, any required governmental notification is made. Costs associated with benefits that are contingent on the employee continuing to provide service are recognized over the required service period. Costs associated with leased facilities (net of sublease income, if applicable) that the Company has vacated as part of a restructuring plan are also included.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When the fair value of net assets acquired and liabilities assumed exceeds the purchase price, the Company records a gain on bargain purchase in earnings in the period of acquisition. Determining the fair value of assets acquired and liabilities assumed in a business combination requires management to use significant judgment and estimates, especially with respect to intangible assets. Transaction costs, including legal, accounting, and integration expenses, are expensed as incurred and are included in operating expenses in the Company's condensed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capitalizes certain internal and external costs related to the acquisition and development of internal-use software or cloud computing arrangements during the application development stages of projects. The costs incurred for development of software intended for internal use and cloud computing arrangements are capitalized in accordance with authoritative accounting guidance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costs are included in property and equipment, net of accumulated depreciation and amortization in the condensed consolidated balance sheets.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When the software is ready for its intended use, the Company amortizes these costs using the straight-line method over the estimated useful life of the asset, typically three years, or, for cloud computing service arrangements, over the term of the hosting arrangement. Costs incurred during the preliminary project or the post-implementation/operation stages of the project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Developed for Sale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costs incurred for the development of computer software to be sold, leased, or otherwise marketed are capitalized in accordance with authoritative accounting guidance,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Capitalized software costs include direct labor and related expenses for software development for new products. Capitalized software costs are included in other long-term assets in the condensed consolidated balance sheets. Amortization of capitalized software development costs begins when the product is available for general release. Amortization is provided on a product-by-product basis using the straight-line method over periods of three years. Unamortized capitalized software development costs determined to be in excess of the net realizable value of the product are expensed immediately. Capitalized software costs are subject to an ongoing assessment of recoverability based on anticipated future revenues and changes in software technologies at each balance sheet date.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Company generates product revenue from the sale of instruments and consumables, including Integrated Fluidic Circuits and reagents.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60 days.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from the sales of certain instruments that involve significant customization, which primarily includes sales of the SomaScan® equipment bundle, is recognized over time as the Company's performance creates an asset that the customer simultaneously controls (the instrument installation and customization occurs at the customer site). Revenue is recognized based on the progress made toward achieving the performance obligation utilizing an input method of costs incurred relative to total estimated costs.</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sometimes perform shipping and handling activities after control of the product passes to the customer. The Company has made an accounting policy election to account for these activities as product fulfillment activities rather than as separate performance obligations.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generates services revenue primarily from the sale of SomaScan® services. Assay services revenue is generated by performing the SomaScan® assay on customer samples to generate data on protein biomarkers. Assay services revenue is recognized at a point in time when the analysis data or report is delivered to the customer. SomaScan® services are sold at a fixed price per sample without any volume discounts, rebates, or refunds. The delivery of each assay data report is a separate performance obligation.</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generates services revenue from repairs, maintenance, installation, training, and other specialized product support services. Revenue is recognized at the point in time the work is completed. Installation and training services are generally billed in advance of service. Repairs and other services are generally billed at the point the work is completed.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Service revenues also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 service on a monthly, quarterly, annual or multi-year basis. Payments collected in advance of service are reported on the Company's condensed consolidated balance sheets as deferred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the Company enters into collaboration arrangements in which both parties are active participants in the arrangement and are exposed to the significant risks and rewards of the collaboration, in which case the collaboration is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With such collaborations, the Company determines if any obligations are an output of the Company's ordinary activities in exchange for consideration, and if so, the Company applies ASC 606 to such activities.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ind w:right="80"/>
        <w:spacing w:after="0" w:line="282" w:lineRule="auto"/>
        <w:rPr>
          <w:sz w:val="20"/>
          <w:szCs w:val="20"/>
          <w:color w:val="auto"/>
        </w:rPr>
      </w:pPr>
      <w:r>
        <w:rPr>
          <w:rFonts w:ascii="Times New Roman" w:cs="Times New Roman" w:eastAsia="Times New Roman" w:hAnsi="Times New Roman"/>
          <w:sz w:val="18"/>
          <w:szCs w:val="18"/>
          <w:color w:val="auto"/>
        </w:rPr>
        <w:t>For other payments received from collaborative partners for other collaboration activities, which primarily include research and development activities, the Company analogizes to ASC 606. Revenue from such activities is recognized as the Company satisfies its obligations.</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Other revenue consists of license and royalty revenue and grant revenue. The Company recognizes revenue from license agreements when the license is transferred to the customer and the customer is able to use and benefit from the license. For contracts that include sales-based royalties, the Company recognizes revenue at the later of (i) when the related sales occur, or (ii) when the performance obligation to which some or all of the royalty has been allocated has been satisfied.</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receives grants from various entities to perform research and development activities over contractually defined periods. Grant revenue is not accounted for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grant agreement is not with a customer. As there is no authoritative GAAP guidance for grants awarded to for-profit entities, the Company has applied the guidance in ASC Topic 958, </w:t>
      </w:r>
      <w:r>
        <w:rPr>
          <w:rFonts w:ascii="Times New Roman" w:cs="Times New Roman" w:eastAsia="Times New Roman" w:hAnsi="Times New Roman"/>
          <w:sz w:val="18"/>
          <w:szCs w:val="18"/>
          <w:i w:val="1"/>
          <w:iCs w:val="1"/>
          <w:color w:val="auto"/>
        </w:rPr>
        <w:t>Not-for-Profit Entities</w:t>
      </w:r>
      <w:r>
        <w:rPr>
          <w:rFonts w:ascii="Times New Roman" w:cs="Times New Roman" w:eastAsia="Times New Roman" w:hAnsi="Times New Roman"/>
          <w:sz w:val="18"/>
          <w:szCs w:val="18"/>
          <w:color w:val="auto"/>
        </w:rPr>
        <w:t xml:space="preserve"> by analogy. Revenue is generally recognized provided that the conditions under which the grants were provided have been met and any remaining performance obligations are perfunctory.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Merger, the Company assumed warrant liabilities for the warrants issued in connection with the initial public offering CM Life Sciences II Inc ("CMLS II"), SomaLogic's predecessor company. CMLS II issued 5,519,991 warrants (the “Public Warrants”) to purchase shares of Common Stock at $11.50 per share. Simultaneously, with the consummation of the CMLS II initial public offering, CMLS II issued 5,013,333 warrants through a private placement (the “Private Placement Warrants”, and together with the Public Warrants, the “Warrants”) to purchase shares of SomaLogic Common Stock at $11.50 per share. As of the Closing Date, the Warrants converted into the right to receive, upon exercise of such Warrant, 1.11 shares of Standard BioTools common stock. The Public Warrants are no longer publicly traded and are now identical to the Private Placement Warrants.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Warrants are classified as liabilities on the condensed consolidated balance sheet as of March 31, 2024 as these instruments are precluded from being indexed to the Company's own stock given that the terms allow for a settlement adjustment that does not meet the scope for the fixed-for-fixed exception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Since the Warrants meet the definition of a derivative under ASC 815-40, the Company recorded these warrants as long-term liabilities at fair value as of the Closing Date, with subsequent changes in fair value recognized within other income (expense), net in the condensed consolidated statement of operations for the three months ended March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through two reportable operating segments: proteomics and genomics. Segment information is consistent with how management reviews the business, makes investing and resource allocation decisions and assesses performance. The Company's chief operating decision maker ("CODM"), its chief executive officer, assesses performance of operating segments and determines the allocation of resources based primarily on segment operating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Changes and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 Improvements to Reportable Segment Disclosures</w:t>
      </w:r>
      <w:r>
        <w:rPr>
          <w:rFonts w:ascii="Times New Roman" w:cs="Times New Roman" w:eastAsia="Times New Roman" w:hAnsi="Times New Roman"/>
          <w:sz w:val="18"/>
          <w:szCs w:val="18"/>
          <w:color w:val="auto"/>
        </w:rPr>
        <w:t>, which requires disclosure of more detailed information about a reportable segment’s expenses. The new standard is effective for fiscal years beginning after December 15, 2023 and interim periods beginning after December 15, 2024. The amendments must be applied retrospectively, and early adoption is permitted. The Company is currently assessing the effects of adoption on its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Improvements to Income Tax Disclosures</w:t>
      </w:r>
      <w:r>
        <w:rPr>
          <w:rFonts w:ascii="Times New Roman" w:cs="Times New Roman" w:eastAsia="Times New Roman" w:hAnsi="Times New Roman"/>
          <w:sz w:val="18"/>
          <w:szCs w:val="18"/>
          <w:color w:val="auto"/>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effects of adoption on its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 Business Combination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Upon completion of the Merger, each share of SomaLogic Common Stock was exchanged for 1.11 shares of the Company's common stock. The fair value of the Company's common stock provided in exchange for SomaLogic Common Stock was approximately $419.2 million.</w:t>
      </w:r>
    </w:p>
    <w:p>
      <w:pPr>
        <w:spacing w:after="0" w:line="162"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Purchase consideration also included replacement of equity awards attributable to pre-combination services. The acquisition-date fair value of consideration transferred in the Merger totaled $444.2 million, comprising the following:</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SomaLogic Common Stock issued and outstanding as of January 5, 2024</w:t>
            </w:r>
          </w:p>
        </w:tc>
        <w:tc>
          <w:tcPr>
            <w:tcW w:w="6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188,808</w:t>
            </w:r>
          </w:p>
        </w:tc>
        <w:tc>
          <w:tcPr>
            <w:tcW w:w="100" w:type="dxa"/>
            <w:vAlign w:val="bottom"/>
            <w:shd w:val="clear" w:color="auto" w:fill="CFF0FC"/>
          </w:tcPr>
          <w:p>
            <w:pPr>
              <w:spacing w:after="0"/>
              <w:rPr>
                <w:sz w:val="21"/>
                <w:szCs w:val="21"/>
                <w:color w:val="auto"/>
              </w:rPr>
            </w:pPr>
          </w:p>
        </w:tc>
      </w:tr>
      <w:tr>
        <w:trPr>
          <w:trHeight w:val="23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exchange ratio</w:t>
            </w: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r>
      <w:tr>
        <w:trPr>
          <w:trHeight w:val="241"/>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of Standard BioTools common stock issued to SomaLogic shareholders</w:t>
            </w: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209,577</w:t>
            </w:r>
          </w:p>
        </w:tc>
        <w:tc>
          <w:tcPr>
            <w:tcW w:w="100" w:type="dxa"/>
            <w:vAlign w:val="bottom"/>
            <w:shd w:val="clear" w:color="auto" w:fill="CFF0FC"/>
          </w:tcPr>
          <w:p>
            <w:pPr>
              <w:spacing w:after="0"/>
              <w:rPr>
                <w:sz w:val="20"/>
                <w:szCs w:val="20"/>
                <w:color w:val="auto"/>
              </w:rPr>
            </w:pPr>
          </w:p>
        </w:tc>
      </w:tr>
      <w:tr>
        <w:trPr>
          <w:trHeight w:val="23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BioTools common stock price at close of Merger</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r>
      <w:tr>
        <w:trPr>
          <w:trHeight w:val="241"/>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Standard BioTools common stock issued to SomaLogic shareholders</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419,154</w:t>
            </w:r>
          </w:p>
        </w:tc>
        <w:tc>
          <w:tcPr>
            <w:tcW w:w="100" w:type="dxa"/>
            <w:vAlign w:val="bottom"/>
            <w:shd w:val="clear" w:color="auto" w:fill="CFF0FC"/>
          </w:tcPr>
          <w:p>
            <w:pPr>
              <w:spacing w:after="0"/>
              <w:rPr>
                <w:sz w:val="20"/>
                <w:szCs w:val="20"/>
                <w:color w:val="auto"/>
              </w:rPr>
            </w:pPr>
          </w:p>
        </w:tc>
      </w:tr>
      <w:tr>
        <w:trPr>
          <w:trHeight w:val="23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Standard BioTools replacement equity awards attributable to pre-combination service</w:t>
            </w:r>
          </w:p>
        </w:tc>
        <w:tc>
          <w:tcPr>
            <w:tcW w:w="6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100" w:type="dxa"/>
            <w:vAlign w:val="bottom"/>
          </w:tcPr>
          <w:p>
            <w:pPr>
              <w:spacing w:after="0"/>
              <w:rPr>
                <w:sz w:val="20"/>
                <w:szCs w:val="20"/>
                <w:color w:val="auto"/>
              </w:rPr>
            </w:pPr>
          </w:p>
        </w:tc>
      </w:tr>
      <w:tr>
        <w:trPr>
          <w:trHeight w:val="243"/>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Fair value of restricted shares subject to service conditions</w:t>
            </w:r>
          </w:p>
        </w:tc>
        <w:tc>
          <w:tcPr>
            <w:tcW w:w="6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(1,858 )</w:t>
            </w:r>
          </w:p>
        </w:tc>
      </w:tr>
      <w:tr>
        <w:trPr>
          <w:trHeight w:val="236"/>
        </w:trPr>
        <w:tc>
          <w:tcPr>
            <w:tcW w:w="9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444,219</w:t>
            </w:r>
          </w:p>
        </w:tc>
        <w:tc>
          <w:tcPr>
            <w:tcW w:w="100" w:type="dxa"/>
            <w:vAlign w:val="bottom"/>
            <w:tcBorders>
              <w:top w:val="single" w:sz="8" w:color="CFF0FC"/>
            </w:tcBorders>
          </w:tcPr>
          <w:p>
            <w:pPr>
              <w:spacing w:after="0"/>
              <w:rPr>
                <w:sz w:val="20"/>
                <w:szCs w:val="20"/>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Merger as a business combination, using the acquisition method of accounting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identifiable assets acquired and liabilities assumed of SomaLogic were recorded at their estimated fair values as of the acquisition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consolidated with those of Standard BioTools. The following table reflects the preliminary allocation of consideration transferred to the identifiable assets acquired and liabilities assumed based on the estimated fair values as of the Closing Date: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9"/>
        </w:trPr>
        <w:tc>
          <w:tcPr>
            <w:tcW w:w="9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148,305</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inventory</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Royalty receivable</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00" w:type="dxa"/>
            <w:vAlign w:val="bottom"/>
          </w:tcPr>
          <w:p>
            <w:pPr>
              <w:spacing w:after="0"/>
              <w:rPr>
                <w:sz w:val="20"/>
                <w:szCs w:val="20"/>
                <w:color w:val="auto"/>
              </w:rPr>
            </w:pPr>
          </w:p>
        </w:tc>
      </w:tr>
      <w:tr>
        <w:trPr>
          <w:trHeight w:val="241"/>
        </w:trPr>
        <w:tc>
          <w:tcPr>
            <w:tcW w:w="9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6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533,287</w:t>
            </w:r>
          </w:p>
        </w:tc>
        <w:tc>
          <w:tcPr>
            <w:tcW w:w="100" w:type="dxa"/>
            <w:vAlign w:val="bottom"/>
            <w:shd w:val="clear" w:color="auto" w:fill="CFF0FC"/>
          </w:tcPr>
          <w:p>
            <w:pPr>
              <w:spacing w:after="0"/>
              <w:rPr>
                <w:sz w:val="20"/>
                <w:szCs w:val="20"/>
                <w:color w:val="auto"/>
              </w:rPr>
            </w:pPr>
          </w:p>
        </w:tc>
      </w:tr>
      <w:tr>
        <w:trPr>
          <w:trHeight w:val="24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9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Warrant liabilities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8"/>
        </w:trPr>
        <w:tc>
          <w:tcPr>
            <w:tcW w:w="9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63,855</w:t>
            </w:r>
          </w:p>
        </w:tc>
        <w:tc>
          <w:tcPr>
            <w:tcW w:w="100" w:type="dxa"/>
            <w:vAlign w:val="bottom"/>
          </w:tcPr>
          <w:p>
            <w:pPr>
              <w:spacing w:after="0"/>
              <w:rPr>
                <w:sz w:val="21"/>
                <w:szCs w:val="21"/>
                <w:color w:val="auto"/>
              </w:rPr>
            </w:pPr>
          </w:p>
        </w:tc>
      </w:tr>
      <w:tr>
        <w:trPr>
          <w:trHeight w:val="250"/>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on bargain purchase</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(25,213 )</w:t>
            </w:r>
          </w:p>
        </w:tc>
      </w:tr>
      <w:tr>
        <w:trPr>
          <w:trHeight w:val="20"/>
        </w:trPr>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exceeded the fair value of the consideration transferred, resulting in a bargain purchase gain. Before recognizing a gain on a bargain purchase, management reassessed the methods used in the acquisition accounting and verified that management had identified all of the assets acquired and all of the liabilities assumed, and that there were no additional assets or liabilities to be considered. Management also reassessed the procedures used to measure amounts recognized at the Closing Date to ensure that the measurements reflected all consideration transferred based on available information as of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3" w:name="page14"/>
    <w:bookmarkEnd w:id="13"/>
    <w:p>
      <w:pPr>
        <w:ind w:right="200"/>
        <w:spacing w:after="0" w:line="261" w:lineRule="auto"/>
        <w:rPr>
          <w:sz w:val="20"/>
          <w:szCs w:val="20"/>
          <w:color w:val="auto"/>
        </w:rPr>
      </w:pPr>
      <w:r>
        <w:rPr>
          <w:rFonts w:ascii="Times New Roman" w:cs="Times New Roman" w:eastAsia="Times New Roman" w:hAnsi="Times New Roman"/>
          <w:sz w:val="18"/>
          <w:szCs w:val="18"/>
          <w:color w:val="auto"/>
        </w:rPr>
        <w:t>Closing Date. Management determined that the bargain purchase gain was primarily attributable to a rapid decline in the price of Standard BioTools' common stock in the days following the announcement of the Merger, which persisted through the close of the Merger. The bargain purchase gain is separately stated below income from operations in the accompanying condensed consolidated statements of operations for the three months ended March 31, 2024.</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preliminary fair value estimates of the net assets acquired are based upon preliminary calculations and valuations and are subject to change as the Company obtains additional information during the measurement period (up to one year from the Closing Date).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acquired consisted of developed technology, customer relationships, and tradename. The fair values of the developed technology and customer relationships were estimated using variations of the multi-period excess earnings method, which isolates the net earnings attributable to the asset being measured. The fair value of the SomaLogic trade name was estimated using the relief-from-royalty method, which determines the present value of license fees avoided by owning the trade name. The useful lives of acquired intangibles was estimated based on the contractual terms or period over which approximately 85% to 90% of the cumulative discounted cash flows would be realized, depending on the nature of the asset. The valuation of the intangible assets acquired in connection with the Merger, along with their estimated useful lives,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years</w:t>
            </w: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years</w:t>
            </w:r>
          </w:p>
        </w:tc>
      </w:tr>
      <w:tr>
        <w:trPr>
          <w:trHeight w:val="232"/>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fair value of intangible assets acquired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incurred $1.9 million of transaction bonuses recorded in selling, general, and administrative expenses on the condensed consolidated statement of operations. Additionally, the Company incurred $12.3 million of acquisition-related transaction costs reflected in transaction and integration expenses on the condensed consolidated statement of operations for the three months ended March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Results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summarizes the combined results of operations for Standard BioTools and SomaLogic, as if the companies were combined as of January 1, 2023.</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information for the three months ended March 31, 2024 combines the Company's financial results for the three months ended March 31, 2024 and the historical results of SomaLogic for the 5-day period ended on the Closing Date. The unaudited pro forma financial information for the three months ended March 31, 2023 combines the historical results of the Company and SomaLogic for their respective three-month period ended March 31, 2023. The pro forma financial information for the three months ended March 31, 2023 has been adjusted to include certain nonrecurring impacts associated with the merger, including the bargain purchase gain and transaction costs. These same impacts have been eliminated from the pro forma financial information for the three months ended March 31, 2024.</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as presented below is for informational purposes only and is not necessarily indicative of the results of operations that would have been achieved if the acquisitions had taken place on January 1, 2023.</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16510</wp:posOffset>
            </wp:positionV>
            <wp:extent cx="2160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left="836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2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45,498</w:t>
            </w: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(50,019 )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(45,053 )</w:t>
            </w:r>
          </w:p>
        </w:tc>
      </w:tr>
    </w:tbl>
    <w:p>
      <w:pPr>
        <w:spacing w:after="0" w:line="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results of SomaLogic have been consolidated with the Company's results since the Closing Date. For the period of January 6, 2024 to March 31, 2024, SomaLogic contributed revenue and loss of $23.9 million and $15.3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and Geographic Area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 by Product Type and Geographic Area</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three months ended March 31, 2024 and 2023, respectively, based on product type and the geographic location of customers’ facilities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0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2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Consumables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SomaScan assay kits and related</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product revenue</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Assay services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Instrument support services</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44,619</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772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24,664</w:t>
            </w:r>
          </w:p>
        </w:tc>
        <w:tc>
          <w:tcPr>
            <w:tcW w:w="12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12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-1533525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Illumina Cambridge, Ltd.</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Company assumed a multi-year arrangement with Illumina Cambridge, Ltd. ("Illumina"), originally entered into by SomaLogic and Illumina in December 2021 (the "Illumina Agreement), to jointly develop and commercialize co-branded kits that will combine Illumina's Next Generation Sequencing ("NGS") technology with SomaScan® technology (the "Co-Branded Kits"). Pursuant to the Illumina Agreement, SomaLogic received a non-refundable upfront payment of $30.0 million in January 2022. Subsequent to executing the Illumina Agreement, Illumina paid an additional $0.5 million to purchase the equipment, supplies and training necessary to run the SomaScan® assay at their facilities, representing a modification to the Illumina Agreement. As of the Closing Date, the Company determined that the transaction price of the Illumina Agreement was $30.5 million. Subsequent to commercialization, the Company is entitled to receive $124.5 million of minimum guaranteed royalties through the term of the Illumina Agreement. No royalties were included in the Illumina transaction price as of the Closing Date as probability of commercialization had not been achieved.</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Subsequent to commercialization of the Co-Branded Kits, Illumina has the right to purchase SOMAmer reagents below SSP through the remaining term of the Illumina Agreement, which will continue for approximately 8 years after commercialization. Illumina's option to purchase SOMAmer reagents below SSP for this period represents a significant material right (the "Material Right"). As of the Closing Date, the Company allocated $30.4 million of the Illumina transaction price to the Material Right, which will be recognized as revenue as Illumina purchases SOMAmer reagents post commercialization.</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March 31, 2024, the Company determined that commercialization of the Co-Branded Kits is probable due to the launch of an early-access program, and adjusted the transaction price to include $127.9 million of royalties expected to be received from 2025 through 2032. The Company allocated $0.4 million of the adjusted transaction price to satisfy performance obligations,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5" w:name="page16"/>
    <w:bookmarkEnd w:id="15"/>
    <w:p>
      <w:pPr>
        <w:ind w:right="80"/>
        <w:spacing w:after="0" w:line="266" w:lineRule="auto"/>
        <w:rPr>
          <w:sz w:val="20"/>
          <w:szCs w:val="20"/>
          <w:color w:val="auto"/>
        </w:rPr>
      </w:pPr>
      <w:r>
        <w:rPr>
          <w:rFonts w:ascii="Times New Roman" w:cs="Times New Roman" w:eastAsia="Times New Roman" w:hAnsi="Times New Roman"/>
          <w:sz w:val="18"/>
          <w:szCs w:val="18"/>
          <w:color w:val="auto"/>
        </w:rPr>
        <w:t>recognized that amount as revenue on a cumulative catch-up basis. The total transaction price of the Illumina Agreement as adjusted is $158.4 million. Substantially all of the transaction price is allocated to the Material Right, which the Company expects to recognize as revenue over an 8-year period from 2025 through 2032.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NEC Corporation</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Merger, the Company assumed a joint development and commercialization agreement (the "JDCA") with NEC Solution Innovators, Ltd. ("NES"), originally entered into by SomaLogic and NES in March 2020, to develop and commercialize SomaScan® services in Japan. The JDCA is within the scope of ASC 808 as both companies are active participants and are exposed to significant rewards and risks dependent on commercial failure or success, and is accounted for by analogy to ASC 606.</w:t>
      </w:r>
    </w:p>
    <w:p>
      <w:pPr>
        <w:spacing w:after="0" w:line="18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Under the JDCA, the Company is entitled to receive $2.0 million in exchange for research and development services, all of which will be received during 2024. In connection with the Merger, the Company assumed certain contract liabilities and recorded $1.8 million of deferred revenue as of the Closing Date. As of March 31, 2024, deferred revenue related to the JDCA was $1.1 million, which is expected to be fully recognized by March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England Biolabs, Inc.</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Also in connection with the Merger, the Company assumed a non-exclusive licensing agreement with New England Biolabs, Inc. ("NEB"), originally entered into by SomaLogic and NEB in September 2022 (the "License Agreement"), whereby the Company provides a license to use certain proprietary information and know-how relating to the Company's aptamer technology. Under the License Agreement, the Company is guaranteed fixed minimum royalties of $9.4 million to be received through September 2025. No revenue related to the guaranteed fixed minimum royalties will be recognized, as all revenue related to the receivable was recognized by SomaLogic prior to the Merger. Any revenue above the guaranteed fixed minimum royalties will be recognized in the period in which the subsequent sale or usage has occurred. As of March 31, 2024, royalties receivable related to this agreement were $8.6 million, including a current and non-current portion of $4.2 million and $4.4 million,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Unfulfilled Performance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deferred revenue is as follows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NEC</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Illumina</w:t>
            </w:r>
          </w:p>
        </w:tc>
        <w:tc>
          <w:tcPr>
            <w:tcW w:w="22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at December 31, 2023</w:t>
            </w:r>
          </w:p>
        </w:tc>
        <w:tc>
          <w:tcPr>
            <w:tcW w:w="720" w:type="dxa"/>
            <w:vAlign w:val="bottom"/>
            <w:tcBorders>
              <w:top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100" w:type="dxa"/>
            <w:vAlign w:val="bottom"/>
            <w:shd w:val="clear" w:color="auto" w:fill="CFF0FC"/>
          </w:tcPr>
          <w:p>
            <w:pPr>
              <w:spacing w:after="0"/>
              <w:rPr>
                <w:sz w:val="20"/>
                <w:szCs w:val="20"/>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assumed in connection with merger</w:t>
            </w: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34,189</w:t>
            </w:r>
          </w:p>
        </w:tc>
        <w:tc>
          <w:tcPr>
            <w:tcW w:w="100" w:type="dxa"/>
            <w:vAlign w:val="bottom"/>
          </w:tcPr>
          <w:p>
            <w:pPr>
              <w:spacing w:after="0"/>
              <w:rPr>
                <w:sz w:val="20"/>
                <w:szCs w:val="20"/>
                <w:color w:val="auto"/>
              </w:rPr>
            </w:pPr>
          </w:p>
        </w:tc>
      </w:tr>
      <w:tr>
        <w:trPr>
          <w:trHeight w:val="215"/>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revenue from beginning or assumed deferred revenue</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w:t>
            </w:r>
          </w:p>
        </w:tc>
        <w:tc>
          <w:tcPr>
            <w:tcW w:w="7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(722 )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(4,659 )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(5,787 )</w:t>
            </w: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the period, net of revenue recognized</w:t>
            </w:r>
          </w:p>
        </w:tc>
        <w:tc>
          <w:tcPr>
            <w:tcW w:w="7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20"/>
                <w:szCs w:val="20"/>
                <w:color w:val="auto"/>
              </w:rPr>
            </w:pPr>
          </w:p>
        </w:tc>
      </w:tr>
      <w:tr>
        <w:trPr>
          <w:trHeight w:val="27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at March 31, 2024</w:t>
            </w:r>
          </w:p>
        </w:tc>
        <w:tc>
          <w:tcPr>
            <w:tcW w:w="72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1,051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recognize revenue from unfulfilled performance obligations associated with service contracts that were partially completed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in the following periods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 w:type="dxa"/>
            <w:vAlign w:val="bottom"/>
          </w:tcPr>
          <w:p>
            <w:pPr>
              <w:spacing w:after="0"/>
              <w:rPr>
                <w:sz w:val="18"/>
                <w:szCs w:val="18"/>
                <w:color w:val="auto"/>
              </w:rPr>
            </w:pPr>
          </w:p>
        </w:tc>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xml:space="preserve">Expected Revenue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8"/>
                <w:szCs w:val="18"/>
                <w:color w:val="auto"/>
              </w:rPr>
            </w:pPr>
          </w:p>
        </w:tc>
      </w:tr>
      <w:tr>
        <w:trPr>
          <w:trHeight w:val="237"/>
        </w:trPr>
        <w:tc>
          <w:tcPr>
            <w:tcW w:w="80" w:type="dxa"/>
            <w:vAlign w:val="bottom"/>
          </w:tcPr>
          <w:p>
            <w:pPr>
              <w:spacing w:after="0"/>
              <w:rPr>
                <w:sz w:val="20"/>
                <w:szCs w:val="20"/>
                <w:color w:val="auto"/>
              </w:rPr>
            </w:pPr>
          </w:p>
        </w:tc>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shd w:val="clear" w:color="auto" w:fill="CFF0FC"/>
          </w:tcPr>
          <w:p>
            <w:pPr>
              <w:spacing w:after="0"/>
              <w:rPr>
                <w:sz w:val="20"/>
                <w:szCs w:val="20"/>
                <w:color w:val="auto"/>
              </w:rPr>
            </w:pPr>
          </w:p>
        </w:tc>
      </w:tr>
      <w:tr>
        <w:trPr>
          <w:trHeight w:val="239"/>
        </w:trPr>
        <w:tc>
          <w:tcPr>
            <w:tcW w:w="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FF0FC"/>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0"/>
                <w:szCs w:val="20"/>
                <w:color w:val="auto"/>
              </w:rPr>
            </w:pPr>
          </w:p>
        </w:tc>
      </w:tr>
      <w:tr>
        <w:trPr>
          <w:trHeight w:val="277"/>
        </w:trPr>
        <w:tc>
          <w:tcPr>
            <w:tcW w:w="80" w:type="dxa"/>
            <w:vAlign w:val="bottom"/>
          </w:tcPr>
          <w:p>
            <w:pPr>
              <w:spacing w:after="0"/>
              <w:rPr>
                <w:sz w:val="24"/>
                <w:szCs w:val="24"/>
                <w:color w:val="auto"/>
              </w:rPr>
            </w:pPr>
          </w:p>
        </w:tc>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100" w:type="dxa"/>
            <w:vAlign w:val="bottom"/>
            <w:shd w:val="clear" w:color="auto" w:fill="CFF0FC"/>
          </w:tcPr>
          <w:p>
            <w:pPr>
              <w:spacing w:after="0"/>
              <w:rPr>
                <w:sz w:val="24"/>
                <w:szCs w:val="24"/>
                <w:color w:val="auto"/>
              </w:rPr>
            </w:pPr>
          </w:p>
        </w:tc>
      </w:tr>
      <w:tr>
        <w:trPr>
          <w:trHeight w:val="120"/>
        </w:trPr>
        <w:tc>
          <w:tcPr>
            <w:tcW w:w="80" w:type="dxa"/>
            <w:vAlign w:val="bottom"/>
            <w:tcBorders>
              <w:bottom w:val="single" w:sz="8" w:color="auto"/>
            </w:tcBorders>
          </w:tcPr>
          <w:p>
            <w:pPr>
              <w:spacing w:after="0"/>
              <w:rPr>
                <w:sz w:val="10"/>
                <w:szCs w:val="10"/>
                <w:color w:val="auto"/>
              </w:rPr>
            </w:pPr>
          </w:p>
        </w:tc>
        <w:tc>
          <w:tcPr>
            <w:tcW w:w="2920" w:type="dxa"/>
            <w:vAlign w:val="bottom"/>
            <w:tcBorders>
              <w:top w:val="single" w:sz="8" w:color="CFF0FC"/>
              <w:bottom w:val="single" w:sz="8" w:color="auto"/>
            </w:tcBorders>
          </w:tcPr>
          <w:p>
            <w:pPr>
              <w:spacing w:after="0"/>
              <w:rPr>
                <w:sz w:val="10"/>
                <w:szCs w:val="10"/>
                <w:color w:val="auto"/>
              </w:rPr>
            </w:pPr>
          </w:p>
        </w:tc>
        <w:tc>
          <w:tcPr>
            <w:tcW w:w="60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-119380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-102235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520" w:right="48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also has unsatisfied performance obligations for service contracts with an expected term of one year or less not included in the amounts above.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sectPr>
      </w:pPr>
    </w:p>
    <w:bookmarkStart w:id="16" w:name="page17"/>
    <w:bookmarkEnd w:id="1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net consisted of the following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1"/>
                <w:szCs w:val="11"/>
                <w:color w:val="auto"/>
              </w:rPr>
            </w:pPr>
          </w:p>
        </w:tc>
        <w:tc>
          <w:tcPr>
            <w:tcW w:w="1180" w:type="dxa"/>
            <w:vAlign w:val="bottom"/>
            <w:gridSpan w:val="2"/>
          </w:tcPr>
          <w:p>
            <w:pPr>
              <w:jc w:val="right"/>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(117,792 )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19,444</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117,354</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(115,954 )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(98 )</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(52 )</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142,736</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(117,942 )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117,354</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(115,954 )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-156845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-156845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-156845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-156845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-156845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amortization expense of the Company's acquired intangible assets was $2.1 million and $2.8 million for the three months ended March 31, 2024 and 2023, respectively. There were no indicators of impairment of goodwill, long-lived assets or intangible assets during the three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future expected amortization expense of acquired intangible assets, net was as follows (in thousands):</w:t>
      </w: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Fiscal Period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6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34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80" w:type="dxa"/>
            <w:vAlign w:val="bottom"/>
          </w:tcPr>
          <w:p>
            <w:pPr>
              <w:spacing w:after="0"/>
              <w:rPr>
                <w:sz w:val="24"/>
                <w:szCs w:val="24"/>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24,794</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565"/>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r>
      <w:tr>
        <w:trPr>
          <w:trHeight w:val="23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287,057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51,704</w:t>
            </w:r>
          </w:p>
        </w:tc>
        <w:tc>
          <w:tcPr>
            <w:tcW w:w="60" w:type="dxa"/>
            <w:vAlign w:val="bottom"/>
            <w:shd w:val="clear" w:color="auto" w:fill="CFF0FC"/>
          </w:tcPr>
          <w:p>
            <w:pPr>
              <w:spacing w:after="0"/>
              <w:rPr>
                <w:sz w:val="20"/>
                <w:szCs w:val="20"/>
                <w:color w:val="auto"/>
              </w:rPr>
            </w:pPr>
          </w:p>
        </w:tc>
      </w:tr>
      <w:tr>
        <w:trPr>
          <w:trHeight w:val="23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tcPr>
          <w:p>
            <w:pPr>
              <w:spacing w:after="0"/>
              <w:rPr>
                <w:sz w:val="20"/>
                <w:szCs w:val="20"/>
                <w:color w:val="auto"/>
              </w:rPr>
            </w:pPr>
          </w:p>
        </w:tc>
      </w:tr>
      <w:tr>
        <w:trPr>
          <w:trHeight w:val="277"/>
        </w:trPr>
        <w:tc>
          <w:tcPr>
            <w:tcW w:w="6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288,344</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4"/>
                <w:szCs w:val="24"/>
                <w:color w:val="auto"/>
              </w:rPr>
            </w:pPr>
          </w:p>
        </w:tc>
        <w:tc>
          <w:tcPr>
            <w:tcW w:w="178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52,499</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-1559560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-1542415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Restricted cash of $1.3 million and $0.8 million is included in other non-current assets on the condensed consolidated balance sheets as of March 31, 2024, and December 31, 2023, respectively.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940" w:type="dxa"/>
            <w:vAlign w:val="bottom"/>
            <w:gridSpan w:val="2"/>
            <w:shd w:val="clear" w:color="auto" w:fill="CFF0FC"/>
          </w:tcPr>
          <w:p>
            <w:pPr>
              <w:jc w:val="right"/>
              <w:ind w:right="13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32,181</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receivable, current</w:t>
            </w:r>
          </w:p>
        </w:tc>
        <w:tc>
          <w:tcPr>
            <w:tcW w:w="2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3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(488 )</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4"/>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80" w:type="dxa"/>
            <w:vAlign w:val="bottom"/>
            <w:tcBorders>
              <w:top w:val="single" w:sz="8" w:color="CFF0FC"/>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36,012</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8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42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-1010920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shd w:val="clear" w:color="auto" w:fill="CFF0FC"/>
          </w:tcPr>
          <w:p>
            <w:pPr>
              <w:jc w:val="right"/>
              <w:ind w:right="13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42,371</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5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10,595</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540" w:type="dxa"/>
            <w:vAlign w:val="bottom"/>
          </w:tcPr>
          <w:p>
            <w:pPr>
              <w:jc w:val="right"/>
              <w:ind w:right="13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53,621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current</w:t>
            </w:r>
          </w:p>
        </w:tc>
        <w:tc>
          <w:tcPr>
            <w:tcW w:w="1540" w:type="dxa"/>
            <w:vAlign w:val="bottom"/>
            <w:shd w:val="clear" w:color="auto" w:fill="CFF0FC"/>
          </w:tcPr>
          <w:p>
            <w:pPr>
              <w:jc w:val="right"/>
              <w:ind w:right="13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40,359</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shd w:val="clear" w:color="auto" w:fill="CFF0FC"/>
          </w:tcPr>
          <w:p>
            <w:pPr>
              <w:spacing w:after="0"/>
              <w:rPr>
                <w:sz w:val="19"/>
                <w:szCs w:val="19"/>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Inventory, non-current</w:t>
            </w:r>
          </w:p>
        </w:tc>
        <w:tc>
          <w:tcPr>
            <w:tcW w:w="1540" w:type="dxa"/>
            <w:vAlign w:val="bottom"/>
          </w:tcPr>
          <w:p>
            <w:pPr>
              <w:jc w:val="right"/>
              <w:ind w:right="13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13,262</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-490855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-490855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recorded charges for excess and obsolete inventory of $0.7 million and $0.4 million for the three months ended March 31,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57,980</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3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(62,831 )</w:t>
            </w:r>
          </w:p>
        </w:tc>
        <w:tc>
          <w:tcPr>
            <w:tcW w:w="26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(35,489 )</w:t>
            </w:r>
          </w:p>
        </w:tc>
      </w:tr>
      <w:tr>
        <w:trPr>
          <w:trHeight w:val="23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0"/>
                <w:szCs w:val="20"/>
                <w:color w:val="auto"/>
              </w:rPr>
            </w:pPr>
          </w:p>
        </w:tc>
      </w:tr>
      <w:tr>
        <w:trPr>
          <w:trHeight w:val="277"/>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44,786</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-659765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-659765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expense was $3.0 million and $0.7 million for the three months ended March 31, 2024 and 2023, respectively. Amortization expense related to internal-use software was $1.1 million and zero for the three months ended March 31,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which are included in current liabilities on the condensed consolidated balance sheets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560" w:type="dxa"/>
            <w:vAlign w:val="bottom"/>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contingency accruals</w:t>
            </w:r>
          </w:p>
        </w:tc>
        <w:tc>
          <w:tcPr>
            <w:tcW w:w="15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15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15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15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Pr>
          <w:p>
            <w:pPr>
              <w:spacing w:after="0"/>
              <w:rPr>
                <w:sz w:val="20"/>
                <w:szCs w:val="20"/>
                <w:color w:val="auto"/>
              </w:rPr>
            </w:pP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560" w:type="dxa"/>
            <w:vAlign w:val="bottom"/>
            <w:tcBorders>
              <w:bottom w:val="single" w:sz="8" w:color="auto"/>
            </w:tcBorders>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for additional information on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-7620</wp:posOffset>
            </wp:positionV>
            <wp:extent cx="3651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Grant Income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2020, the Company executed a contract with the National Institutes of Health ("NIH") under NIH’s Rapid Acceleration of Diagnostics program to support the expansion of the Company’s production capacity for its COVID-19 test products. Under the now-completed contract, the Company received $34.0 million of funding from the NIH and used $22.2 million on capital expenditures for their Singapore manufacturing facility. The amortization of the deferred income, which is offset against depreciation, was $0.9 million for each of the three months ended March 31, 2024 and 2023. Cumulative amounts applied against depreciation expense for these assets placed in service were $8.7 million and $7.8 million as of March 31, 2024 and December 31, 2023, respectively, and the carrying values of these assets were $13.5 million and $14.4 million, respectively, as of these same dates.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current portion of deferred grant income on the Company’s condensed consolidated balance sheets represents amounts expected to be offset against depreciation expense over the next twelve months. The non-current portion of deferred grant income includes amounts expected to be offset against depreciation expense in later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carrying value of debt consists of the following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2014</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r>
      <w:tr>
        <w:trPr>
          <w:trHeight w:val="243"/>
        </w:trPr>
        <w:tc>
          <w:tcPr>
            <w:tcW w:w="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2019</w:t>
            </w:r>
          </w:p>
        </w:tc>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current</w:t>
            </w:r>
          </w:p>
        </w:tc>
        <w:tc>
          <w:tcPr>
            <w:tcW w:w="2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notes, net</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55,099</w:t>
            </w:r>
          </w:p>
        </w:tc>
        <w:tc>
          <w:tcPr>
            <w:tcW w:w="100" w:type="dxa"/>
            <w:vAlign w:val="bottom"/>
          </w:tcPr>
          <w:p>
            <w:pPr>
              <w:spacing w:after="0"/>
              <w:rPr>
                <w:sz w:val="20"/>
                <w:szCs w:val="20"/>
                <w:color w:val="auto"/>
              </w:rPr>
            </w:pPr>
          </w:p>
        </w:tc>
      </w:tr>
      <w:tr>
        <w:trPr>
          <w:trHeight w:val="247"/>
        </w:trPr>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current</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76"/>
        </w:trPr>
        <w:tc>
          <w:tcPr>
            <w:tcW w:w="72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-659765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-659765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February 2014, the Company closed an underwritten public offering of 2014 Senior Convertible Notes ("2014 Notes"), which will mature on February 1, 2034, unless earlier converted, redeemed or repurchased in accordance with the terms of the 2014 Notes. Holders may require the Company to repurchase all or a portion of their 2014 Notes on February 6, 2029 at a repurchase price in cash equal to 100% of the principal amount of the 2014 Notes plus accrued and unpaid interest. In March 2024, the Company repurchased $0.3 million of the outstanding principal amount of the 2014 Notes.</w:t>
      </w:r>
    </w:p>
    <w:p>
      <w:pPr>
        <w:spacing w:after="0" w:line="18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In November 2019, the Company issued $55.0 million aggregate principal amount of 2019 Senior Convertible Notes ("2019 Notes"). Net proceeds from the 2019 Notes issuance of $52.7 million, after deductions for commissions and other debt issuance costs, were used to retire all but $1.1 million of the aggregate principal value of the 2014 Notes then outstanding. The 2019 Notes bear interest at 5.25% per annum, payable semiannually on June 1 and December 1 of each year.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2019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conversion of the 2019 Notes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 The 2019 Notes are convertible at the Company’s option in whole but not in part into shares of the Company’s common stock upon certain conditions if the volume-weighted average price of the Company’s common stock has equaled or exceeded 130% of the conversion price then in effect for a specified number of days.</w:t>
      </w:r>
    </w:p>
    <w:p>
      <w:pPr>
        <w:spacing w:after="0" w:line="179" w:lineRule="exact"/>
        <w:rPr>
          <w:sz w:val="20"/>
          <w:szCs w:val="20"/>
          <w:color w:val="auto"/>
        </w:rPr>
      </w:pPr>
    </w:p>
    <w:p>
      <w:pPr>
        <w:jc w:val="center"/>
        <w:ind w:right="300"/>
        <w:spacing w:after="0" w:line="407" w:lineRule="auto"/>
        <w:rPr>
          <w:sz w:val="20"/>
          <w:szCs w:val="20"/>
          <w:color w:val="auto"/>
        </w:rPr>
      </w:pPr>
      <w:r>
        <w:rPr>
          <w:rFonts w:ascii="Times New Roman" w:cs="Times New Roman" w:eastAsia="Times New Roman" w:hAnsi="Times New Roman"/>
          <w:sz w:val="18"/>
          <w:szCs w:val="18"/>
          <w:color w:val="auto"/>
        </w:rPr>
        <w:t>Offering-related costs related to both notes were capitalized as debt issuance costs and are recorded as an offset to the carrying value of the 2019 Notes.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 net</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August 2, 2021, the Company amended its Revolving Credit Facility to, amongst other things, provide for a new $10.0 million term loan facility (the "Term Loan Facility"). As of December 31, 2023, the Term Loan Facility was fully drawn with an outstanding principal balance of $7.9 million and a carrying value of $8.4 million. The interest rate on the Term Loan Facility was the greater of 4.0% per annum or a floating per annum rate equal to the prime rate plus 0.75%. Interest on any outstanding term loan advances was due and payable monthly. In addition to the monthly interest payments, a final payment equal to 6.5% of the original principal amount of each advance was due the earlier of the maturity date or the date the advance is repaid. Principal balances were required to be repaid in 24 equal installments which began on August 1, 2023. The stated maturity of the Term Loan Facility was July 1,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4, 2024, the Company fully repaid all outstanding indebtedness owed pursuant to the Term Loan Facility and terminated the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assumed three leases for office and laboratory space, with lease terms of three to five years. The leases require monthly lease payments that may be subject to annual increases throughout the lease term. Certain of these leases also include renewal options at the Company's election to renew or extend the leases for additional periods ranging from three to ten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Lease costs for operating leases are recognized on a straight-line basis over the lease term. The total lease cost for the period, including the Company's historical leases and those assumed in connection with the Merger, was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10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(1,076 )</w:t>
            </w:r>
          </w:p>
        </w:tc>
        <w:tc>
          <w:tcPr>
            <w:tcW w:w="10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(921 )</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the undiscounted lease payment maturities to the lease liabilities for the Company's operating leases: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6"/>
        </w:trPr>
        <w:tc>
          <w:tcPr>
            <w:tcW w:w="9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9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6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(13,793 )</w:t>
            </w:r>
          </w:p>
        </w:tc>
        <w:tc>
          <w:tcPr>
            <w:tcW w:w="60" w:type="dxa"/>
            <w:vAlign w:val="bottom"/>
          </w:tcPr>
          <w:p>
            <w:pPr>
              <w:spacing w:after="0"/>
              <w:rPr>
                <w:sz w:val="20"/>
                <w:szCs w:val="20"/>
                <w:color w:val="auto"/>
              </w:rPr>
            </w:pPr>
          </w:p>
        </w:tc>
      </w:tr>
      <w:tr>
        <w:trPr>
          <w:trHeight w:val="241"/>
        </w:trPr>
        <w:tc>
          <w:tcPr>
            <w:tcW w:w="9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6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26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(5,834 )</w:t>
            </w:r>
          </w:p>
        </w:tc>
        <w:tc>
          <w:tcPr>
            <w:tcW w:w="60" w:type="dxa"/>
            <w:vAlign w:val="bottom"/>
          </w:tcPr>
          <w:p>
            <w:pPr>
              <w:spacing w:after="0"/>
              <w:rPr>
                <w:sz w:val="20"/>
                <w:szCs w:val="20"/>
                <w:color w:val="auto"/>
              </w:rPr>
            </w:pPr>
          </w:p>
        </w:tc>
      </w:tr>
      <w:tr>
        <w:trPr>
          <w:trHeight w:val="277"/>
        </w:trPr>
        <w:tc>
          <w:tcPr>
            <w:tcW w:w="92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09"/>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Lease Information</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information related to the Company's operating leases was as follows: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gridSpan w:val="2"/>
          </w:tcPr>
          <w:p>
            <w:pPr>
              <w:spacing w:after="0"/>
              <w:rPr>
                <w:sz w:val="24"/>
                <w:szCs w:val="24"/>
                <w:color w:val="auto"/>
              </w:rPr>
            </w:pPr>
          </w:p>
        </w:tc>
      </w:tr>
      <w:tr>
        <w:trPr>
          <w:trHeight w:val="236"/>
        </w:trPr>
        <w:tc>
          <w:tcPr>
            <w:tcW w:w="9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 years</w:t>
            </w:r>
          </w:p>
        </w:tc>
        <w:tc>
          <w:tcPr>
            <w:tcW w:w="60" w:type="dxa"/>
            <w:vAlign w:val="bottom"/>
          </w:tcPr>
          <w:p>
            <w:pPr>
              <w:spacing w:after="0"/>
              <w:rPr>
                <w:sz w:val="20"/>
                <w:szCs w:val="20"/>
                <w:color w:val="auto"/>
              </w:rPr>
            </w:pPr>
          </w:p>
        </w:tc>
      </w:tr>
      <w:tr>
        <w:trPr>
          <w:trHeight w:val="234"/>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657"/>
        </w:trPr>
        <w:tc>
          <w:tcPr>
            <w:tcW w:w="92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9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0" w:name="page21"/>
    <w:bookmarkEnd w:id="2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contractual and legally binding purchase commitments. As of March 31, 2024, the Company's open commitments totaled $21.6 million. Capital expenditure commitments as of March 31, 2024 were immaterial.</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connection with the Illumina Agreement, the Company is required to engage with two contract manufacturing organizations in order to ensure manufacturing capacity. In 2023, the Company contracted with Integrated DNA Technologies, Inc. (“IDT”) to manufacture custom products. Under the contract manufacturing agreement, the Company committed to minimum annual purchases of $2.3 million. As the minimum contract term is three years, the total purchase commitment related to the agreement is $6.9 million. As of March 31, 2024, the Company has not yet began placing orders under the agreement.</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have not been included in the open commitments above, as the period of time over which the future license payments will be required to be made, and the amount of such payments, are indeterminable. The Company does not expect the license payments to be material in any particular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w:t>
      </w:r>
    </w:p>
    <w:p>
      <w:pPr>
        <w:spacing w:after="0" w:line="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currently expects to settle previously outstanding litigation with former shareholders of SomaLogic for $6.2 million to consist of the repurchase of approximately 1.85 million shares of Standard BioTools common stock from the shareholders at the market price and a cash payment equal to $6.2 million less the amount paid for the repurchased shares. A loss contingency accrual of $1.2 million, which was assumed in connection with the Merger on January 5, 2024, is recorded in accrued liabilities on the Company's condensed consolidated balance sheet as of March 31, 2024. The remaining portion of the settlement costs attributable to the amount expected to be paid for the repurchased shares which will be recorded as a reduction to additional paid-in capital on the Company's condensed consolidated balance sheet as of the period the settlement occurs.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28, 2023, a purported stockholder filed a complaint against the Company and its members of its Board in the United States District Court for the Northern District of California. The complaint has since been voluntarily dismissed. On December 12, 2023 two separate shareholder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 Company is reviewing the complaints and has not yet formally responded to them. On December 13, 2023, a complaint was filed in the Delaware Court of Chancery against SomaLogic and certain officers and directors alleging Breach of Fiduciary Duty and Aiding and Abetting Breach of Fiduciary Duty. This complaint also sought an injunction postponing the proposed transaction, which was denied by the Court on January 4, 2024. The non-injunctive claims, including breach of fiduciary duty, are still being litigated. Litigation is inherently uncertain and there can be no assurance regarding the outcome. Whether</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or not any plaintiffs’ claim is successful, this type of litigation may result in significant costs and divert management’s attention and resources, which could adversely affect the operation of our business.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Between October 24, 2023 and January 3, 2024, SomaLogic received 17 letters from purported shareholders demanding that SomaLogic allow the inspection of its books and records and/or make corrective disclosures to its registration statement.</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February 2024, the Company settled previously outstanding litigation with a former shareholder of SomaLogic, whereby the Company relinquished 422,048 shares of Standard BioTools common stock that were subject to vesting conditions.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5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the Merger, Standard BioTools is responsible for SomaLogic’s liabilities and obligations, including with respect to legal, financial, regulatory, and compliance matters. These liabilities and obligations will result in additional cost and expense by Standard BioTools and, if Standard BioTools has underestimated the amount of these costs and expenses or if Standard BioTools fails to satisfy any such liabilities or obligations, Standard BioTools may not realize the anticipated benefits of the Merger and there may be an adverse impact on the Company because of defense and settlement costs, diversion of management resources, and other factors. Further, it is possible that there may be unknown, contingent or other liabilities, obligations or other problems that may arise in the future, the existence and/or magnitude of which Standard BioTools was previously unaware. Any such liabilities, obligations or other problems could have an adverse effect on the company’s business, financial condition, results of operations or cash flows. With respect to these additional matters, the Company is not able to estimate the possible loss or range of losses that could be incurred.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measured at fair value on a recurring basis within the fair value hierarchy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4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7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39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7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175,225</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175,225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39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-1953895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-1953895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-1953895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-1953895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-1327785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-1327785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-1327785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-1327785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4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-1130935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-1130935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-505460</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-505460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-505460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within the hierarchy and no changes in the valuation techniques used during the three months ended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available-for-sale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540" w:type="dxa"/>
            <w:vAlign w:val="bottom"/>
          </w:tcPr>
          <w:p>
            <w:pPr>
              <w:jc w:val="center"/>
              <w:ind w:left="1062"/>
              <w:spacing w:after="0" w:line="142"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20" w:type="dxa"/>
            <w:vAlign w:val="bottom"/>
          </w:tcPr>
          <w:p>
            <w:pPr>
              <w:jc w:val="center"/>
              <w:ind w:left="75"/>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540" w:type="dxa"/>
            <w:vAlign w:val="bottom"/>
          </w:tcPr>
          <w:p>
            <w:pPr>
              <w:jc w:val="center"/>
              <w:ind w:left="112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80" w:type="dxa"/>
            <w:vAlign w:val="bottom"/>
            <w:gridSpan w:val="3"/>
            <w:vMerge w:val="continue"/>
          </w:tcPr>
          <w:p>
            <w:pPr>
              <w:spacing w:after="0"/>
              <w:rPr>
                <w:sz w:val="15"/>
                <w:szCs w:val="15"/>
                <w:color w:val="auto"/>
              </w:rPr>
            </w:pPr>
          </w:p>
        </w:tc>
        <w:tc>
          <w:tcPr>
            <w:tcW w:w="82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25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54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540" w:type="dxa"/>
            <w:vAlign w:val="bottom"/>
            <w:shd w:val="clear" w:color="auto" w:fill="CFF0FC"/>
          </w:tcPr>
          <w:p>
            <w:pPr>
              <w:spacing w:after="0"/>
              <w:rPr>
                <w:sz w:val="20"/>
                <w:szCs w:val="20"/>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tc>
        <w:tc>
          <w:tcPr>
            <w:tcW w:w="2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540" w:type="dxa"/>
            <w:vAlign w:val="bottom"/>
          </w:tcPr>
          <w:p>
            <w:pPr>
              <w:jc w:val="center"/>
              <w:ind w:left="1102"/>
              <w:spacing w:after="0"/>
              <w:rPr>
                <w:sz w:val="20"/>
                <w:szCs w:val="20"/>
                <w:color w:val="auto"/>
              </w:rPr>
            </w:pPr>
            <w:r>
              <w:rPr>
                <w:rFonts w:ascii="Times New Roman" w:cs="Times New Roman" w:eastAsia="Times New Roman" w:hAnsi="Times New Roman"/>
                <w:sz w:val="18"/>
                <w:szCs w:val="18"/>
                <w:color w:val="auto"/>
                <w:w w:val="99"/>
              </w:rPr>
              <w:t>1 or less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175,257</w:t>
            </w:r>
          </w:p>
        </w:tc>
        <w:tc>
          <w:tcPr>
            <w:tcW w:w="240" w:type="dxa"/>
            <w:vAlign w:val="bottom"/>
          </w:tcPr>
          <w:p>
            <w:pPr>
              <w:spacing w:after="0"/>
              <w:rPr>
                <w:sz w:val="21"/>
                <w:szCs w:val="21"/>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540" w:type="dxa"/>
            <w:vAlign w:val="bottom"/>
            <w:shd w:val="clear" w:color="auto" w:fill="CFF0FC"/>
          </w:tcPr>
          <w:p>
            <w:pPr>
              <w:spacing w:after="0"/>
              <w:rPr>
                <w:sz w:val="20"/>
                <w:szCs w:val="20"/>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175,257</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540" w:type="dxa"/>
            <w:vAlign w:val="bottom"/>
            <w:shd w:val="clear" w:color="auto" w:fill="CFF0FC"/>
          </w:tcPr>
          <w:p>
            <w:pPr>
              <w:spacing w:after="0"/>
              <w:rPr>
                <w:sz w:val="21"/>
                <w:szCs w:val="21"/>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199,635</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8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540" w:type="dxa"/>
            <w:vAlign w:val="bottom"/>
          </w:tcPr>
          <w:p>
            <w:pPr>
              <w:jc w:val="center"/>
              <w:ind w:left="1062"/>
              <w:spacing w:after="0" w:line="142"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20" w:type="dxa"/>
            <w:vAlign w:val="bottom"/>
          </w:tcPr>
          <w:p>
            <w:pPr>
              <w:jc w:val="center"/>
              <w:ind w:left="75"/>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540" w:type="dxa"/>
            <w:vAlign w:val="bottom"/>
          </w:tcPr>
          <w:p>
            <w:pPr>
              <w:jc w:val="center"/>
              <w:ind w:left="112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80" w:type="dxa"/>
            <w:vAlign w:val="bottom"/>
            <w:gridSpan w:val="3"/>
            <w:vMerge w:val="continue"/>
          </w:tcPr>
          <w:p>
            <w:pPr>
              <w:spacing w:after="0"/>
              <w:rPr>
                <w:sz w:val="15"/>
                <w:szCs w:val="15"/>
                <w:color w:val="auto"/>
              </w:rPr>
            </w:pPr>
          </w:p>
        </w:tc>
        <w:tc>
          <w:tcPr>
            <w:tcW w:w="82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25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54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540" w:type="dxa"/>
            <w:vAlign w:val="bottom"/>
            <w:shd w:val="clear" w:color="auto" w:fill="CFF0FC"/>
          </w:tcPr>
          <w:p>
            <w:pPr>
              <w:spacing w:after="0"/>
              <w:rPr>
                <w:sz w:val="20"/>
                <w:szCs w:val="20"/>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tc>
        <w:tc>
          <w:tcPr>
            <w:tcW w:w="2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540" w:type="dxa"/>
            <w:vAlign w:val="bottom"/>
          </w:tcPr>
          <w:p>
            <w:pPr>
              <w:jc w:val="center"/>
              <w:ind w:left="1102"/>
              <w:spacing w:after="0"/>
              <w:rPr>
                <w:sz w:val="20"/>
                <w:szCs w:val="20"/>
                <w:color w:val="auto"/>
              </w:rPr>
            </w:pPr>
            <w:r>
              <w:rPr>
                <w:rFonts w:ascii="Times New Roman" w:cs="Times New Roman" w:eastAsia="Times New Roman" w:hAnsi="Times New Roman"/>
                <w:sz w:val="18"/>
                <w:szCs w:val="18"/>
                <w:color w:val="auto"/>
                <w:w w:val="99"/>
              </w:rPr>
              <w:t>1 or less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240" w:type="dxa"/>
            <w:vAlign w:val="bottom"/>
          </w:tcPr>
          <w:p>
            <w:pPr>
              <w:spacing w:after="0"/>
              <w:rPr>
                <w:sz w:val="21"/>
                <w:szCs w:val="21"/>
                <w:color w:val="auto"/>
              </w:rPr>
            </w:pP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540" w:type="dxa"/>
            <w:vAlign w:val="bottom"/>
            <w:shd w:val="clear" w:color="auto" w:fill="CFF0FC"/>
          </w:tcPr>
          <w:p>
            <w:pPr>
              <w:spacing w:after="0"/>
              <w:rPr>
                <w:sz w:val="20"/>
                <w:szCs w:val="20"/>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5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98,554</w:t>
            </w:r>
          </w:p>
        </w:tc>
        <w:tc>
          <w:tcPr>
            <w:tcW w:w="2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-1936750</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-1919605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-1919605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-1936750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-1919605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3" w:name="page24"/>
    <w:bookmarkEnd w:id="2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measured at fair value on a recurring basis</w:t>
      </w:r>
    </w:p>
    <w:p>
      <w:pPr>
        <w:spacing w:after="0" w:line="3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and indicates the fair value hierarchy of the valuation inputs we utilized to determine such fair value: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 liabilities as of Closing Date</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21"/>
                <w:szCs w:val="2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0"/>
                <w:szCs w:val="20"/>
                <w:color w:val="auto"/>
              </w:rPr>
            </w:pPr>
          </w:p>
        </w:tc>
      </w:tr>
      <w:tr>
        <w:trPr>
          <w:trHeight w:val="277"/>
        </w:trPr>
        <w:tc>
          <w:tcPr>
            <w:tcW w:w="9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 liabilities as of March 31, 2024</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The Warrants were valued using Level 2 inputs as of the Closing Date as the Public Warrants were actively traded as of the Closing Date. Therefore, the Company had directly observable prices for identical instruments as of the Closing Date. As of March 31, 2024, the Warrants were no longer publicly traded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and were valued using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-38735</wp:posOffset>
            </wp:positionV>
            <wp:extent cx="3079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0" w:type="dxa"/>
            <w:vAlign w:val="bottom"/>
          </w:tcPr>
          <w:p>
            <w:pPr>
              <w:spacing w:after="0"/>
              <w:rPr>
                <w:sz w:val="16"/>
                <w:szCs w:val="16"/>
                <w:color w:val="auto"/>
              </w:rPr>
            </w:pPr>
          </w:p>
        </w:tc>
        <w:tc>
          <w:tcPr>
            <w:tcW w:w="1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gridSpan w:val="2"/>
          </w:tcPr>
          <w:p>
            <w:pPr>
              <w:spacing w:after="0"/>
              <w:rPr>
                <w:sz w:val="16"/>
                <w:szCs w:val="16"/>
                <w:color w:val="auto"/>
              </w:rPr>
            </w:pP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70.2 %</w:t>
            </w:r>
          </w:p>
        </w:tc>
      </w:tr>
      <w:tr>
        <w:trPr>
          <w:trHeight w:val="245"/>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4.46 %</w:t>
            </w:r>
          </w:p>
        </w:tc>
      </w:tr>
      <w:tr>
        <w:trPr>
          <w:trHeight w:val="250"/>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term (in years)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2014 Notes and 2019 Notes (collectively, the Convertible Notes) are not regularly traded. The estimated fair values for the Convertible Notes represent Level III valuations since a fair value for the Convertible Notes cannot be determined by using readily observable inputs or measures, such as market prices. Fair values were estimated using pricing models and risk-adjusted value ranges. The estimated fair value of the 2019 Notes was $61.7 million and $58.2 million as of March 31, 2024 and December 31, 2023, respectively. The carrying value of the 2014 Notes approximates fair value as the interest rate and terms are reflective of the rate the Company could obtain on debt with similar terms and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Mezzanine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Redeemable Preferred Stock</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March 18, 2024, the Company entered into an exchange agreement (the “Exchange Agreement”) with Casdin Private Growth Equity Fund II, L.P. and Casdin Partners Master Fund, L.P. (together, "Casdin"), and Viking Global Opportunities Illiquid Investments Sub Master LP and Viking Global Opportunities Drawdown LP (together, “Viking” and, collectively with Casdin, the “Investors”). Pursuant to the Exchange Agreement, the Investors exchanged (the “Exchange”) an aggregate of (i) 127,780 shares of Series B-1 Convertible Preferred Stock, par value $0.001 per share (the “Series B-1 Preferred Stock”), and (ii) 127,779 shares of Series B-2 Convertible Preferred Stock, par value $0.001 per share (the “Series B-2 Preferred Stock” and, together with the Series B-1 Preferred Stock, the “Series B Preferred Stock”), representing all of the outstanding shares of Series B Preferred Stock, for an aggregate of 92,930,553 shares of the Company’s common stock. The Exchange was completed on March 18, 2024. Following the closing of the Exchange, no shares of Series B Preferred Stock remained outstanding as of March 31, 2024, and the Company had no amounts recorded in mezzanine equity.</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Exchange was considered to be an induced conversion of preferred stock as the Investors received a lower conversion price, and were issued more shares of common stock than provided under the original terms of the Series B Convertible Preferred Stock Purchase Agreement entered into with the Investors. The $46.0 million difference between the fair value of the inducement and the carrying value of the Series B Preferred Stock was recognized to the Company's accumulated deficit during the three months ended March 31, 2024.</w:t>
      </w: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4" w:name="page25"/>
    <w:bookmarkEnd w:id="2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Repurchase Program</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6, 2024, the Company's board of directors authorized a new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specific number of shares. During the three months ended March 31, 2024, the Company repurchased 4,119,486 shares of its common stock for $11.1 million under the 2024 Share Repurchase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 Reserved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had reserved shares of common stock for future issuance under equity compensation plans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2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200" w:type="dxa"/>
            <w:vAlign w:val="bottom"/>
          </w:tcPr>
          <w:p>
            <w:pPr>
              <w:spacing w:after="0"/>
              <w:rPr>
                <w:sz w:val="13"/>
                <w:szCs w:val="13"/>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Securities</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Release</w:t>
            </w:r>
          </w:p>
        </w:tc>
        <w:tc>
          <w:tcPr>
            <w:tcW w:w="20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87"/>
        </w:trPr>
        <w:tc>
          <w:tcPr>
            <w:tcW w:w="65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Restricted Stock</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Inducement Equity Incentive Plan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2017 Inducement Award Plan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SomaLogic Plans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various stock-based compensation plans, which are more fully described in our 2023 Financial Statements. Under the 2022 Inducement Equity Incentive Plan (the “2022 Plan”), the Company has the ability to grant several forms of incentive awards to the Company's eligible employees, directors, and non-employee consultants.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completion of the Merger, Standard BioTools assumed SomaLogic's stock incentive plans. In addition, all outstanding options to purchase SomaLogic Common Stock and all restricted stock units in respect of shares of SomaLogic Common Stock that were outstanding immediately prior to the completion of the Merger were automatically adjusted by the Exchange Ratio and converted into an equity award of the same type covering shares of the Company's common stock, on the same terms and conditions (including any continuing vesting requirements), under the applicable Standard BioTools plan and award agreement in effect immediately prior to the completion of the Merger.</w:t>
      </w:r>
    </w:p>
    <w:p>
      <w:pPr>
        <w:spacing w:after="0" w:line="11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recorded $6.2 million of stock-based compensation expense due to the acceleration of awards for certain SomaLogic executives in connection with the Merger.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9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6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through acquisition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As of March 31, 2024, unrecognized stock-based compensation expense related to outstanding unvested restricted stock units ("RSUs") under the Company’s equity incentive plans was $14.5 million. The Company expects to recognize the expense over a weighted-average period of 2.2 years.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51"/>
        </w:trPr>
        <w:tc>
          <w:tcPr>
            <w:tcW w:w="5760" w:type="dxa"/>
            <w:vAlign w:val="bottom"/>
          </w:tcPr>
          <w:p>
            <w:pPr>
              <w:spacing w:after="0"/>
              <w:rPr>
                <w:sz w:val="13"/>
                <w:szCs w:val="13"/>
                <w:color w:val="auto"/>
              </w:rPr>
            </w:pPr>
          </w:p>
        </w:tc>
        <w:tc>
          <w:tcPr>
            <w:tcW w:w="1480" w:type="dxa"/>
            <w:vAlign w:val="bottom"/>
            <w:gridSpan w:val="2"/>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20" w:type="dxa"/>
            <w:vAlign w:val="bottom"/>
          </w:tcPr>
          <w:p>
            <w:pPr>
              <w:spacing w:after="0"/>
              <w:rPr>
                <w:sz w:val="13"/>
                <w:szCs w:val="13"/>
                <w:color w:val="auto"/>
              </w:rPr>
            </w:pPr>
          </w:p>
        </w:tc>
        <w:tc>
          <w:tcPr>
            <w:tcW w:w="1000" w:type="dxa"/>
            <w:vAlign w:val="bottom"/>
          </w:tcPr>
          <w:p>
            <w:pPr>
              <w:jc w:val="center"/>
              <w:ind w:right="36"/>
              <w:spacing w:after="0" w:line="151"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3"/>
                <w:szCs w:val="13"/>
                <w:color w:val="auto"/>
              </w:rPr>
            </w:pP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3"/>
                <w:szCs w:val="13"/>
                <w:b w:val="1"/>
                <w:bCs w:val="1"/>
                <w:color w:val="auto"/>
              </w:rPr>
              <w:t xml:space="preserve"> (in</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through acquisition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37,142</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at March 31,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25,933</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options at March 31,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-548005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520" w:right="260" w:hanging="512"/>
        <w:spacing w:after="0" w:line="312" w:lineRule="auto"/>
        <w:tabs>
          <w:tab w:leader="none" w:pos="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intrinsic value as of March 31, 2024 was calculated as the difference between the closing price per share of the Company’s common stock on the last trading day of March, which was $2.71, and the exercise price of the options, multiplied by the number of in-the-money options.</w:t>
      </w:r>
    </w:p>
    <w:p>
      <w:pPr>
        <w:spacing w:after="0" w:line="1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total intrinsic value of options exercised during each of the three-month periods ended March 31, 2024 and 2023 was immaterial. The total intrinsic value of options vested during the three months ended March 31, 2024 and 2023 was $0.4 million and zero, respectively. As of March 31, 2024, the unrecognized compensation costs related to outstanding unvested options under the Company’s equity incentive plans were $19.4 million. The Company expects to recognize those costs over a weighted-average period of 1.1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July 2023, the Company granted performance-based restricted stock units ("PSUs") to certain executive officers that vest based upon the achievement of specified revenue and EBITDA targets for the twelve months ended December 31, 2023, and the executive’s continued employment with the Company. Stock-based compensation expense is being recognized over the requisite service period, as it is deemed probable the Company will satisfy the performance measures. Certain of the specified revenue and EBITDA targets were met and the PSUs vested and were released from restriction in April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under the performance-based awards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3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32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 granted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 released</w:t>
            </w:r>
          </w:p>
        </w:tc>
        <w:tc>
          <w:tcPr>
            <w:tcW w:w="13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reported in the Company's condensed consolidated statement of operations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43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3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3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3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3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8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43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basic and diluted net loss per share is calculated by dividing net loss less any redemption or induced conversion on the Series B Preferred Stock by the weighted-average number of shares of common stock outstanding for the period. RSUs, PSUs, options to purchase the Company’s common stock, restricted stock, 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described above, on March 18, 2024, the Company consummated the Exchange in which all outstanding Series B Preferred Stock were exchanged for an aggregate of 92,930,553 shares of the Company's common stock. This transaction was determined to be an induced conversion due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net loss per share for the three months ended March 31, 2024 and 2023 was as follows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operations</w:t>
            </w:r>
          </w:p>
        </w:tc>
        <w:tc>
          <w:tcPr>
            <w:tcW w:w="96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(32,157 )</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(16,843 )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(46,014 )</w:t>
            </w:r>
          </w:p>
        </w:tc>
        <w:tc>
          <w:tcPr>
            <w:tcW w:w="9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6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(78,171 )</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(16,843 )</w:t>
            </w:r>
          </w:p>
        </w:tc>
      </w:tr>
      <w:tr>
        <w:trPr>
          <w:trHeight w:val="47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during the period</w:t>
            </w:r>
          </w:p>
        </w:tc>
        <w:tc>
          <w:tcPr>
            <w:tcW w:w="96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294,125</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(0.21 )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38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8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PSUs, stock options, restricted shares and ESPP shares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FF0FC"/>
          </w:tcPr>
          <w:p>
            <w:pPr>
              <w:spacing w:after="0"/>
              <w:rPr>
                <w:sz w:val="20"/>
                <w:szCs w:val="20"/>
                <w:color w:val="auto"/>
              </w:rPr>
            </w:pPr>
          </w:p>
        </w:tc>
      </w:tr>
      <w:tr>
        <w:trPr>
          <w:trHeight w:val="239"/>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760" w:type="dxa"/>
            <w:vAlign w:val="bottom"/>
            <w:gridSpan w:val="3"/>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75,164</w:t>
            </w:r>
          </w:p>
        </w:tc>
        <w:tc>
          <w:tcPr>
            <w:tcW w:w="100" w:type="dxa"/>
            <w:vAlign w:val="bottom"/>
          </w:tcPr>
          <w:p>
            <w:pPr>
              <w:spacing w:after="0"/>
              <w:rPr>
                <w:sz w:val="20"/>
                <w:szCs w:val="20"/>
                <w:color w:val="auto"/>
              </w:rPr>
            </w:pPr>
          </w:p>
        </w:tc>
      </w:tr>
      <w:tr>
        <w:trPr>
          <w:trHeight w:val="247"/>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2019</w:t>
            </w:r>
          </w:p>
        </w:tc>
        <w:tc>
          <w:tcPr>
            <w:tcW w:w="822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4"/>
                <w:szCs w:val="24"/>
                <w:color w:val="auto"/>
                <w:vertAlign w:val="superscript"/>
              </w:rPr>
              <w:t>(1)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shd w:val="clear" w:color="auto" w:fill="CFF0FC"/>
          </w:tcPr>
          <w:p>
            <w:pPr>
              <w:spacing w:after="0"/>
              <w:rPr>
                <w:sz w:val="21"/>
                <w:szCs w:val="21"/>
                <w:color w:val="auto"/>
              </w:rPr>
            </w:pPr>
          </w:p>
        </w:tc>
      </w:tr>
      <w:tr>
        <w:trPr>
          <w:trHeight w:val="23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2014</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3"/>
        </w:trPr>
        <w:tc>
          <w:tcPr>
            <w:tcW w:w="8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720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76,684</w:t>
            </w:r>
          </w:p>
        </w:tc>
        <w:tc>
          <w:tcPr>
            <w:tcW w:w="24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108,764</w:t>
            </w:r>
          </w:p>
        </w:tc>
        <w:tc>
          <w:tcPr>
            <w:tcW w:w="100" w:type="dxa"/>
            <w:vAlign w:val="bottom"/>
            <w:tcBorders>
              <w:top w:val="single" w:sz="8" w:color="CFF0FC"/>
            </w:tcBorders>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40" w:hanging="512"/>
        <w:spacing w:after="0" w:line="25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is subject to adjustment upon the occurrence of certain specified events, including voluntary conversion of the 2019 Notes prior to the Company’s exercise of the Issuer’s Conversion Option (as defined in the 2019 Notes) or in connection with a make-whole fundamental change, entitling the holders, under certain circumstances, to a make-whole premium in the form of an increase in the conversion rate determined based on the effective date and current price of the Company’s common stock, subject to a minimum and maximum price per share. The maximum number of additional shares of common stock that may be issued under the make-whole premium is 4,741,374 shares. Refer to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for additional information on the 2019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6150610</wp:posOffset>
            </wp:positionH>
            <wp:positionV relativeFrom="paragraph">
              <wp:posOffset>-168910</wp:posOffset>
            </wp:positionV>
            <wp:extent cx="3079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4,119,486 and 1,250,484 shares of the Company's common stock that were repurchased during the three months ended March 31, 2024 and 2023, respectively, have also been excluded from the Company's net loss per share and diluted net loss per share calculations.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$0.1 million and $0.3 million in the three months ended March 31, 2024 and 2023, respectively. The decrease in the Company's tax provision reflects the effect of the Company's foreign operations, which reported lower pre-tax income in the first quarter of 2024 compared to the same period in 2023.</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for both periods differ from the 21% U.S. Federal statutory tax rate primarily due to valuation allowances recorded against deferred tax assets on domestic losses and the tax rate differences between the U.S. and foreign countries. The Company maintains a valuation allowance against its U.S. deferred tax assets as the Company believes it is more likely than not the deferred tax assets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operates in two reportable segments: proteomics and genomics. Each segment is identified by its unique portfolio of products. Proteomics includes instruments, consumables, software, and services based upon technologies used in the identification of proteins. Genomics includes instruments, consumables, software, and services based upon technologies used in the identification of genes (DNA, RNA) and their functions.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CODM began using operating income to measure the operating performance of the segments. The Company determines each segment’s operating income by subtracting direct expenses, including cost of revenues, research and development expense, and sales and marketing expense, from revenues. Amortization, depreciation, and restructuring charges are included in each segment’s operating expenses. Corporate costs, including general and administrative expenses for functions shared by both operating segments such as executive management, human resources, and finance, along with interest and taxes, and transaction and integration expenses are excluded from each segment’s results, which is consistent with how our CODM evaluates segment performance.</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does not prepare or report segmented balance sheet information as the CODM does not use the information to assess segment operating performance. The segments adhere to the same accounting policies as the Company as a whole.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segment information was as follows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Proteomics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36,180</w:t>
            </w:r>
          </w:p>
        </w:tc>
        <w:tc>
          <w:tcPr>
            <w:tcW w:w="280" w:type="dxa"/>
            <w:vAlign w:val="bottom"/>
          </w:tcPr>
          <w:p>
            <w:pPr>
              <w:spacing w:after="0"/>
              <w:rPr>
                <w:sz w:val="20"/>
                <w:szCs w:val="20"/>
                <w:color w:val="auto"/>
              </w:rPr>
            </w:pP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Genomics</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Proteomics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(14,536 )</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(5,481 )</w:t>
            </w: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Genomics</w:t>
            </w:r>
          </w:p>
        </w:tc>
        <w:tc>
          <w:tcPr>
            <w:tcW w:w="9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(196 )</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expenses</w:t>
            </w:r>
          </w:p>
        </w:tc>
        <w:tc>
          <w:tcPr>
            <w:tcW w:w="9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(24,003 )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(10,139 )</w:t>
            </w: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9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(4,284 )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(1,150 )</w:t>
            </w: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9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(17,163 )</w:t>
            </w: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(loss) from operations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(60,182 )</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(16,593 )</w:t>
            </w:r>
          </w:p>
        </w:tc>
      </w:tr>
      <w:tr>
        <w:trPr>
          <w:trHeight w:val="464"/>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Proteomics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Genomics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&amp; amortization</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-2416810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-2416810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-984885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-967740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-984885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-967740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Related Charges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records restructuring and related charges as incurred. These items are classified within restructuring and related charges in the condensed consolidated statements of operations for the three months ended March 31, 2024, and primarily include severance costs as well as facility costs (net of sublease income) for leased space in South San Francisco that the Company has vacated as part of the restructuring plan. The Company recognized restructuring and related charges of $4.3 million and $1.2 million for the three months ended March 31, 2024 and 2023, respectively.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28" w:name="page29"/>
    <w:bookmarkEnd w:id="28"/>
    <w:p>
      <w:pPr>
        <w:ind w:right="560"/>
        <w:spacing w:after="0" w:line="258" w:lineRule="auto"/>
        <w:rPr>
          <w:sz w:val="20"/>
          <w:szCs w:val="20"/>
          <w:color w:val="auto"/>
        </w:rPr>
      </w:pPr>
      <w:r>
        <w:rPr>
          <w:rFonts w:ascii="Times New Roman" w:cs="Times New Roman" w:eastAsia="Times New Roman" w:hAnsi="Times New Roman"/>
          <w:sz w:val="18"/>
          <w:szCs w:val="18"/>
          <w:color w:val="auto"/>
        </w:rPr>
        <w:t>Beginning with the appointment of the Company’s new management team in April 2022 and as further announced in August 2022, the Company implemented a restructuring plan, including a reduction-in-force, to improve operational efficiency, achieve cost savings and align the Company’s workforce to the future needs of the business. In addition to the reduction-in-force, the Company is reducing leased office space, optimizing its manufacturing footprint and streamlining support functions. The Company is developing a more disciplined cost management culture throughout its organization by investing in training and advanced information systems.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In April 2024, the Company announced a new restructuring plan following the completion of the Merger to improve operational efficiency and reduce operating costs. The plan includes a reduction-in-force and streamlined operational expenditures. For further details, please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5839460</wp:posOffset>
            </wp:positionH>
            <wp:positionV relativeFrom="paragraph">
              <wp:posOffset>-48260</wp:posOffset>
            </wp:positionV>
            <wp:extent cx="365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4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accrue liabilities for restructuring charges primarily related to employee severance throughout 2024. Ongoing restructuring charges will continue to be incurred for facility related costs through the termination of the facility leases. These estimates are subject to a number of assumptions, and actual results may differ.</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restructuring and other related liabilities for the three months ended March 31, 2024 (in thousands):</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9"/>
                <w:szCs w:val="19"/>
                <w:b w:val="1"/>
                <w:bCs w:val="1"/>
                <w:color w:val="auto"/>
                <w:vertAlign w:val="superscript"/>
              </w:rPr>
              <w:t>(2)</w:t>
            </w:r>
          </w:p>
        </w:tc>
        <w:tc>
          <w:tcPr>
            <w:tcW w:w="2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line="189" w:lineRule="exact"/>
              <w:rPr>
                <w:sz w:val="20"/>
                <w:szCs w:val="20"/>
                <w:color w:val="auto"/>
              </w:rPr>
            </w:pPr>
            <w:r>
              <w:rPr>
                <w:rFonts w:ascii="Times New Roman" w:cs="Times New Roman" w:eastAsia="Times New Roman" w:hAnsi="Times New Roman"/>
                <w:sz w:val="14"/>
                <w:szCs w:val="14"/>
                <w:b w:val="1"/>
                <w:bCs w:val="1"/>
                <w:color w:val="auto"/>
                <w:w w:val="94"/>
              </w:rPr>
              <w:t>benefits</w:t>
            </w:r>
            <w:r>
              <w:rPr>
                <w:rFonts w:ascii="Times New Roman" w:cs="Times New Roman" w:eastAsia="Times New Roman" w:hAnsi="Times New Roman"/>
                <w:sz w:val="19"/>
                <w:szCs w:val="19"/>
                <w:b w:val="1"/>
                <w:bCs w:val="1"/>
                <w:color w:val="auto"/>
                <w:w w:val="94"/>
                <w:vertAlign w:val="superscript"/>
              </w:rPr>
              <w:t>(1)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(1,045 )</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(672 )</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(226 )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(1,943 )</w:t>
            </w:r>
          </w:p>
        </w:tc>
        <w:tc>
          <w:tcPr>
            <w:tcW w:w="0" w:type="dxa"/>
            <w:vAlign w:val="bottom"/>
          </w:tcPr>
          <w:p>
            <w:pPr>
              <w:spacing w:after="0"/>
              <w:rPr>
                <w:sz w:val="1"/>
                <w:szCs w:val="1"/>
                <w:color w:val="auto"/>
              </w:rPr>
            </w:pPr>
          </w:p>
        </w:tc>
      </w:tr>
      <w:tr>
        <w:trPr>
          <w:trHeight w:val="236"/>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liabilities are recorded in accrued liabilities on the condensed consolidated balance sheets.</w:t>
      </w:r>
    </w:p>
    <w:p>
      <w:pPr>
        <w:spacing w:after="0" w:line="27" w:lineRule="exact"/>
        <w:rPr>
          <w:rFonts w:ascii="Times New Roman" w:cs="Times New Roman" w:eastAsia="Times New Roman" w:hAnsi="Times New Roman"/>
          <w:sz w:val="18"/>
          <w:szCs w:val="18"/>
          <w:color w:val="auto"/>
        </w:rPr>
      </w:pPr>
    </w:p>
    <w:p>
      <w:pPr>
        <w:ind w:left="520" w:right="740" w:hanging="512"/>
        <w:spacing w:after="0" w:line="26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restructuring liabilities are comprised mainly of sublease commissions and are recorded in other accrued liabilities on the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restructuring and related charges by segment and corporate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0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Proteomics</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Genomics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expenses</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restructuring and related charges</w:t>
            </w:r>
          </w:p>
        </w:tc>
        <w:tc>
          <w:tcPr>
            <w:tcW w:w="104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Parties</w:t>
      </w:r>
    </w:p>
    <w:p>
      <w:pPr>
        <w:spacing w:after="0" w:line="16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connection with the Merger, Eli Casdin, a member of the Company’s Board of Directors and the Company’s principal shareholder, and the former principal shareholder of SomaLogic, was issued 3,807 shares of common stock, 3,807 restricted stock units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common stock issuable upon the vesting of RSUs and exercise of options and warrants.</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2024, the Company announced a reduction in-force of approximately 10% of its total workforce, including the elimination of certain senior management positions following the closing of the Company’s Merger, as part of an operational restructuring plan. The purpose of the restructuring plan, including the reduction-in-force, is to improve operational efficiency and reduce operating costs, while supporting the execution of the Company’s long-term strategic plan.</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currently expects expenses related to the reduction-in-force, consisting primarily of cash severance and termination benefits and related costs, to be in the range of approximately $10.0 million to $11.0 million, which includes approximately $4.0 million of non-cash expenses related to vesting of share-based awards. The Company expects these costs to be payable over the next three quarters. These estimates are subject to a number of assumptions, and actual results may differ. The Company may also incur additional costs not currently contemplated due to events that may occur as a result of, or that are associated with, the operational restructuring plan, including the reduction-in-force.</w:t>
      </w: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92"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financial information and the notes thereto included appearing elsewhere in this Quarterly Report on Form 10-Q, and the audited financial information and the notes thereto included in our Annual Report on Form 10-K for the year ended December 31, 2023 filed with the Securities and Exchange Commission on March 1, 2024 (the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 our actual results could differ materially from the results described in, or implied by, the forward-looking statements contained in the following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19888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“Standard BioTools” the “Company,” “we,” “us,” and “our” refer to Standard BioTools Inc. and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Standard BioTools Inc. is driven by a bold purpose – unleashing tools to accelerate breakthroughs in human health. We have an established portfolio of essential, standardized next-generation high resolution technologies that assist biomedical researchers develop medicines faster and better. Our tools are designed to provide reliable and repeatable insights in health and disease using our proprietary mass cytometry and microfluidics technologies, which are useful in proteomics and genomics that help transform scientific discoveries into better patient outcomes. We work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January 5, 2024, we completed the Merger with SomaLogic, Inc. ("SomaLogic"), creating a leading provider of differentiated multi-omics tools for research.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leadership team identified three strategic priorities: revenue growth, improving operating discipline and strategic capital allocation, as more fully discussed in Part I Item 1 “Business” in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Redeemable Preferred Stock</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March 18, 2024, we entered into an exchange agreement (the “Exchange Agreement”) with Casdin Private Growth Equity Fund II, L.P. and Casdin Partners Master Fund, L.P. (together, "Casdin"), and Viking Global Opportunities Illiquid Investments Sub Master LP and Viking Global Opportunities Drawdown LP (together, “Viking” and, collectively with Casdin, the “Investors”). Pursuant to the Exchange Agreement, the Investors exchanged (the “Exchange”) an aggregate of (i) 127,780 shares of Series B-1 Convertible Preferred Stock, par value $0.001 per share (the “Series B-1 Preferred Stock”), and (ii) 127,779 shares of Series B-2 Convertible Preferred Stock, par value $0.001 per share (the “Series B-2 Preferred Stock” and, together with the Series B-1 Preferred Stock, the “Series B Preferred Stock”), representing all of the outstanding shares of Series B Preferred Stock, for an aggregate of 92,930,553 shares of our common stock. The Exchange was completed on March 18, 2024. Following the closing of the Exchange, no shares of Series B Preferred Stock remained outstanding as of March 31, 2024, and we had no amounts recorded in mezzanine equity.</w:t>
      </w:r>
    </w:p>
    <w:p>
      <w:pPr>
        <w:spacing w:after="0" w:line="19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Exchange was determined to be an induced conversion due a reduction in the original conversion price. The excess of the fair value of the common stock issued over the fair value of shares issuable under original terms represents an in-substance distribution to the Investors, and increased our net loss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5, 2024, we completed the Merger pursuant to an Agreement and Plan of Merger, dated as of October 4, 2023 (the “Merger Agreement”), by and among us, SomaLogic and Martis Merger Sub, Inc. (“Merger Sub”), pursuant to which Merger Sub merged with and into SomaLogic, with SomaLogic surviving as a wholly owned subsidiary of Standard BioTools. Upon the terms and subject to the conditions set forth in the Merger Agreement, at the Effective Time, each share of SomaLogic common stock, par value $0.0001 per share (the “SomaLogic Common Stock”), converted into the right to receive 1.11 shares of our common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1" w:name="page32"/>
    <w:bookmarkEnd w:id="31"/>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as of the effective time of the Merger (the “Effective Time”), we assumed each SomaLogic stock incentive plan, outstanding option to purchase shares of SomaLogic Common Stock and outstanding RSUs, whether vested or unvested. In addition, as of the Effective Time, each SomaLogic warrant was treated in accordance with its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have been important to our business and we expect them to impact our results of operations and financial condition in future periods:</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adoption of our services and products:</w:t>
      </w:r>
    </w:p>
    <w:p>
      <w:pPr>
        <w:spacing w:after="0" w:line="117" w:lineRule="exact"/>
        <w:rPr>
          <w:rFonts w:ascii="Times New Roman" w:cs="Times New Roman" w:eastAsia="Times New Roman" w:hAnsi="Times New Roman"/>
          <w:sz w:val="18"/>
          <w:szCs w:val="18"/>
          <w:color w:val="auto"/>
        </w:rPr>
      </w:pPr>
    </w:p>
    <w:p>
      <w:pPr>
        <w:ind w:left="1540" w:right="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have a well-established base of marquee customer and key opinion leader (“KOL”) relationships in place, and as we grow further, we expect to win contracts with new customers and expand the scope of existing contracts with existing customers.</w:t>
      </w:r>
    </w:p>
    <w:p>
      <w:pPr>
        <w:spacing w:after="0" w:line="53" w:lineRule="exact"/>
        <w:rPr>
          <w:rFonts w:ascii="Times New Roman" w:cs="Times New Roman" w:eastAsia="Times New Roman" w:hAnsi="Times New Roman"/>
          <w:sz w:val="18"/>
          <w:szCs w:val="18"/>
          <w:color w:val="auto"/>
        </w:rPr>
      </w:pPr>
    </w:p>
    <w:p>
      <w:pPr>
        <w:ind w:left="1540" w:right="3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continue to focus on growth in instrument placements, including the SomaScan® Certified Sites program, which we expect to drive future growth in sales of consumables, SomaScan® assay kits, and instrument support services.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continue to enhance our proteomics offering through continuous improvements to our proteomics instruments, and the commercial release of the LabThread SLX, which is a fully integrated system optimized for running the SomaScan® assay.</w:t>
      </w:r>
    </w:p>
    <w:p>
      <w:pPr>
        <w:spacing w:after="0" w:line="53" w:lineRule="exact"/>
        <w:rPr>
          <w:rFonts w:ascii="Times New Roman" w:cs="Times New Roman" w:eastAsia="Times New Roman" w:hAnsi="Times New Roman"/>
          <w:sz w:val="18"/>
          <w:szCs w:val="18"/>
          <w:color w:val="auto"/>
        </w:rPr>
      </w:pPr>
    </w:p>
    <w:p>
      <w:pPr>
        <w:ind w:left="154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oTotal revenue may vary from period to period based on, among other things, the timing and size of new contracts, fluctuations in customer consumption of and adoption trends, ramp time and productivity of our salesforce, the impact of significant transactions, and seasonality. Failure to effectively develop and expand our sales and marketing capabilities or improve the productivity of our sales and marketing organization could harm our ability to expand our potential customer and sales pipeline, increase our customer base, and achieve broader market acceptance of our offering.</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growth:</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continue to invest significantly in our laboratory process and commercial infrastructure.</w:t>
      </w:r>
    </w:p>
    <w:p>
      <w:pPr>
        <w:spacing w:after="0" w:line="117" w:lineRule="exact"/>
        <w:rPr>
          <w:rFonts w:ascii="Times New Roman" w:cs="Times New Roman" w:eastAsia="Times New Roman" w:hAnsi="Times New Roman"/>
          <w:sz w:val="18"/>
          <w:szCs w:val="18"/>
          <w:color w:val="auto"/>
        </w:rPr>
      </w:pPr>
    </w:p>
    <w:p>
      <w:pPr>
        <w:ind w:left="1540" w:right="1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oInvestments in research and development will include hiring of employees with the necessary scientific and technical backgrounds to enable enhancements to our existing services and products and bring new services and products to market.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lower operating costs:</w:t>
      </w:r>
    </w:p>
    <w:p>
      <w:pPr>
        <w:spacing w:after="0" w:line="117" w:lineRule="exact"/>
        <w:rPr>
          <w:rFonts w:ascii="Times New Roman" w:cs="Times New Roman" w:eastAsia="Times New Roman" w:hAnsi="Times New Roman"/>
          <w:sz w:val="18"/>
          <w:szCs w:val="18"/>
          <w:color w:val="auto"/>
        </w:rPr>
      </w:pPr>
    </w:p>
    <w:p>
      <w:pPr>
        <w:ind w:left="1540" w:right="2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oAs we integrate with SomaLogic, we continue to focus on improving operating discipline through implementation of lean Standard BioTools Business System principles to build more efficient operations and reduce costs.</w:t>
      </w:r>
    </w:p>
    <w:p>
      <w:pPr>
        <w:spacing w:after="0" w:line="53" w:lineRule="exact"/>
        <w:rPr>
          <w:rFonts w:ascii="Times New Roman" w:cs="Times New Roman" w:eastAsia="Times New Roman" w:hAnsi="Times New Roman"/>
          <w:sz w:val="18"/>
          <w:szCs w:val="18"/>
          <w:color w:val="auto"/>
        </w:rPr>
      </w:pPr>
    </w:p>
    <w:p>
      <w:pPr>
        <w:ind w:left="1540" w:right="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intend to reduce the cost of manufacturing SOMAmer® reagents by, in part, modifying our assays and laboratory processes to use materials and technologies that provide equal or greater quality at lower cost, improving how we manage our materials and negotiating favorable terms for our materials purchases.</w:t>
      </w:r>
    </w:p>
    <w:p>
      <w:pPr>
        <w:spacing w:after="0" w:line="67"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intend to reduce the cost of performing the SomaScan® assay as we move to either a less expensive array or NGS system for our DNA readout of the protein concentrations present in a sample.</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expect general and administrative expenses to trend downward during 2024 as we reduce headcount and realize synergies from the Merger.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revenue can be seasonal dependent upon the procurement and budgeting cycles of many of our customers, especially government-or grant-funded customers, whose cycles often coincide with government fiscal year ends.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proteomic content:</w:t>
      </w:r>
    </w:p>
    <w:p>
      <w:pPr>
        <w:spacing w:after="0" w:line="117" w:lineRule="exact"/>
        <w:rPr>
          <w:rFonts w:ascii="Times New Roman" w:cs="Times New Roman" w:eastAsia="Times New Roman" w:hAnsi="Times New Roman"/>
          <w:sz w:val="18"/>
          <w:szCs w:val="18"/>
          <w:color w:val="auto"/>
        </w:rPr>
      </w:pPr>
    </w:p>
    <w:p>
      <w:pPr>
        <w:ind w:left="1540" w:right="1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oTo maintain our competitive advantage in the proteomics market, we plan to increase the number of protein reagents for commercial availability based on allocated funding, resource availability, and the successful validation of new reagents.</w:t>
      </w:r>
    </w:p>
    <w:p>
      <w:pPr>
        <w:spacing w:after="0" w:line="54" w:lineRule="exact"/>
        <w:rPr>
          <w:sz w:val="20"/>
          <w:szCs w:val="20"/>
          <w:color w:val="auto"/>
        </w:rPr>
      </w:pPr>
    </w:p>
    <w:p>
      <w:pPr>
        <w:ind w:left="1540" w:right="260" w:hanging="514"/>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expand our proteomics database and artificial intelligence and machine learning analytics to drive value and market opportunities.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 w:name="page33"/>
    <w:bookmarkEnd w:id="3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our revenue from three primary sources: (1) product revenue, (2) assay services revenue, and (3) instrument support service revenues. We also derive revenue from collaborative arrangements, license agreements, grants, and royalties. Customers include top biopharmaceutical companies and leading academic research universities.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generate product revenue from the sale of instruments, consumables, SomaScan® assay kits and other related items. Consumables revenue is largely driven by the size of our active installed base of instruments and the level of usage per instrument. SomaScan assay kit sales is largely driven by the number of active SomaScan® Certified Sites ("certified sites").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Assay services revenue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generate assay services revenue primarily from the sale of SomaScan® services. SomaScan® service revenue is derived from performing the SomaScan® assay on customer samples to generate data on protein biomarkers. We expect assay services revenue to increase over the long-term with new and recurring sales opportunities. With the enhancement of our proteomic services, we expect to capture more market opportunities outside of the United States region, as well as winning contracts with new customers and expanding the scope of sales with existing customers.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Instrument support service revenue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Instrument support service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Collaboration and other revenue consists of fees earned for research and development services, except for grant revenue research and development services that are classified in other revenue. We believe expanding collaborative arrangements with KOLs will allow for further enhancements of our integrated platform, lower barriers to adoption and introduce or expand new market channels and customers within geographic regions and markets we do not currently operate 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condensed consolidated statements of operations and comprehensive loss. Our cost of product revenue and related product margin may fluctuate depending on the capacity utilization of our manufacturing facilities in response to market conditions and the demand for our products.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service revenue</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Cost of service revenue consists of raw materials and production costs, personnel-related costs, overhead and other direct costs. It also includes costs for production variances for SOMAmer® reagents, such as yield losses, material usages, spending and capacity variances. Cost of service revenue is recognized in the period the related revenue is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service revenue and related service margin may fluctuate depending on the variability in material and labor costs of servicing.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R&amp;D expenses consist primarily of personnel-related costs related to enhancing our technologies and supporting development and commercialization of new and existing products and services. R&amp;D expenses also consist of laboratory supply costs, clinical study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ind w:right="380"/>
        <w:spacing w:after="0" w:line="266" w:lineRule="auto"/>
        <w:rPr>
          <w:sz w:val="20"/>
          <w:szCs w:val="20"/>
          <w:color w:val="auto"/>
        </w:rPr>
      </w:pPr>
      <w:r>
        <w:rPr>
          <w:rFonts w:ascii="Times New Roman" w:cs="Times New Roman" w:eastAsia="Times New Roman" w:hAnsi="Times New Roman"/>
          <w:sz w:val="18"/>
          <w:szCs w:val="18"/>
          <w:color w:val="auto"/>
        </w:rPr>
        <w:t>costs, consulting fees, and other allocated overhead expenses. We plan to continue to invest significantly in our R&amp;D efforts, including hiring additional employees, with an expected focus on advancing our proteomics products and services. As a result, we expect R&amp;D expenses will increase in absolute dollars in future periods and vary from period to period as a percentage of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SG&amp;A expenses consist primarily of personnel-related costs for our sales and marketing, business development, finance, legal, human resources, information technology and general management teams, as well as professional services, including legal and accounting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Charges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Restructuring and related charges primarily consist of severance costs and facilities costs for floors we have subleased or have the intent to sublease (net of sublease income) under our facility lease in South San Francisco. These costs, including a reduction-in-force, are incurred to improve operational efficiency, achieve cost savings and align our workforce to the future needs of the business. In addition to the reduction-in-force, we are reducing leased office space, optimizing our manufacturing footprint and streamlining support functions.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Expenses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Transaction and integration expenses consist of costs incurred in connection with the Merger, including legal, advisory, accounting and other transaction-related costs including integration costs. We expect to continue incurring these costs throughout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Bargain Purchase Gain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Bargain purchase gain represents the excess of fair value of the assets acquired and liabilities assumed over the fair value of the consideration transferred in connection with the Merger. We determined that the bargain purchase gain was primarily attributable to a rapid decline in our stock price in the days following the announcement of the Merger, which persisted through the close of the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unaudited condensed consolidated statements of operations and as a percentage of total revenue for the three months ended March 31, 2024 and 2023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100 %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25,119</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product revenue</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29"/>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services revenue</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19 %</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46"/>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collaboration and other revenue</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47 %</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53 %</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35 %</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22"/>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administrative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103 %</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29"/>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46"/>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38 %</w:t>
            </w:r>
          </w:p>
        </w:tc>
        <w:tc>
          <w:tcPr>
            <w:tcW w:w="860" w:type="dxa"/>
            <w:vAlign w:val="bottom"/>
          </w:tcPr>
          <w:p>
            <w:pPr>
              <w:spacing w:after="0"/>
              <w:rPr>
                <w:sz w:val="21"/>
                <w:szCs w:val="21"/>
                <w:color w:val="auto"/>
              </w:rPr>
            </w:pPr>
          </w:p>
        </w:tc>
        <w:tc>
          <w:tcPr>
            <w:tcW w:w="138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185 %</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28,874</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(60,182 )</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(16,593 )</w:t>
            </w:r>
          </w:p>
        </w:tc>
        <w:tc>
          <w:tcPr>
            <w:tcW w:w="6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55 %</w:t>
            </w:r>
          </w:p>
        </w:tc>
        <w:tc>
          <w:tcPr>
            <w:tcW w:w="860" w:type="dxa"/>
            <w:vAlign w:val="bottom"/>
          </w:tcPr>
          <w:p>
            <w:pPr>
              <w:spacing w:after="0"/>
              <w:rPr>
                <w:sz w:val="19"/>
                <w:szCs w:val="19"/>
                <w:color w:val="auto"/>
              </w:rPr>
            </w:pPr>
          </w:p>
        </w:tc>
        <w:tc>
          <w:tcPr>
            <w:tcW w:w="138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(2,234 )</w:t>
            </w:r>
          </w:p>
        </w:tc>
        <w:tc>
          <w:tcPr>
            <w:tcW w:w="3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6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(59 )</w:t>
            </w: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(32,029 )</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(16,580 )</w:t>
            </w:r>
          </w:p>
        </w:tc>
        <w:tc>
          <w:tcPr>
            <w:tcW w:w="6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4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(128 )</w:t>
            </w:r>
          </w:p>
        </w:tc>
        <w:tc>
          <w:tcPr>
            <w:tcW w:w="3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(263 )</w:t>
            </w: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(32,157 )</w:t>
            </w:r>
          </w:p>
        </w:tc>
        <w:tc>
          <w:tcPr>
            <w:tcW w:w="340" w:type="dxa"/>
            <w:vAlign w:val="bottom"/>
          </w:tcPr>
          <w:p>
            <w:pPr>
              <w:spacing w:after="0"/>
              <w:rPr>
                <w:sz w:val="19"/>
                <w:szCs w:val="19"/>
                <w:color w:val="auto"/>
              </w:rPr>
            </w:pPr>
          </w:p>
        </w:tc>
        <w:tc>
          <w:tcPr>
            <w:tcW w:w="222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(71 )% $</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(16,843 )</w:t>
            </w:r>
          </w:p>
        </w:tc>
        <w:tc>
          <w:tcPr>
            <w:tcW w:w="6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-2828290</wp:posOffset>
            </wp:positionV>
            <wp:extent cx="713232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5" w:right="239" w:bottom="1440" w:gutter="0" w:footer="0" w:header="0"/>
        </w:sectPr>
      </w:pPr>
    </w:p>
    <w:bookmarkStart w:id="34" w:name="page35"/>
    <w:bookmarkEnd w:id="3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type and as a percentage of total revenue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Instruments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500" w:type="dxa"/>
            <w:vAlign w:val="bottom"/>
          </w:tcPr>
          <w:p>
            <w:pPr>
              <w:spacing w:after="0"/>
              <w:rPr>
                <w:sz w:val="19"/>
                <w:szCs w:val="19"/>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11 %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39"/>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Consumables</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10,411</w:t>
            </w:r>
          </w:p>
        </w:tc>
        <w:tc>
          <w:tcPr>
            <w:tcW w:w="5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23 %</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46 %</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SomaScan assay kits and related</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5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18 %</w:t>
            </w:r>
          </w:p>
        </w:tc>
        <w:tc>
          <w:tcPr>
            <w:tcW w:w="4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0 %</w:t>
            </w:r>
          </w:p>
        </w:tc>
        <w:tc>
          <w:tcPr>
            <w:tcW w:w="1900" w:type="dxa"/>
            <w:vAlign w:val="bottom"/>
            <w:gridSpan w:val="2"/>
            <w:shd w:val="clear" w:color="auto" w:fill="CFF0FC"/>
          </w:tcPr>
          <w:p>
            <w:pPr>
              <w:ind w:left="15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product revenue</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23,592</w:t>
            </w:r>
          </w:p>
        </w:tc>
        <w:tc>
          <w:tcPr>
            <w:tcW w:w="5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52 %</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69 %</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3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Assay services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14,862</w:t>
            </w:r>
          </w:p>
        </w:tc>
        <w:tc>
          <w:tcPr>
            <w:tcW w:w="5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33 %</w:t>
            </w:r>
          </w:p>
        </w:tc>
        <w:tc>
          <w:tcPr>
            <w:tcW w:w="420" w:type="dxa"/>
            <w:vAlign w:val="bottom"/>
          </w:tcPr>
          <w:p>
            <w:pPr>
              <w:spacing w:after="0"/>
              <w:rPr>
                <w:sz w:val="18"/>
                <w:szCs w:val="18"/>
                <w:color w:val="auto"/>
              </w:rPr>
            </w:pPr>
          </w:p>
        </w:tc>
        <w:tc>
          <w:tcPr>
            <w:tcW w:w="14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0 %</w:t>
            </w:r>
          </w:p>
        </w:tc>
        <w:tc>
          <w:tcPr>
            <w:tcW w:w="190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Instrument support services</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w:t>
            </w:r>
          </w:p>
        </w:tc>
        <w:tc>
          <w:tcPr>
            <w:tcW w:w="5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14 %</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206 %</w:t>
            </w: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21,027</w:t>
            </w:r>
          </w:p>
        </w:tc>
        <w:tc>
          <w:tcPr>
            <w:tcW w:w="5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46 %</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27 %</w:t>
            </w: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Collaboration and other revenue</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5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2 %</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3 %</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45,540</w:t>
            </w:r>
          </w:p>
        </w:tc>
        <w:tc>
          <w:tcPr>
            <w:tcW w:w="500" w:type="dxa"/>
            <w:vAlign w:val="bottom"/>
          </w:tcPr>
          <w:p>
            <w:pPr>
              <w:spacing w:after="0"/>
              <w:rPr>
                <w:sz w:val="19"/>
                <w:szCs w:val="19"/>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100 %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-1071245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-1071245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-1071245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-1071245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Total revenue grew 81% to $45.5 million for the three months ended March 31, 2024, compared to the three months ended March 31, 2023. Revenue increased by $23.9 million due to the acquisition of SomaLogic, offset by a decrease of $3.5 million in revenues from our legacy business. The decrease attributable to our legacy business was primarily driven by a decrease in the sales of consumables, while instrument revenue remained relatively flat. Service revenue increased by $14.1 million primarily driven by our new assay services offering, resulting from the acquisition of SomaLogic.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and as a percentage of total revenue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Year-over-</w:t>
            </w:r>
          </w:p>
        </w:tc>
      </w:tr>
      <w:tr>
        <w:trPr>
          <w:trHeight w:val="169"/>
        </w:trPr>
        <w:tc>
          <w:tcPr>
            <w:tcW w:w="35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200" w:type="dxa"/>
            <w:vAlign w:val="bottom"/>
          </w:tcPr>
          <w:p>
            <w:pPr>
              <w:spacing w:after="0"/>
              <w:rPr>
                <w:sz w:val="14"/>
                <w:szCs w:val="14"/>
                <w:color w:val="auto"/>
              </w:rPr>
            </w:pPr>
          </w:p>
        </w:tc>
      </w:tr>
      <w:tr>
        <w:trPr>
          <w:trHeight w:val="204"/>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Proteomics revenue</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79 %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61 %</w:t>
            </w: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138 %</w:t>
            </w:r>
          </w:p>
        </w:tc>
      </w:tr>
      <w:tr>
        <w:trPr>
          <w:trHeight w:val="24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Genomics revenue</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
        </w:trPr>
        <w:tc>
          <w:tcPr>
            <w:tcW w:w="3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100 %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81 %</w:t>
            </w:r>
          </w:p>
        </w:tc>
      </w:tr>
      <w:tr>
        <w:trPr>
          <w:trHeight w:val="20"/>
        </w:trPr>
        <w:tc>
          <w:tcPr>
            <w:tcW w:w="3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Total proteomics revenue grew 138% for the three months ended March 31, 2024 compared to the three months ended March 31, 2023. Our growth in proteomics was driven by the acquisition of SomaLogic, which expanded our proteomics capabilities, products and services.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Total genomics revenue decreased 6% for the three months ended March 31, 2024 compared to the three months ended March 31, 2023. The continued decline in the genomics segment was anticipated, and is a driver of our continued focus on growing the OEM business and managing this segment to sustainable positive contribution margin in the near-term.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gross profit, and gross margin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220" w:type="dxa"/>
            <w:vAlign w:val="bottom"/>
          </w:tcPr>
          <w:p>
            <w:pPr>
              <w:spacing w:after="0"/>
              <w:rPr>
                <w:sz w:val="19"/>
                <w:szCs w:val="19"/>
                <w:color w:val="auto"/>
              </w:rPr>
            </w:pPr>
          </w:p>
        </w:tc>
        <w:tc>
          <w:tcPr>
            <w:tcW w:w="146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2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20" w:type="dxa"/>
            <w:vAlign w:val="bottom"/>
          </w:tcPr>
          <w:p>
            <w:pPr>
              <w:spacing w:after="0"/>
              <w:rPr>
                <w:sz w:val="20"/>
                <w:szCs w:val="20"/>
                <w:color w:val="auto"/>
              </w:rPr>
            </w:pPr>
          </w:p>
        </w:tc>
        <w:tc>
          <w:tcPr>
            <w:tcW w:w="1460" w:type="dxa"/>
            <w:vAlign w:val="bottom"/>
            <w:gridSpan w:val="2"/>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5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10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2"/>
                <w:szCs w:val="22"/>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220" w:type="dxa"/>
            <w:vAlign w:val="bottom"/>
          </w:tcPr>
          <w:p>
            <w:pPr>
              <w:spacing w:after="0"/>
              <w:rPr>
                <w:sz w:val="20"/>
                <w:szCs w:val="20"/>
                <w:color w:val="auto"/>
              </w:rPr>
            </w:pPr>
          </w:p>
        </w:tc>
        <w:tc>
          <w:tcPr>
            <w:tcW w:w="146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line="20" w:lineRule="exact"/>
              <w:rPr>
                <w:sz w:val="1"/>
                <w:szCs w:val="1"/>
                <w:color w:val="auto"/>
              </w:rPr>
            </w:pPr>
          </w:p>
        </w:tc>
      </w:tr>
      <w:tr>
        <w:trPr>
          <w:trHeight w:val="215"/>
        </w:trPr>
        <w:tc>
          <w:tcPr>
            <w:tcW w:w="5280" w:type="dxa"/>
            <w:vAlign w:val="bottom"/>
            <w:vMerge w:val="continue"/>
          </w:tcPr>
          <w:p>
            <w:pPr>
              <w:spacing w:after="0"/>
              <w:rPr>
                <w:sz w:val="18"/>
                <w:szCs w:val="18"/>
                <w:color w:val="auto"/>
              </w:rPr>
            </w:pP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220" w:type="dxa"/>
            <w:vAlign w:val="bottom"/>
          </w:tcPr>
          <w:p>
            <w:pPr>
              <w:spacing w:after="0"/>
              <w:rPr>
                <w:sz w:val="18"/>
                <w:szCs w:val="18"/>
                <w:color w:val="auto"/>
              </w:rPr>
            </w:pPr>
          </w:p>
        </w:tc>
        <w:tc>
          <w:tcPr>
            <w:tcW w:w="146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2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53.1 %</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Gross profit increased by $11.9 million, or 97%, for the three months ended March 31, 2024 compared to the three months ended March 31, 2023. The increase in gross profit during the three months ended March 31, 2024 compared to the three months ended March 31, 2023 was primarily attributable to the impact from the Merger in the first quarter of 2024 which resulted in increased revenue and improved margins from SomaScan® assay services, as well as increased sales of instruments and consumables.</w:t>
      </w:r>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Year-over-</w:t>
            </w:r>
          </w:p>
        </w:tc>
      </w:tr>
      <w:tr>
        <w:trPr>
          <w:trHeight w:val="169"/>
        </w:trPr>
        <w:tc>
          <w:tcPr>
            <w:tcW w:w="5440" w:type="dxa"/>
            <w:vAlign w:val="bottom"/>
          </w:tcPr>
          <w:p>
            <w:pPr>
              <w:spacing w:after="0"/>
              <w:rPr>
                <w:sz w:val="14"/>
                <w:szCs w:val="14"/>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60" w:type="dxa"/>
            <w:vAlign w:val="bottom"/>
          </w:tcPr>
          <w:p>
            <w:pPr>
              <w:spacing w:after="0"/>
              <w:rPr>
                <w:sz w:val="14"/>
                <w:szCs w:val="14"/>
                <w:color w:val="auto"/>
              </w:rPr>
            </w:pP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44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46,943</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24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144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28,874</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0"/>
        </w:trPr>
        <w:tc>
          <w:tcPr>
            <w:tcW w:w="5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R&amp;D expense increased by $9.6 million, or 149%, for the three months ended March 31, 2024, compared to the three months ended March 31, 2023. The increase was primarily due to the impact of the Merger in the first quarter of 2024, which resulted in an increase of $8.5 million in R&amp;D expense from SomaLogic operations and an increase of $0.8 million in stock-based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SG&amp;A expense increased by $25.6 million, or 120%, for the three months ended March 31, 2024 compared to the three months ended March 31, 2023. The increase was primarily attributable to the impact of the Merger in the first quarter of 2024, which included increased salaries and benefits expense and stock based compensation expense due to the expanded global workforce headcount.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Restructuring and Related Charges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related charges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Year-over-</w:t>
            </w:r>
          </w:p>
        </w:tc>
      </w:tr>
      <w:tr>
        <w:trPr>
          <w:trHeight w:val="169"/>
        </w:trPr>
        <w:tc>
          <w:tcPr>
            <w:tcW w:w="5860" w:type="dxa"/>
            <w:vAlign w:val="bottom"/>
          </w:tcPr>
          <w:p>
            <w:pPr>
              <w:spacing w:after="0"/>
              <w:rPr>
                <w:sz w:val="14"/>
                <w:szCs w:val="14"/>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Change</w:t>
            </w:r>
          </w:p>
        </w:tc>
        <w:tc>
          <w:tcPr>
            <w:tcW w:w="160" w:type="dxa"/>
            <w:vAlign w:val="bottom"/>
          </w:tcPr>
          <w:p>
            <w:pPr>
              <w:spacing w:after="0"/>
              <w:rPr>
                <w:sz w:val="14"/>
                <w:szCs w:val="14"/>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termination benefits</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3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1060 %</w:t>
            </w:r>
          </w:p>
        </w:tc>
      </w:tr>
      <w:tr>
        <w:trPr>
          <w:trHeight w:val="252"/>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w:t>
            </w:r>
          </w:p>
        </w:tc>
        <w:tc>
          <w:tcPr>
            <w:tcW w:w="1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and related charges</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3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0"/>
        </w:trPr>
        <w:tc>
          <w:tcPr>
            <w:tcW w:w="5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Restructuring and related charges increased by $3.1 million for the three months ended March 31, 2024 compared to the three months ended March 31, 2023, primarily due to increased severance and termination benefits in connection with the Merger that was consummated in the first quarter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Transaction and Integration Expenses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Transaction and integration expenses increased by $17.2 million for the three months ended March 31, 2024 compared to the same period in 2023. The increase for the three months ended March 31, 2024 was due to legal, advisory, accounting costs, and integration expenses incurred in connection with the Merger. The Company expects to incur additional amounts in future periods for the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Bargain purchase gain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Bargain purchase gain increased by $25.2 million for the three months ended March 31, 2024 compared to the same periods in 2023. The increase for the three months ended March 31, 2024 was due to the consummation of the Merger in January 2024, which resulted in the fair value of assets acquired and liabilities assumed from the Merger exceeding the fair value of the consideration transferred due to a decline in our stock price following the announcement of the Merger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Interest Income, net</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increase in other income, net of $5.1 million for the three months ended March 31, 2024 compared to the same period in 2023</w:t>
      </w:r>
      <w:r>
        <w:rPr>
          <w:rFonts w:ascii="Times New Roman" w:cs="Times New Roman" w:eastAsia="Times New Roman" w:hAnsi="Times New Roman"/>
          <w:sz w:val="18"/>
          <w:szCs w:val="18"/>
          <w:color w:val="242424"/>
        </w:rPr>
        <w:t>,</w:t>
      </w:r>
      <w:r>
        <w:rPr>
          <w:rFonts w:ascii="Times New Roman" w:cs="Times New Roman" w:eastAsia="Times New Roman" w:hAnsi="Times New Roman"/>
          <w:sz w:val="18"/>
          <w:szCs w:val="18"/>
          <w:color w:val="auto"/>
        </w:rPr>
        <w:t xml:space="preserve"> was primarily due to the interest earned on increased balances of money market funds and short-term investments and higher interest rates, as well as a decrease in interest expense due to repayment of our term loan in March 2024. Money market funds balances and short-term investments increased as a result of the Merger with SomaLogic.</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4" w:right="279" w:bottom="1440" w:gutter="0" w:footer="0" w:header="0"/>
        </w:sectPr>
      </w:pPr>
    </w:p>
    <w:bookmarkStart w:id="36" w:name="page37"/>
    <w:bookmarkEnd w:id="3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$0.1 million and $0.3 million in the three months ended March 31, 2024 and 2023, respectively. The decrease in our tax provision reflects the effect of our foreign operations, which reported lower pre-tax income in the three months ended March 31, 2024 compared to the three months ended March 31, 2023.</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since inception and have an accumulated deficit of $1,078.9 million as of March 31, 2024. To date, we have funded our operating losses primarily through equity offerings, term loans, convertible notes and redeemable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ERP upgrade; and costs and timing of acquiring other businesses, assets or technologies.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and short-term investments. Our collective balances of cash, cash equivalents and short-term investments were $462.3 million at March 31, 2024 and $114.9 million at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 and Commitments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enter into arrangements that serve as sources of capital and the associated contractual agreements may result in firm or contingent obligations of us. In addition to our common stockholders’ equity, our sources of capital primarily include debt and operating leases. Our operating lease arrangements require cash repayment and our convertible debt that matures on December 1, 2024 contains rights that may result in their conversion to our common stock prior to maturity. On March 4, 2024, the Company fully repaid all outstanding indebtedness owed pursuant to the Term Loan Facility and terminated the agreement.</w:t>
      </w:r>
    </w:p>
    <w:p>
      <w:pPr>
        <w:spacing w:after="0" w:line="1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the SomaLogic Merger on January 5, 2024, we assumed additional cash commitments, including a requirement under the agreement originally entered into by SomaLogic with Illumina Cambridge, Ltd. in December 2021, to engage with two contract manufacturing organizations in order to ensure manufacturing capacity. Specifically, we assumed minimum annual purchase commitments of $2.3 million with IDT who is contracted to manufacture custom products. As the minimum contract term is three years, our total purchase commitment related to the agreement is $6.9 million. As of March 31, 2024, the Company has not yet began placing orders under the agreement with IDT.</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terms and provisions of our debt and leases are more fully discussed in </w:t>
      </w:r>
      <w:r>
        <w:rPr>
          <w:rFonts w:ascii="Times New Roman" w:cs="Times New Roman" w:eastAsia="Times New Roman" w:hAnsi="Times New Roman"/>
          <w:sz w:val="18"/>
          <w:szCs w:val="18"/>
          <w:u w:val="single" w:color="auto"/>
          <w:color w:val="0000FF"/>
        </w:rPr>
        <w:t>Notes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respectively, in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-185420</wp:posOffset>
            </wp:positionV>
            <wp:extent cx="3524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52425"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-185420</wp:posOffset>
            </wp:positionV>
            <wp:extent cx="571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summary was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(62,476 )</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(8,485 )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318,075</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(19,733 )</w:t>
            </w: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(2,558 )</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9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98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cash equivalents</w:t>
            </w:r>
          </w:p>
        </w:tc>
        <w:tc>
          <w:tcPr>
            <w:tcW w:w="9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235,845</w:t>
            </w:r>
          </w:p>
        </w:tc>
        <w:tc>
          <w:tcPr>
            <w:tcW w:w="28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2024, we used $38.8 million of net proceeds from the sales and maturities of short-term investments to help fund $62.5 million of net cash used in operating activities, $11.1 million of common stock repurchases, and $8.2 million of repayment of term loan and convertible notes.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2023, we used $44.2 million of net proceeds from the sales and maturities of short-term investments to help fund $8.5 million of net cash used in operating activities, $2.5 million of common stock repurchases, and a $32.1 million increase in cash and cash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increased by $54.0 million compared to the same period in 2023. The increase reflects a higher net loss and adjustments for non-cash items, which collectively used $40.0 million in the three months ended March 31, 2024 compared to $8.8 million used in the same period of 2023, and changes in net operating assets and liabilities which used $22.5 million and provided $0.4 million in the three months ended March 31,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$318.1 million compared to $43.2 million used in the three months ended March 31, 2023. The three months ended March 31, 2024 primarily reflects $280.0 million of cash and restricted cash acquired in the Merger, and $38.8 million of proceeds from sales and maturities of short-term investments, net of purchases. The first quarter of 2023 primarily reflects $44.2 million of proceeds from sales and maturities of short-term investments, net of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Financing activities used cash of $19.7 million for the three months ended March 31, 2024 and $2.6 million in the same period of 2023. These changes in cash from financing activities primarily reflect $11.1 million of common stock share repurchases, and $8.2 million of repayment of term loan and convertible notes in the three months ended March 31, 2024. These changes in cash during the first quarter of 2023 primarily reflect $2.5 million of common stock share repurchases.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on our unaudited condensed consolidated financial statements and related notes, which have been prepared in accordance with U.S. GAAP.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income tax liabilities (assets) and preferred equity. Refer to Item 7 in our Annual Report for additional information regarding our critical accounting policies and estimates.</w:t>
      </w:r>
    </w:p>
    <w:p>
      <w:pPr>
        <w:spacing w:after="0" w:line="1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significant changes to our significant accounting policies described in our Annual Report, other than as disclosed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our accompanying financial statements appearing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6242685</wp:posOffset>
            </wp:positionH>
            <wp:positionV relativeFrom="paragraph">
              <wp:posOffset>-185420</wp:posOffset>
            </wp:positionV>
            <wp:extent cx="3079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standards are issued by the Financial Accounting Standards Board or other standard setting bodies and 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CEO and CFO concluded that, as of such date, our disclosure controls and procedures were effective at the reasonable assurance level.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the Condensed Consolidated Financial Statements (Unaudited)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-185420</wp:posOffset>
            </wp:positionV>
            <wp:extent cx="3079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numerous uncertainties and risks. You should carefully consider the risk factors discussed in Part I Item 1A “Risk Factors” in our Annual Report, which could materially affect our business, financial condition or results of operations. The risks in our Annual Report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Issuer Purchases of Equity Securities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6, 2024, our board of directors authorized a share repurchase program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March 31, 2024, we have repurchased 4,119,486 shares of our common stock under the 2024 Share Repurchase Program.</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monthly information with respect to the shares of common stock repurchased by us during the three months ended March 31,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64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50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7"/>
        </w:trPr>
        <w:tc>
          <w:tcPr>
            <w:tcW w:w="3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 (1)</w:t>
            </w: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4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1-31, 2024</w:t>
            </w:r>
          </w:p>
        </w:tc>
        <w:tc>
          <w:tcPr>
            <w:tcW w:w="1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7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8"/>
              </w:rPr>
              <w:t>$50.0 million</w:t>
            </w:r>
          </w:p>
        </w:tc>
        <w:tc>
          <w:tcPr>
            <w:tcW w:w="0" w:type="dxa"/>
            <w:vAlign w:val="bottom"/>
          </w:tcPr>
          <w:p>
            <w:pPr>
              <w:spacing w:after="0"/>
              <w:rPr>
                <w:sz w:val="1"/>
                <w:szCs w:val="1"/>
                <w:color w:val="auto"/>
              </w:rPr>
            </w:pPr>
          </w:p>
        </w:tc>
      </w:tr>
      <w:tr>
        <w:trPr>
          <w:trHeight w:val="23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1-28, 2024</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7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$50.0 million</w:t>
            </w:r>
          </w:p>
        </w:tc>
        <w:tc>
          <w:tcPr>
            <w:tcW w:w="0" w:type="dxa"/>
            <w:vAlign w:val="bottom"/>
          </w:tcPr>
          <w:p>
            <w:pPr>
              <w:spacing w:after="0"/>
              <w:rPr>
                <w:sz w:val="1"/>
                <w:szCs w:val="1"/>
                <w:color w:val="auto"/>
              </w:rPr>
            </w:pPr>
          </w:p>
        </w:tc>
      </w:tr>
      <w:tr>
        <w:trPr>
          <w:trHeight w:val="24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1-31, 2024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4,119,486</w:t>
            </w:r>
          </w:p>
        </w:tc>
        <w:tc>
          <w:tcPr>
            <w:tcW w:w="6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4,119,486</w:t>
            </w: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8"/>
              </w:rPr>
              <w:t>$39.0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Average price paid per share includes commission fees.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March 31, 2024, none of our officers or directors adopted, modified or terminated any such trading arrangements.</w:t>
      </w:r>
    </w:p>
    <w:p>
      <w:pPr>
        <w:spacing w:after="0" w:line="6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55" w:right="6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9"/>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Exhibit</w:t>
            </w:r>
          </w:p>
        </w:tc>
        <w:tc>
          <w:tcPr>
            <w:tcW w:w="200" w:type="dxa"/>
            <w:vAlign w:val="bottom"/>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87"/>
        </w:trPr>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19"/>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Borders>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Eighth Amended and Restated Certificate of Incorporation filed on February 15,</w:t>
              </w:r>
            </w:hyperlink>
          </w:p>
        </w:tc>
        <w:tc>
          <w:tcPr>
            <w:tcW w:w="220" w:type="dxa"/>
            <w:vAlign w:val="bottom"/>
            <w:gridSpan w:val="6"/>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10-K</w:t>
            </w:r>
          </w:p>
        </w:tc>
        <w:tc>
          <w:tcPr>
            <w:tcW w:w="2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3/28/2011</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40" w:type="dxa"/>
            <w:vAlign w:val="bottom"/>
            <w:gridSpan w:val="3"/>
          </w:tcPr>
          <w:p>
            <w:pPr>
              <w:ind w:left="240"/>
              <w:spacing w:after="0" w:line="196" w:lineRule="exact"/>
              <w:rPr>
                <w:rFonts w:ascii="Times New Roman" w:cs="Times New Roman" w:eastAsia="Times New Roman" w:hAnsi="Times New Roman"/>
                <w:sz w:val="18"/>
                <w:szCs w:val="18"/>
                <w:color w:val="0000FF"/>
                <w:w w:val="88"/>
              </w:rPr>
            </w:pPr>
            <w:hyperlink r:id="rId296">
              <w:r>
                <w:rPr>
                  <w:rFonts w:ascii="Times New Roman" w:cs="Times New Roman" w:eastAsia="Times New Roman" w:hAnsi="Times New Roman"/>
                  <w:sz w:val="18"/>
                  <w:szCs w:val="18"/>
                  <w:color w:val="0000FF"/>
                  <w:w w:val="88"/>
                </w:rPr>
                <w:t>2011.</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24"/>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Amended and Restated Bylaws of Standard BioTools Inc.</w:t>
              </w:r>
            </w:hyperlink>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4.8</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Certificate of Amendment to the Eighth Amended and Restated Certificate of</w:t>
              </w:r>
            </w:hyperlink>
          </w:p>
        </w:tc>
        <w:tc>
          <w:tcPr>
            <w:tcW w:w="42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4.3</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98">
              <w:r>
                <w:rPr>
                  <w:rFonts w:ascii="Times New Roman" w:cs="Times New Roman" w:eastAsia="Times New Roman" w:hAnsi="Times New Roman"/>
                  <w:sz w:val="18"/>
                  <w:szCs w:val="18"/>
                  <w:color w:val="0000FF"/>
                  <w:w w:val="97"/>
                </w:rPr>
                <w:t>Incorporation.</w:t>
              </w:r>
            </w:hyperlink>
          </w:p>
        </w:tc>
        <w:tc>
          <w:tcPr>
            <w:tcW w:w="20" w:type="dxa"/>
            <w:vAlign w:val="bottom"/>
            <w:tcBorders>
              <w:bottom w:val="single" w:sz="8" w:color="0000EE"/>
            </w:tcBorders>
          </w:tcPr>
          <w:p>
            <w:pPr>
              <w:spacing w:after="0"/>
              <w:rPr>
                <w:sz w:val="17"/>
                <w:szCs w:val="17"/>
                <w:color w:val="auto"/>
              </w:rPr>
            </w:pPr>
          </w:p>
        </w:tc>
        <w:tc>
          <w:tcPr>
            <w:tcW w:w="500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Second Certificate of Amendment to the Eighth Amended and Restated Certificate</w:t>
              </w:r>
            </w:hyperlink>
          </w:p>
        </w:tc>
        <w:tc>
          <w:tcPr>
            <w:tcW w:w="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1/5/2024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of Incorporation, as amended, of Standard BioTools Inc., as filed with the Secretary</w:t>
              </w:r>
            </w:hyperlink>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of State of the State of Delaware on January 4, 2024.</w:t>
              </w:r>
            </w:hyperlink>
          </w:p>
        </w:tc>
        <w:tc>
          <w:tcPr>
            <w:tcW w:w="20" w:type="dxa"/>
            <w:vAlign w:val="bottom"/>
            <w:tcBorders>
              <w:bottom w:val="single" w:sz="8" w:color="0000EE"/>
            </w:tcBorders>
          </w:tcPr>
          <w:p>
            <w:pPr>
              <w:spacing w:after="0"/>
              <w:rPr>
                <w:sz w:val="17"/>
                <w:szCs w:val="17"/>
                <w:color w:val="auto"/>
              </w:rPr>
            </w:pPr>
          </w:p>
        </w:tc>
        <w:tc>
          <w:tcPr>
            <w:tcW w:w="222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Certificate of Designations of Rights, Preferences and Privileges of Series B-1</w:t>
              </w:r>
            </w:hyperlink>
          </w:p>
        </w:tc>
        <w:tc>
          <w:tcPr>
            <w:tcW w:w="36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3.6</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4/5/2022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00">
              <w:r>
                <w:rPr>
                  <w:rFonts w:ascii="Times New Roman" w:cs="Times New Roman" w:eastAsia="Times New Roman" w:hAnsi="Times New Roman"/>
                  <w:sz w:val="18"/>
                  <w:szCs w:val="18"/>
                  <w:color w:val="0000FF"/>
                  <w:w w:val="98"/>
                </w:rPr>
                <w:t>Convertible Preferred Stock.</w:t>
              </w:r>
            </w:hyperlink>
          </w:p>
        </w:tc>
        <w:tc>
          <w:tcPr>
            <w:tcW w:w="20" w:type="dxa"/>
            <w:vAlign w:val="bottom"/>
            <w:tcBorders>
              <w:bottom w:val="single" w:sz="8" w:color="0000EE"/>
            </w:tcBorders>
          </w:tcPr>
          <w:p>
            <w:pPr>
              <w:spacing w:after="0"/>
              <w:rPr>
                <w:sz w:val="17"/>
                <w:szCs w:val="17"/>
                <w:color w:val="auto"/>
              </w:rPr>
            </w:pPr>
          </w:p>
        </w:tc>
        <w:tc>
          <w:tcPr>
            <w:tcW w:w="396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Certificate of Designations of Rights, Preferences and Privileges of Series B-2</w:t>
              </w:r>
            </w:hyperlink>
          </w:p>
        </w:tc>
        <w:tc>
          <w:tcPr>
            <w:tcW w:w="36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3.7</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4/5/2022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01">
              <w:r>
                <w:rPr>
                  <w:rFonts w:ascii="Times New Roman" w:cs="Times New Roman" w:eastAsia="Times New Roman" w:hAnsi="Times New Roman"/>
                  <w:sz w:val="18"/>
                  <w:szCs w:val="18"/>
                  <w:color w:val="0000FF"/>
                  <w:w w:val="98"/>
                </w:rPr>
                <w:t>Convertible Preferred Stock.</w:t>
              </w:r>
            </w:hyperlink>
          </w:p>
        </w:tc>
        <w:tc>
          <w:tcPr>
            <w:tcW w:w="398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24"/>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Certificate of Elimination of Series B-1 Convertible Preferred Stock.</w:t>
              </w:r>
            </w:hyperlink>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3/18/2024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Borders>
              <w:right w:val="single" w:sz="8" w:color="0000FF"/>
            </w:tcBorders>
            <w:gridSpan w:val="6"/>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24"/>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Certificate of Elimination of Series B-2 Convertible Preferred Stock.</w:t>
              </w:r>
            </w:hyperlink>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3.2</w:t>
            </w:r>
          </w:p>
        </w:tc>
        <w:tc>
          <w:tcPr>
            <w:tcW w:w="13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3/18/2024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Borders>
              <w:right w:val="single" w:sz="8" w:color="0000FF"/>
            </w:tcBorders>
            <w:gridSpan w:val="6"/>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Standard BioTools Inc. Amended and Restated 2011 Equity Incentive Plan.</w:t>
              </w:r>
            </w:hyperlink>
          </w:p>
        </w:tc>
        <w:tc>
          <w:tcPr>
            <w:tcW w:w="20" w:type="dxa"/>
            <w:vAlign w:val="bottom"/>
            <w:tcBorders>
              <w:bottom w:val="single" w:sz="8" w:color="0000EE"/>
            </w:tcBorders>
          </w:tcPr>
          <w:p>
            <w:pPr>
              <w:spacing w:after="0"/>
              <w:rPr>
                <w:sz w:val="24"/>
                <w:szCs w:val="24"/>
                <w:color w:val="auto"/>
              </w:rPr>
            </w:pPr>
          </w:p>
        </w:tc>
        <w:tc>
          <w:tcPr>
            <w:tcW w:w="60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1/5/2024</w:t>
            </w:r>
          </w:p>
        </w:tc>
        <w:tc>
          <w:tcPr>
            <w:tcW w:w="0" w:type="dxa"/>
            <w:vAlign w:val="bottom"/>
          </w:tcPr>
          <w:p>
            <w:pPr>
              <w:spacing w:after="0"/>
              <w:rPr>
                <w:sz w:val="1"/>
                <w:szCs w:val="1"/>
                <w:color w:val="auto"/>
              </w:rPr>
            </w:pPr>
          </w:p>
        </w:tc>
      </w:tr>
      <w:tr>
        <w:trPr>
          <w:trHeight w:val="39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Exchange Agreement, dated March 18, 2024, by and between Standard BioTools</w:t>
              </w:r>
            </w:hyperlink>
          </w:p>
        </w:tc>
        <w:tc>
          <w:tcPr>
            <w:tcW w:w="1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3/18/2024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Inc. and Casdin Private Growth Equity Fund II, L.P., Casdin Partners Master Fund,</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L.P., Viking Global Opportunities Illiquid Investments Sub-Master LP and Viking</w:t>
              </w:r>
            </w:hyperlink>
          </w:p>
        </w:tc>
        <w:tc>
          <w:tcPr>
            <w:tcW w:w="1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24"/>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Global Opportunities Drawdown (Aggregator) LP.</w:t>
              </w:r>
            </w:hyperlink>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Borders>
              <w:right w:val="single" w:sz="8" w:color="0000EE"/>
            </w:tcBorders>
            <w:gridSpan w:val="6"/>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as Adopted Pursuant to Section</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302 of the Sarbanes-Oxley Act of 2002 of Chief Executive Officer.</w:t>
            </w:r>
          </w:p>
        </w:tc>
        <w:tc>
          <w:tcPr>
            <w:tcW w:w="20" w:type="dxa"/>
            <w:vAlign w:val="bottom"/>
            <w:tcBorders>
              <w:bottom w:val="single" w:sz="8" w:color="0000EE"/>
            </w:tcBorders>
          </w:tcPr>
          <w:p>
            <w:pPr>
              <w:spacing w:after="0"/>
              <w:rPr>
                <w:sz w:val="17"/>
                <w:szCs w:val="17"/>
                <w:color w:val="auto"/>
              </w:rPr>
            </w:pPr>
          </w:p>
        </w:tc>
        <w:tc>
          <w:tcPr>
            <w:tcW w:w="120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as Adopted Pursuant to Section</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 of Chief Financial Officer.</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right w:val="single" w:sz="8" w:color="0000EE"/>
            </w:tcBorders>
            <w:gridSpan w:val="10"/>
            <w:shd w:val="clear" w:color="auto" w:fill="0000FF"/>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w:t>
            </w:r>
          </w:p>
        </w:tc>
        <w:tc>
          <w:tcPr>
            <w:tcW w:w="14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 of Chief Executive Officer.</w:t>
            </w:r>
          </w:p>
        </w:tc>
        <w:tc>
          <w:tcPr>
            <w:tcW w:w="20" w:type="dxa"/>
            <w:vAlign w:val="bottom"/>
            <w:tcBorders>
              <w:bottom w:val="single" w:sz="8" w:color="0000EE"/>
            </w:tcBorders>
          </w:tcPr>
          <w:p>
            <w:pPr>
              <w:spacing w:after="0"/>
              <w:rPr>
                <w:sz w:val="17"/>
                <w:szCs w:val="17"/>
                <w:color w:val="auto"/>
              </w:rPr>
            </w:pPr>
          </w:p>
        </w:tc>
        <w:tc>
          <w:tcPr>
            <w:tcW w:w="120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w:t>
            </w:r>
          </w:p>
        </w:tc>
        <w:tc>
          <w:tcPr>
            <w:tcW w:w="14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of Chief Financial Officer.</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right w:val="single" w:sz="8" w:color="0000EE"/>
            </w:tcBorders>
            <w:gridSpan w:val="10"/>
            <w:shd w:val="clear" w:color="auto" w:fill="0000FF"/>
          </w:tcPr>
          <w:p>
            <w:pPr>
              <w:spacing w:after="0" w:line="20" w:lineRule="exact"/>
              <w:rPr>
                <w:sz w:val="1"/>
                <w:szCs w:val="1"/>
                <w:color w:val="auto"/>
              </w:rPr>
            </w:pPr>
          </w:p>
        </w:tc>
        <w:tc>
          <w:tcPr>
            <w:tcW w:w="126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Interactive Data File as its XBRL tags are embedded within the Inline XBRL</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5020" w:type="dxa"/>
            <w:vAlign w:val="bottom"/>
            <w:gridSpan w:val="12"/>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900" w:type="dxa"/>
            <w:vAlign w:val="bottom"/>
            <w:vMerge w:val="restart"/>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9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2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598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00" w:type="dxa"/>
            <w:vAlign w:val="bottom"/>
          </w:tcPr>
          <w:p>
            <w:pPr>
              <w:jc w:val="center"/>
              <w:ind w:left="464"/>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From Exhibit</w:t>
            </w: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980" w:type="dxa"/>
            <w:vAlign w:val="bottom"/>
            <w:vMerge w:val="continue"/>
          </w:tcPr>
          <w:p>
            <w:pPr>
              <w:spacing w:after="0"/>
              <w:rPr>
                <w:sz w:val="16"/>
                <w:szCs w:val="16"/>
                <w:color w:val="auto"/>
              </w:rPr>
            </w:pPr>
          </w:p>
        </w:tc>
        <w:tc>
          <w:tcPr>
            <w:tcW w:w="1900" w:type="dxa"/>
            <w:vAlign w:val="bottom"/>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12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1900" w:type="dxa"/>
            <w:vAlign w:val="bottom"/>
          </w:tcPr>
          <w:p>
            <w:pPr>
              <w:jc w:val="center"/>
              <w:ind w:left="46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contracts or compensation plans or arrangements in which directors or executive officers are eligible to participate.</w:t>
      </w:r>
    </w:p>
    <w:p>
      <w:pPr>
        <w:spacing w:after="0" w:line="127" w:lineRule="exact"/>
        <w:rPr>
          <w:sz w:val="20"/>
          <w:szCs w:val="20"/>
          <w:color w:val="auto"/>
        </w:rPr>
      </w:pPr>
    </w:p>
    <w:p>
      <w:pPr>
        <w:ind w:left="520" w:hanging="512"/>
        <w:spacing w:after="0" w:line="272"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2" w:right="4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4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STANDARD BIOTOOLS INC.</w:t>
            </w:r>
          </w:p>
        </w:tc>
      </w:tr>
      <w:tr>
        <w:trPr>
          <w:trHeight w:val="621"/>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9, 2024</w:t>
            </w:r>
          </w:p>
        </w:tc>
        <w:tc>
          <w:tcPr>
            <w:tcW w:w="1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Egholm, Ph.D.</w:t>
            </w:r>
          </w:p>
        </w:tc>
      </w:tr>
      <w:tr>
        <w:trPr>
          <w:trHeight w:val="27"/>
        </w:trPr>
        <w:tc>
          <w:tcPr>
            <w:tcW w:w="2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Egholm, Ph.D.</w:t>
            </w:r>
          </w:p>
        </w:tc>
      </w:tr>
      <w:tr>
        <w:trPr>
          <w:trHeight w:val="270"/>
        </w:trPr>
        <w:tc>
          <w:tcPr>
            <w:tcW w:w="2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70"/>
        </w:trPr>
        <w:tc>
          <w:tcPr>
            <w:tcW w:w="2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7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9, 2024</w:t>
            </w:r>
          </w:p>
        </w:tc>
        <w:tc>
          <w:tcPr>
            <w:tcW w:w="1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Jeffrey Black</w:t>
            </w:r>
          </w:p>
        </w:tc>
      </w:tr>
      <w:tr>
        <w:trPr>
          <w:trHeight w:val="27"/>
        </w:trPr>
        <w:tc>
          <w:tcPr>
            <w:tcW w:w="2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Black</w:t>
            </w:r>
          </w:p>
        </w:tc>
      </w:tr>
      <w:tr>
        <w:trPr>
          <w:trHeight w:val="270"/>
        </w:trPr>
        <w:tc>
          <w:tcPr>
            <w:tcW w:w="2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2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567"/>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41</w:t>
            </w:r>
          </w:p>
        </w:tc>
      </w:tr>
      <w:tr>
        <w:trPr>
          <w:trHeight w:val="763"/>
        </w:trPr>
        <w:tc>
          <w:tcPr>
            <w:tcW w:w="2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Egholm, Ph.D., certify that:</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Black, certify that:</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 /s/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Jeffrey Black</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 Michael Egholm, Ph.D., the Chief Executive Officer of Standard BioTools Inc. (the “Company”), certify for the purposes of 18 U.S.C. Section 1350, as adopted pursuant to Section 906 of the Sarbanes-Oxley Act of 2002, that, to the best of my knowledge,</w:t>
      </w:r>
    </w:p>
    <w:p>
      <w:pPr>
        <w:spacing w:after="0" w:line="54" w:lineRule="exact"/>
        <w:rPr>
          <w:sz w:val="20"/>
          <w:szCs w:val="20"/>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2024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5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26035</wp:posOffset>
            </wp:positionV>
            <wp:extent cx="27774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40" w:firstLine="515"/>
        <w:spacing w:after="0" w:line="282" w:lineRule="auto"/>
        <w:rPr>
          <w:sz w:val="20"/>
          <w:szCs w:val="20"/>
          <w:color w:val="auto"/>
        </w:rPr>
      </w:pPr>
      <w:r>
        <w:rPr>
          <w:rFonts w:ascii="Times New Roman" w:cs="Times New Roman" w:eastAsia="Times New Roman" w:hAnsi="Times New Roman"/>
          <w:sz w:val="18"/>
          <w:szCs w:val="18"/>
          <w:color w:val="auto"/>
        </w:rPr>
        <w:t>I, Jeffrey Black, the Chief Financial Officer of Standard BioTools Inc. (the “Company”), certify for the purposes of 18 U.S.C. Section 1350, as adopted pursuant to Section 906 of the Sarbanes-Oxley Act of 2002, that, to the best of my knowledge,</w:t>
      </w:r>
    </w:p>
    <w:p>
      <w:pPr>
        <w:spacing w:after="0" w:line="54" w:lineRule="exact"/>
        <w:rPr>
          <w:sz w:val="20"/>
          <w:szCs w:val="20"/>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2024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5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 /s/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26035</wp:posOffset>
            </wp:positionV>
            <wp:extent cx="27603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Jeffrey Black</w:t>
      </w:r>
    </w:p>
    <w:p>
      <w:pPr>
        <w:spacing w:after="0" w:line="3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o"/>
      <w:numFmt w:val="bullet"/>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296" Type="http://schemas.openxmlformats.org/officeDocument/2006/relationships/hyperlink" Target="https://www.sec.gov/Archives/edgar/data/1162194/000119312511078412/dex31.htm" TargetMode="External"/><Relationship Id="rId297" Type="http://schemas.openxmlformats.org/officeDocument/2006/relationships/hyperlink" Target="https://www.sec.gov/Archives/edgar/data/1162194/000119312522093794/d300506dex48.htm" TargetMode="External"/><Relationship Id="rId298" Type="http://schemas.openxmlformats.org/officeDocument/2006/relationships/hyperlink" Target="https://www.sec.gov/Archives/edgar/data/1162194/000119312522093794/d300506dex43.htm" TargetMode="External"/><Relationship Id="rId299" Type="http://schemas.openxmlformats.org/officeDocument/2006/relationships/hyperlink" Target="https://www.sec.gov/Archives/edgar/data/1162194/000110465924001640/tm2333984d3_ex3-1.htm" TargetMode="External"/><Relationship Id="rId300" Type="http://schemas.openxmlformats.org/officeDocument/2006/relationships/hyperlink" Target="https://www.sec.gov/Archives/edgar/data/1162194/000119312522096290/d314141dex36.htm" TargetMode="External"/><Relationship Id="rId301" Type="http://schemas.openxmlformats.org/officeDocument/2006/relationships/hyperlink" Target="https://www.sec.gov/Archives/edgar/data/1162194/000119312522096290/d314141dex37.htm" TargetMode="External"/><Relationship Id="rId302" Type="http://schemas.openxmlformats.org/officeDocument/2006/relationships/hyperlink" Target="https://www.sec.gov/Archives/edgar/data/1162194/000110465924035297/tm249061d1_ex3-1.htm" TargetMode="External"/><Relationship Id="rId303" Type="http://schemas.openxmlformats.org/officeDocument/2006/relationships/hyperlink" Target="https://www.sec.gov/Archives/edgar/data/1162194/000110465924035297/tm249061d1_ex3-2.htm" TargetMode="External"/><Relationship Id="rId304" Type="http://schemas.openxmlformats.org/officeDocument/2006/relationships/hyperlink" Target="https://www.sec.gov/Archives/edgar/data/1162194/000110465924001640/tm2333984d3_ex10-1.htm" TargetMode="External"/><Relationship Id="rId305" Type="http://schemas.openxmlformats.org/officeDocument/2006/relationships/hyperlink" Target="https://www.sec.gov/Archives/edgar/data/1162194/000110465924035297/tm24906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2024-05-09T16:45:19Z</dcterms:created>
  <dcterms:modified xsi:type="dcterms:W3CDTF">2024-05-09T16:45:19Z</dcterms:modified>
</cp:coreProperties>
</file>