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12/20/2016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3"/>
                <w:szCs w:val="13"/>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gridSpan w:val="2"/>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20"/>
          </w:tcPr>
          <w:p>
            <w:pPr>
              <w:jc w:val="center"/>
              <w:ind w:right="4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restart"/>
          </w:tcPr>
          <w:p>
            <w:pPr>
              <w:jc w:val="right"/>
              <w:ind w:right="394"/>
              <w:spacing w:after="0"/>
              <w:rPr>
                <w:sz w:val="20"/>
                <w:szCs w:val="20"/>
                <w:color w:val="auto"/>
              </w:rPr>
            </w:pPr>
            <w:r>
              <w:rPr>
                <w:rFonts w:ascii="Arial" w:cs="Arial" w:eastAsia="Arial" w:hAnsi="Arial"/>
                <w:sz w:val="18"/>
                <w:szCs w:val="18"/>
                <w:color w:val="0000FF"/>
                <w:w w:val="93"/>
              </w:rPr>
              <w:t>5,561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1860" w:type="dxa"/>
            <w:vAlign w:val="bottom"/>
            <w:tcBorders>
              <w:top w:val="single" w:sz="8" w:color="2C2C2C"/>
            </w:tcBorders>
            <w:gridSpan w:val="5"/>
          </w:tcPr>
          <w:p>
            <w:pPr>
              <w:ind w:left="900"/>
              <w:spacing w:after="0"/>
              <w:rPr>
                <w:sz w:val="20"/>
                <w:szCs w:val="20"/>
                <w:color w:val="auto"/>
              </w:rPr>
            </w:pPr>
            <w:r>
              <w:rPr>
                <w:rFonts w:ascii="Arial" w:cs="Arial" w:eastAsia="Arial" w:hAnsi="Arial"/>
                <w:sz w:val="18"/>
                <w:szCs w:val="18"/>
                <w:color w:val="0000FF"/>
              </w:rPr>
              <w:t>12/20/2016</w:t>
            </w:r>
          </w:p>
        </w:tc>
        <w:tc>
          <w:tcPr>
            <w:tcW w:w="1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ind w:left="100"/>
              <w:spacing w:after="0"/>
              <w:rPr>
                <w:sz w:val="20"/>
                <w:szCs w:val="20"/>
                <w:color w:val="auto"/>
              </w:rPr>
            </w:pPr>
            <w:r>
              <w:rPr>
                <w:rFonts w:ascii="Arial" w:cs="Arial" w:eastAsia="Arial" w:hAnsi="Arial"/>
                <w:sz w:val="14"/>
                <w:szCs w:val="14"/>
                <w:color w:val="0000FF"/>
              </w:rPr>
              <w:t>G</w:t>
            </w:r>
          </w:p>
        </w:tc>
        <w:tc>
          <w:tcPr>
            <w:tcW w:w="400" w:type="dxa"/>
            <w:vAlign w:val="bottom"/>
            <w:tcBorders>
              <w:top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Borders>
              <w:top w:val="single" w:sz="8" w:color="2C2C2C"/>
            </w:tcBorders>
          </w:tcPr>
          <w:p>
            <w:pPr>
              <w:ind w:left="260"/>
              <w:spacing w:after="0"/>
              <w:rPr>
                <w:sz w:val="20"/>
                <w:szCs w:val="20"/>
                <w:color w:val="auto"/>
              </w:rPr>
            </w:pPr>
            <w:r>
              <w:rPr>
                <w:rFonts w:ascii="Arial" w:cs="Arial" w:eastAsia="Arial" w:hAnsi="Arial"/>
                <w:sz w:val="18"/>
                <w:szCs w:val="18"/>
                <w:color w:val="0000FF"/>
                <w:w w:val="93"/>
              </w:rPr>
              <w:t>600</w:t>
            </w:r>
          </w:p>
        </w:tc>
        <w:tc>
          <w:tcPr>
            <w:tcW w:w="760" w:type="dxa"/>
            <w:vAlign w:val="bottom"/>
            <w:tcBorders>
              <w:top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top w:val="single" w:sz="8" w:color="2C2C2C"/>
            </w:tcBorders>
            <w:gridSpan w:val="4"/>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jc w:val="right"/>
              <w:ind w:right="354"/>
              <w:spacing w:after="0"/>
              <w:rPr>
                <w:sz w:val="20"/>
                <w:szCs w:val="20"/>
                <w:color w:val="auto"/>
              </w:rPr>
            </w:pPr>
            <w:r>
              <w:rPr>
                <w:rFonts w:ascii="Arial" w:cs="Arial" w:eastAsia="Arial" w:hAnsi="Arial"/>
                <w:sz w:val="18"/>
                <w:szCs w:val="18"/>
                <w:color w:val="0000FF"/>
                <w:w w:val="83"/>
              </w:rPr>
              <w:t>43,523</w:t>
            </w:r>
          </w:p>
        </w:tc>
        <w:tc>
          <w:tcPr>
            <w:tcW w:w="96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20"/>
          </w:tcPr>
          <w:p>
            <w:pPr>
              <w:jc w:val="center"/>
              <w:ind w:right="45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Colella Family Partners, L.P. ("Colella Partners"). The shares were received in in-kind distributions by Versant Ventures I, LLC, which is the general partner of each of Versant Venture Capital I, L.P., Versant Side Fund I, L.P., Versant Affiliates Fund I-A, L.P. and Versant Affiliates Fund I-B, L.P. (collectively, the "Versant Funds"), on November 4, 2013. The Reporting Person is the General Partner of Colella Partners. The Reporting Person disclaims beneficial ownership of such shares held by Colella Partners, except to the extent of his proportionate pecuniary interest therein, if any.</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Nicholas Khadder,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12/20/2016</w:t>
            </w: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 fact</w:t>
            </w:r>
          </w:p>
        </w:tc>
        <w:tc>
          <w:tcPr>
            <w:tcW w:w="17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2019-12-07T15:16:41Z</dcterms:created>
  <dcterms:modified xsi:type="dcterms:W3CDTF">2019-12-07T15:16:41Z</dcterms:modified>
</cp:coreProperties>
</file>