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Washington, D.C.</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20549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740" w:type="dxa"/>
            <w:vAlign w:val="bottom"/>
          </w:tcPr>
          <w:p>
            <w:pPr>
              <w:spacing w:after="0"/>
              <w:rPr>
                <w:sz w:val="20"/>
                <w:szCs w:val="20"/>
                <w:color w:val="auto"/>
              </w:rPr>
            </w:pPr>
            <w:r>
              <w:rPr>
                <w:rFonts w:ascii="Courier New" w:cs="Courier New" w:eastAsia="Courier New" w:hAnsi="Courier New"/>
                <w:sz w:val="18"/>
                <w:szCs w:val="18"/>
                <w:color w:val="auto"/>
              </w:rPr>
              <w:t>SCHEDULE 13G/A</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w w:val="97"/>
              </w:rPr>
              <w:t>Under the Securities Exchange Act of 1934</w:t>
            </w:r>
          </w:p>
        </w:tc>
        <w:tc>
          <w:tcPr>
            <w:tcW w:w="0" w:type="dxa"/>
            <w:vAlign w:val="bottom"/>
          </w:tcPr>
          <w:p>
            <w:pPr>
              <w:spacing w:after="0"/>
              <w:rPr>
                <w:sz w:val="1"/>
                <w:szCs w:val="1"/>
                <w:color w:val="auto"/>
              </w:rPr>
            </w:pPr>
          </w:p>
        </w:tc>
      </w:tr>
      <w:tr>
        <w:trPr>
          <w:trHeight w:val="296"/>
        </w:trPr>
        <w:tc>
          <w:tcPr>
            <w:tcW w:w="1740" w:type="dxa"/>
            <w:vAlign w:val="bottom"/>
          </w:tcPr>
          <w:p>
            <w:pPr>
              <w:ind w:left="860"/>
              <w:spacing w:after="0"/>
              <w:rPr>
                <w:sz w:val="20"/>
                <w:szCs w:val="20"/>
                <w:color w:val="auto"/>
              </w:rPr>
            </w:pPr>
            <w:r>
              <w:rPr>
                <w:rFonts w:ascii="Courier New" w:cs="Courier New" w:eastAsia="Courier New" w:hAnsi="Courier New"/>
                <w:sz w:val="18"/>
                <w:szCs w:val="18"/>
                <w:color w:val="auto"/>
                <w:w w:val="99"/>
              </w:rPr>
              <w:t>Amedment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Filing</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(Name of Issuer)</w:t>
            </w:r>
          </w:p>
        </w:tc>
        <w:tc>
          <w:tcPr>
            <w:tcW w:w="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Corp</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740" w:type="dxa"/>
            <w:vAlign w:val="bottom"/>
          </w:tcPr>
          <w:p>
            <w:pPr>
              <w:ind w:left="860"/>
              <w:spacing w:after="0"/>
              <w:rPr>
                <w:sz w:val="20"/>
                <w:szCs w:val="20"/>
                <w:color w:val="auto"/>
              </w:rPr>
            </w:pPr>
            <w:r>
              <w:rPr>
                <w:rFonts w:ascii="Courier New" w:cs="Courier New" w:eastAsia="Courier New" w:hAnsi="Courier New"/>
                <w:sz w:val="18"/>
                <w:szCs w:val="18"/>
                <w:color w:val="auto"/>
                <w:w w:val="99"/>
              </w:rPr>
              <w:t>Fluidigm</w:t>
            </w:r>
          </w:p>
        </w:tc>
        <w:tc>
          <w:tcPr>
            <w:tcW w:w="7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34385P108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12/31/2015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is Filed:</w:t>
      </w:r>
    </w:p>
    <w:p>
      <w:pPr>
        <w:spacing w:after="0" w:line="29" w:lineRule="exact"/>
        <w:rPr>
          <w:sz w:val="24"/>
          <w:szCs w:val="24"/>
          <w:color w:val="auto"/>
        </w:rPr>
      </w:pPr>
    </w:p>
    <w:p>
      <w:pPr>
        <w:ind w:left="1900" w:hanging="206"/>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2220" w:hanging="526"/>
        <w:spacing w:after="0" w:line="238" w:lineRule="auto"/>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ind w:right="1999"/>
        <w:spacing w:after="0" w:line="289"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169" w:lineRule="exact"/>
        <w:rPr>
          <w:sz w:val="24"/>
          <w:szCs w:val="24"/>
          <w:color w:val="auto"/>
        </w:rPr>
      </w:pPr>
    </w:p>
    <w:p>
      <w:pPr>
        <w:ind w:right="2519" w:firstLine="8"/>
        <w:spacing w:after="0" w:line="25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I.R.S. identification Nos. of above persons (entities only)</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Next Century Growth Investors, LLC - 41-1923871</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860" w:right="8099" w:hanging="852"/>
        <w:spacing w:after="0" w:line="257"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ind w:left="860" w:right="7899" w:hanging="852"/>
        <w:spacing w:after="0" w:line="309"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50" w:lineRule="exact"/>
        <w:rPr>
          <w:rFonts w:ascii="Courier New" w:cs="Courier New" w:eastAsia="Courier New" w:hAnsi="Courier New"/>
          <w:sz w:val="18"/>
          <w:szCs w:val="18"/>
          <w:color w:val="auto"/>
        </w:rPr>
      </w:pPr>
    </w:p>
    <w:p>
      <w:pPr>
        <w:ind w:left="860" w:right="7579" w:hanging="852"/>
        <w:spacing w:after="0" w:line="347"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7359" w:hanging="852"/>
        <w:spacing w:after="0" w:line="347"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8" w:lineRule="exact"/>
        <w:rPr>
          <w:rFonts w:ascii="Courier New" w:cs="Courier New" w:eastAsia="Courier New" w:hAnsi="Courier New"/>
          <w:sz w:val="18"/>
          <w:szCs w:val="18"/>
          <w:color w:val="auto"/>
        </w:rPr>
      </w:pPr>
    </w:p>
    <w:p>
      <w:pPr>
        <w:ind w:left="860" w:right="3579" w:hanging="852"/>
        <w:spacing w:after="0" w:line="347"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8" w:lineRule="exact"/>
        <w:rPr>
          <w:rFonts w:ascii="Courier New" w:cs="Courier New" w:eastAsia="Courier New" w:hAnsi="Courier New"/>
          <w:sz w:val="18"/>
          <w:szCs w:val="18"/>
          <w:color w:val="auto"/>
        </w:rPr>
      </w:pPr>
    </w:p>
    <w:p>
      <w:pPr>
        <w:ind w:left="860" w:right="3679" w:hanging="852"/>
        <w:spacing w:after="0" w:line="257"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4"/>
          <w:szCs w:val="24"/>
          <w:color w:val="auto"/>
        </w:rPr>
      </w:pPr>
    </w:p>
    <w:p>
      <w:pPr>
        <w:ind w:right="5259" w:firstLine="8"/>
        <w:spacing w:after="0" w:line="25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Cusip Number</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34385P108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sectPr>
          <w:pgSz w:w="11900" w:h="16838" w:orient="portrait"/>
          <w:cols w:equalWidth="0" w:num="1">
            <w:col w:w="10219"/>
          </w:cols>
          <w:pgMar w:left="240" w:top="218" w:right="1440" w:bottom="0" w:gutter="0" w:footer="0" w:header="0"/>
        </w:sectPr>
      </w:pPr>
    </w:p>
    <w:bookmarkStart w:id="1" w:name="page2"/>
    <w:bookmarkEnd w:id="1"/>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Thomas L. Press</w:t>
      </w:r>
    </w:p>
    <w:p>
      <w:pPr>
        <w:spacing w:after="0" w:line="1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860" w:right="8099" w:hanging="852"/>
        <w:spacing w:after="0" w:line="347" w:lineRule="auto"/>
        <w:tabs>
          <w:tab w:leader="none" w:pos="3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860" w:right="7899" w:hanging="852"/>
        <w:spacing w:after="0" w:line="347" w:lineRule="auto"/>
        <w:tabs>
          <w:tab w:leader="none" w:pos="3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8" w:lineRule="exact"/>
        <w:rPr>
          <w:rFonts w:ascii="Courier New" w:cs="Courier New" w:eastAsia="Courier New" w:hAnsi="Courier New"/>
          <w:sz w:val="18"/>
          <w:szCs w:val="18"/>
          <w:color w:val="auto"/>
        </w:rPr>
      </w:pPr>
    </w:p>
    <w:p>
      <w:pPr>
        <w:ind w:left="860" w:right="7579" w:hanging="852"/>
        <w:spacing w:after="0" w:line="347" w:lineRule="auto"/>
        <w:tabs>
          <w:tab w:leader="none" w:pos="3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7359" w:hanging="852"/>
        <w:spacing w:after="0" w:line="347" w:lineRule="auto"/>
        <w:tabs>
          <w:tab w:leader="none" w:pos="3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8" w:lineRule="exact"/>
        <w:rPr>
          <w:rFonts w:ascii="Courier New" w:cs="Courier New" w:eastAsia="Courier New" w:hAnsi="Courier New"/>
          <w:sz w:val="18"/>
          <w:szCs w:val="18"/>
          <w:color w:val="auto"/>
        </w:rPr>
      </w:pPr>
    </w:p>
    <w:p>
      <w:pPr>
        <w:ind w:left="860" w:right="3579" w:hanging="852"/>
        <w:spacing w:after="0" w:line="347" w:lineRule="auto"/>
        <w:tabs>
          <w:tab w:leader="none" w:pos="3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8" w:lineRule="exact"/>
        <w:rPr>
          <w:rFonts w:ascii="Courier New" w:cs="Courier New" w:eastAsia="Courier New" w:hAnsi="Courier New"/>
          <w:sz w:val="18"/>
          <w:szCs w:val="18"/>
          <w:color w:val="auto"/>
        </w:rPr>
      </w:pPr>
    </w:p>
    <w:p>
      <w:pPr>
        <w:ind w:left="860" w:right="3679" w:hanging="852"/>
        <w:spacing w:after="0" w:line="257" w:lineRule="auto"/>
        <w:tabs>
          <w:tab w:leader="none" w:pos="43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The name of the issuer is:</w:t>
      </w:r>
    </w:p>
    <w:p>
      <w:pPr>
        <w:ind w:left="860"/>
        <w:spacing w:after="0"/>
        <w:rPr>
          <w:sz w:val="20"/>
          <w:szCs w:val="20"/>
          <w:color w:val="auto"/>
        </w:rPr>
      </w:pPr>
      <w:r>
        <w:rPr>
          <w:rFonts w:ascii="Courier New" w:cs="Courier New" w:eastAsia="Courier New" w:hAnsi="Courier New"/>
          <w:sz w:val="18"/>
          <w:szCs w:val="18"/>
          <w:color w:val="auto"/>
        </w:rPr>
        <w:t>Fluidigm Corp</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The principal executive office of the issuer is: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7000 Shoreline Court, Suite 100 South San Francisco CA 94080</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The names of the persons filing this statement are: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Next Century Growth Investors, LLC, Thomas L. Press and Robert E.</w:t>
      </w:r>
    </w:p>
    <w:p>
      <w:pPr>
        <w:spacing w:after="0" w:line="238" w:lineRule="auto"/>
        <w:rPr>
          <w:sz w:val="20"/>
          <w:szCs w:val="20"/>
          <w:color w:val="auto"/>
        </w:rPr>
      </w:pPr>
      <w:r>
        <w:rPr>
          <w:rFonts w:ascii="Courier New" w:cs="Courier New" w:eastAsia="Courier New" w:hAnsi="Courier New"/>
          <w:sz w:val="18"/>
          <w:szCs w:val="18"/>
          <w:color w:val="auto"/>
        </w:rPr>
        <w:t>Scott The persons filing this Schedule 13G have entered into a Joint</w:t>
      </w:r>
    </w:p>
    <w:p>
      <w:pPr>
        <w:spacing w:after="0"/>
        <w:rPr>
          <w:sz w:val="20"/>
          <w:szCs w:val="20"/>
          <w:color w:val="auto"/>
        </w:rPr>
      </w:pPr>
      <w:r>
        <w:rPr>
          <w:rFonts w:ascii="Courier New" w:cs="Courier New" w:eastAsia="Courier New" w:hAnsi="Courier New"/>
          <w:sz w:val="18"/>
          <w:szCs w:val="18"/>
          <w:color w:val="auto"/>
        </w:rPr>
        <w:t>Filing Agreement, a copy of which is filed with this statement as Exhibit 1,</w:t>
      </w:r>
    </w:p>
    <w:p>
      <w:pPr>
        <w:spacing w:after="0" w:line="238" w:lineRule="auto"/>
        <w:rPr>
          <w:sz w:val="20"/>
          <w:szCs w:val="20"/>
          <w:color w:val="auto"/>
        </w:rPr>
      </w:pPr>
      <w:r>
        <w:rPr>
          <w:rFonts w:ascii="Courier New" w:cs="Courier New" w:eastAsia="Courier New" w:hAnsi="Courier New"/>
          <w:sz w:val="18"/>
          <w:szCs w:val="18"/>
          <w:color w:val="auto"/>
        </w:rPr>
        <w:t>pursuant to which such persons have agreed to file this Schedule 13G jointly</w:t>
      </w:r>
    </w:p>
    <w:p>
      <w:pPr>
        <w:spacing w:after="0"/>
        <w:rPr>
          <w:sz w:val="20"/>
          <w:szCs w:val="20"/>
          <w:color w:val="auto"/>
        </w:rPr>
      </w:pPr>
      <w:r>
        <w:rPr>
          <w:rFonts w:ascii="Courier New" w:cs="Courier New" w:eastAsia="Courier New" w:hAnsi="Courier New"/>
          <w:sz w:val="18"/>
          <w:szCs w:val="18"/>
          <w:color w:val="auto"/>
        </w:rPr>
        <w:t>in accordance with the provisions of Rule 13d-1(k) of the Securities</w:t>
      </w:r>
    </w:p>
    <w:p>
      <w:pPr>
        <w:spacing w:after="0"/>
        <w:tabs>
          <w:tab w:leader="none" w:pos="2420" w:val="left"/>
        </w:tabs>
        <w:rPr>
          <w:sz w:val="20"/>
          <w:szCs w:val="20"/>
          <w:color w:val="auto"/>
        </w:rPr>
      </w:pPr>
      <w:r>
        <w:rPr>
          <w:rFonts w:ascii="Courier New" w:cs="Courier New" w:eastAsia="Courier New" w:hAnsi="Courier New"/>
          <w:sz w:val="18"/>
          <w:szCs w:val="18"/>
          <w:color w:val="auto"/>
        </w:rPr>
        <w:t>Exchange Act of 1934.</w:t>
      </w:r>
      <w:r>
        <w:rPr>
          <w:sz w:val="20"/>
          <w:szCs w:val="20"/>
          <w:color w:val="auto"/>
        </w:rPr>
        <w:tab/>
      </w:r>
      <w:r>
        <w:rPr>
          <w:rFonts w:ascii="Courier New" w:cs="Courier New" w:eastAsia="Courier New" w:hAnsi="Courier New"/>
          <w:sz w:val="16"/>
          <w:szCs w:val="16"/>
          <w:color w:val="auto"/>
        </w:rPr>
        <w:t>The persons filing this Schedule 13G are of the</w:t>
      </w:r>
    </w:p>
    <w:p>
      <w:pPr>
        <w:spacing w:after="0"/>
        <w:rPr>
          <w:sz w:val="20"/>
          <w:szCs w:val="20"/>
          <w:color w:val="auto"/>
        </w:rPr>
      </w:pPr>
      <w:r>
        <w:rPr>
          <w:rFonts w:ascii="Courier New" w:cs="Courier New" w:eastAsia="Courier New" w:hAnsi="Courier New"/>
          <w:sz w:val="18"/>
          <w:szCs w:val="18"/>
          <w:color w:val="auto"/>
        </w:rPr>
        <w:t>view that they are not acting as a "group" for purposes of Section 13(d)</w:t>
      </w:r>
    </w:p>
    <w:p>
      <w:pPr>
        <w:spacing w:after="0"/>
        <w:tabs>
          <w:tab w:leader="none" w:pos="4620" w:val="left"/>
          <w:tab w:leader="none" w:pos="5880" w:val="left"/>
        </w:tabs>
        <w:rPr>
          <w:sz w:val="20"/>
          <w:szCs w:val="20"/>
          <w:color w:val="auto"/>
        </w:rPr>
      </w:pPr>
      <w:r>
        <w:rPr>
          <w:rFonts w:ascii="Courier New" w:cs="Courier New" w:eastAsia="Courier New" w:hAnsi="Courier New"/>
          <w:sz w:val="18"/>
          <w:szCs w:val="18"/>
          <w:color w:val="auto"/>
        </w:rPr>
        <w:t>under the Securities Exchange Act of 1934.</w:t>
        <w:tab/>
        <w:t>Item 2(b).</w:t>
      </w:r>
      <w:r>
        <w:rPr>
          <w:sz w:val="20"/>
          <w:szCs w:val="20"/>
          <w:color w:val="auto"/>
        </w:rPr>
        <w:tab/>
      </w:r>
      <w:r>
        <w:rPr>
          <w:rFonts w:ascii="Courier New" w:cs="Courier New" w:eastAsia="Courier New" w:hAnsi="Courier New"/>
          <w:sz w:val="16"/>
          <w:szCs w:val="16"/>
          <w:color w:val="auto"/>
        </w:rPr>
        <w:t>The Principal</w:t>
      </w:r>
    </w:p>
    <w:p>
      <w:pPr>
        <w:ind w:right="2939"/>
        <w:spacing w:after="0" w:line="273" w:lineRule="auto"/>
        <w:rPr>
          <w:sz w:val="20"/>
          <w:szCs w:val="20"/>
          <w:color w:val="auto"/>
        </w:rPr>
      </w:pPr>
      <w:r>
        <w:rPr>
          <w:rFonts w:ascii="Courier New" w:cs="Courier New" w:eastAsia="Courier New" w:hAnsi="Courier New"/>
          <w:sz w:val="18"/>
          <w:szCs w:val="18"/>
          <w:color w:val="auto"/>
        </w:rPr>
        <w:t>business office of Next Century Growth Investors, LLC Thomas L. Press and Robert E. Scott is: 5500 Wayzata Blvd., Suite 1275 Minneapolis, MN 55416</w:t>
      </w:r>
    </w:p>
    <w:p>
      <w:pPr>
        <w:spacing w:after="0" w:line="82"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Item 2(c). Next Century Growth Investors, LLC is a Delaware limited liability company and Thomas L. Press and Robert E. Scott are citizens of the U.S.A.</w:t>
      </w:r>
    </w:p>
    <w:p>
      <w:pPr>
        <w:spacing w:after="0" w:line="66" w:lineRule="exact"/>
        <w:rPr>
          <w:sz w:val="20"/>
          <w:szCs w:val="20"/>
          <w:color w:val="auto"/>
        </w:rPr>
      </w:pPr>
    </w:p>
    <w:p>
      <w:pPr>
        <w:ind w:left="640" w:right="2839" w:hanging="631"/>
        <w:spacing w:after="0" w:line="347" w:lineRule="auto"/>
        <w:rPr>
          <w:sz w:val="20"/>
          <w:szCs w:val="20"/>
          <w:color w:val="auto"/>
        </w:rPr>
      </w:pPr>
      <w:r>
        <w:rPr>
          <w:rFonts w:ascii="Courier New" w:cs="Courier New" w:eastAsia="Courier New" w:hAnsi="Courier New"/>
          <w:sz w:val="18"/>
          <w:szCs w:val="18"/>
          <w:color w:val="auto"/>
        </w:rPr>
        <w:t>Item 2(d). This Statement relates to shares of the common stock of the Issuer (the ""Stock"")</w:t>
      </w: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The CUSIP number of the Stock is: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34385P108</w:t>
      </w:r>
    </w:p>
    <w:p>
      <w:pPr>
        <w:spacing w:after="0" w:line="1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"Item 3. If this statement is filed pursuant to ss.ss.240.13d-1(b) or 240.13d-2(b) or (c), check whether the person filing is a:</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 Broker or dealer registered under section 15 of the Act (15 U.S.C.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78o).</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 Bank as defined in section 3(a)(6) of the Act (15 U.S.C. 78c).</w:t>
      </w:r>
    </w:p>
    <w:p>
      <w:pPr>
        <w:spacing w:after="0" w:line="200" w:lineRule="exact"/>
        <w:rPr>
          <w:sz w:val="20"/>
          <w:szCs w:val="20"/>
          <w:color w:val="auto"/>
        </w:rPr>
      </w:pPr>
    </w:p>
    <w:p>
      <w:pPr>
        <w:spacing w:after="0" w:line="20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(c ). [ ] Insurance company as defined in section 3(a)(19) of the Act (15 U.S.C. 78c)</w:t>
      </w:r>
    </w:p>
    <w:p>
      <w:pPr>
        <w:spacing w:after="0" w:line="18"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(d). [ ] Investment company registered under section 8 of the Investment Company Act of 1940 (15 U.S.C. 80a-8).</w:t>
      </w:r>
    </w:p>
    <w:p>
      <w:pPr>
        <w:sectPr>
          <w:pgSz w:w="11900" w:h="16904" w:orient="portrait"/>
          <w:cols w:equalWidth="0" w:num="1">
            <w:col w:w="10219"/>
          </w:cols>
          <w:pgMar w:left="240" w:top="110" w:right="1440" w:bottom="0" w:gutter="0" w:footer="0" w:header="0"/>
        </w:sectPr>
      </w:pPr>
    </w:p>
    <w:bookmarkStart w:id="2" w:name="page3"/>
    <w:bookmarkEnd w:id="2"/>
    <w:p>
      <w:pPr>
        <w:ind w:right="3579"/>
        <w:spacing w:after="0" w:line="347" w:lineRule="auto"/>
        <w:rPr>
          <w:sz w:val="20"/>
          <w:szCs w:val="20"/>
          <w:color w:val="auto"/>
        </w:rPr>
      </w:pPr>
      <w:r>
        <w:rPr>
          <w:rFonts w:ascii="Courier New" w:cs="Courier New" w:eastAsia="Courier New" w:hAnsi="Courier New"/>
          <w:sz w:val="18"/>
          <w:szCs w:val="18"/>
          <w:color w:val="auto"/>
        </w:rPr>
        <w:t>(e). [ x ] An investment adviser in accordance with ss.240.13d-1(b)(1)(ii)(E).</w:t>
      </w:r>
    </w:p>
    <w:p>
      <w:pPr>
        <w:spacing w:after="0" w:line="18" w:lineRule="exact"/>
        <w:rPr>
          <w:sz w:val="20"/>
          <w:szCs w:val="20"/>
          <w:color w:val="auto"/>
        </w:rPr>
      </w:pPr>
    </w:p>
    <w:p>
      <w:pPr>
        <w:ind w:right="2319" w:firstLine="843"/>
        <w:spacing w:after="0" w:line="274" w:lineRule="auto"/>
        <w:rPr>
          <w:sz w:val="20"/>
          <w:szCs w:val="20"/>
          <w:color w:val="auto"/>
        </w:rPr>
      </w:pPr>
      <w:r>
        <w:rPr>
          <w:rFonts w:ascii="Courier New" w:cs="Courier New" w:eastAsia="Courier New" w:hAnsi="Courier New"/>
          <w:sz w:val="18"/>
          <w:szCs w:val="18"/>
          <w:color w:val="auto"/>
        </w:rPr>
        <w:t>"This Schedule 13G is being filed by Next Century Growth Investors, LLC as a registered investment adviser. The Stock to which this Schedule 13G relates is held in investment advisory accounts of Next Century Growth Investors, LLC.</w:t>
      </w:r>
    </w:p>
    <w:p>
      <w:pPr>
        <w:spacing w:after="0" w:line="82" w:lineRule="exact"/>
        <w:rPr>
          <w:sz w:val="20"/>
          <w:szCs w:val="20"/>
          <w:color w:val="auto"/>
        </w:rPr>
      </w:pPr>
    </w:p>
    <w:p>
      <w:pPr>
        <w:ind w:left="860" w:right="261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(f). [</w:t>
        <w:tab/>
        <w:t>] An employee benefit plan or endowment fund in accordance with ss.240.13d-1(b)(1)(ii)(G).</w:t>
      </w:r>
    </w:p>
    <w:p>
      <w:pPr>
        <w:spacing w:after="0" w:line="18" w:lineRule="exact"/>
        <w:rPr>
          <w:sz w:val="20"/>
          <w:szCs w:val="20"/>
          <w:color w:val="auto"/>
        </w:rPr>
      </w:pPr>
    </w:p>
    <w:p>
      <w:pPr>
        <w:ind w:left="860" w:right="2619" w:hanging="842"/>
        <w:spacing w:after="0" w:line="347" w:lineRule="auto"/>
        <w:rPr>
          <w:sz w:val="20"/>
          <w:szCs w:val="20"/>
          <w:color w:val="auto"/>
        </w:rPr>
      </w:pPr>
      <w:r>
        <w:rPr>
          <w:rFonts w:ascii="Courier New" w:cs="Courier New" w:eastAsia="Courier New" w:hAnsi="Courier New"/>
          <w:sz w:val="18"/>
          <w:szCs w:val="18"/>
          <w:color w:val="auto"/>
        </w:rPr>
        <w:t>(g). [ x ] A parent holding company or control person in accordance with ss.240.13d-1(b)(1)(ii)(G).</w:t>
      </w:r>
    </w:p>
    <w:p>
      <w:pPr>
        <w:spacing w:after="0" w:line="18" w:lineRule="exact"/>
        <w:rPr>
          <w:sz w:val="20"/>
          <w:szCs w:val="20"/>
          <w:color w:val="auto"/>
        </w:rPr>
      </w:pPr>
    </w:p>
    <w:p>
      <w:pPr>
        <w:ind w:right="2619" w:firstLine="843"/>
        <w:spacing w:after="0" w:line="260" w:lineRule="auto"/>
        <w:rPr>
          <w:sz w:val="20"/>
          <w:szCs w:val="20"/>
          <w:color w:val="auto"/>
        </w:rPr>
      </w:pPr>
      <w:r>
        <w:rPr>
          <w:rFonts w:ascii="Courier New" w:cs="Courier New" w:eastAsia="Courier New" w:hAnsi="Courier New"/>
          <w:sz w:val="18"/>
          <w:szCs w:val="18"/>
          <w:color w:val="auto"/>
        </w:rPr>
        <w:t>"This Schedule 13G is also being filed by Thomas L. Press, who serves as Director, Chairman and Chief Executive Officer of Next Century Growth Investors, LLC and Robert E. Scott, who serves as Director and President of Next Century Growth Investors, LLC. Mr. Press owns in excess of 25% of Next Century Growth Investors, LLC and is a controlling person of Next Century Growth Investors, LLC.</w:t>
      </w:r>
    </w:p>
    <w:p>
      <w:pPr>
        <w:spacing w:after="0" w:line="93"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(h). [ ] A savings associations as defined in section 3(b) of the Federal Deposit Insurance Act (12 U.S.C. 1813).</w:t>
      </w:r>
    </w:p>
    <w:p>
      <w:pPr>
        <w:spacing w:after="0" w:line="18"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 [ ] A church plan that is excluded from the definition of an investment company under section 3(c )(14) of the Investment Company Act of 1940 (15 U.S.C. 80a-3).</w:t>
      </w:r>
    </w:p>
    <w:p>
      <w:pPr>
        <w:spacing w:after="0" w:line="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 Group, in accordance with ss.240.13d-1(b)(1)(ii)(J)."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1999" w:firstLine="843"/>
        <w:spacing w:after="0" w:line="243" w:lineRule="auto"/>
        <w:rPr>
          <w:sz w:val="20"/>
          <w:szCs w:val="20"/>
          <w:color w:val="auto"/>
        </w:rPr>
      </w:pPr>
      <w:r>
        <w:rPr>
          <w:rFonts w:ascii="Courier New" w:cs="Courier New" w:eastAsia="Courier New" w:hAnsi="Courier New"/>
          <w:sz w:val="18"/>
          <w:szCs w:val="18"/>
          <w:color w:val="auto"/>
        </w:rPr>
        <w:t>The Stock to which this Schedule 13G relates may be deemed beneficially owned within the meaning of Rule 13d-3 of the Securities Exchange Act of 1934 by (1) Next Century Growth Investors, LLC by virtue of its investment discretion and/or voting power over client securities, which may be revoked; and (2) Thomas L. Press and Robert E. Scott, as a result of their positions with and ownership positions in Next Century Growth Investors, LLC, which could be deemed to confer upon</w:t>
      </w:r>
    </w:p>
    <w:p>
      <w:pPr>
        <w:spacing w:after="0" w:line="5"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8"/>
          <w:szCs w:val="18"/>
          <w:color w:val="auto"/>
        </w:rPr>
        <w:t>each of them voting and/or investment power over the shares. Each of Next Century Growth Investors, LLC, Thomas L. Press and Robert E. Scott disclaim beneficial ownership of the Stock except to the extent of each of their respective pecuniary interested therein, if any, and the filing of this Schedule 13G shall not be construed as an admission by any of such persons that it is the beneficial owner of the Stock.</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Items 5-9 and 11 on the cover page for each filer.</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2" w:lineRule="exact"/>
        <w:rPr>
          <w:sz w:val="20"/>
          <w:szCs w:val="20"/>
          <w:color w:val="auto"/>
        </w:rPr>
      </w:pPr>
    </w:p>
    <w:p>
      <w:pPr>
        <w:ind w:right="2319"/>
        <w:spacing w:after="0" w:line="260" w:lineRule="auto"/>
        <w:rPr>
          <w:sz w:val="20"/>
          <w:szCs w:val="20"/>
          <w:color w:val="auto"/>
        </w:rPr>
      </w:pPr>
      <w:r>
        <w:rPr>
          <w:rFonts w:ascii="Courier New" w:cs="Courier New" w:eastAsia="Courier New" w:hAnsi="Courier New"/>
          <w:sz w:val="18"/>
          <w:szCs w:val="18"/>
          <w:color w:val="auto"/>
        </w:rPr>
        <w:t>Item 6. The Stock to which this Schedule 13G relates is held in investment advisory accounts of Next Century Growth, LLC. As a result, various persons have the right to receive or the power to direct the receipt of dividends from, or the proceeds from the sale of,the securities. No such account is known to have such an interest relating to more than 5% of the class.</w:t>
      </w:r>
    </w:p>
    <w:p>
      <w:pPr>
        <w:spacing w:after="0" w:line="93"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12" w:right="1440" w:bottom="0" w:gutter="0" w:footer="0" w:header="0"/>
        </w:sectPr>
      </w:pPr>
    </w:p>
    <w:bookmarkStart w:id="3" w:name="page4"/>
    <w:bookmarkEnd w:id="3"/>
    <w:p>
      <w:pPr>
        <w:ind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66" w:lineRule="exact"/>
        <w:rPr>
          <w:sz w:val="20"/>
          <w:szCs w:val="20"/>
          <w:color w:val="auto"/>
        </w:rPr>
      </w:pPr>
    </w:p>
    <w:p>
      <w:pPr>
        <w:ind w:left="2440"/>
        <w:spacing w:after="0"/>
        <w:tabs>
          <w:tab w:leader="none" w:pos="3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12, 2016</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Next Century Growth Investors, LLC</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By:</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 Thomas L. Press</w:t>
            </w:r>
          </w:p>
        </w:tc>
        <w:tc>
          <w:tcPr>
            <w:tcW w:w="0" w:type="dxa"/>
            <w:vAlign w:val="bottom"/>
          </w:tcPr>
          <w:p>
            <w:pPr>
              <w:spacing w:after="0"/>
              <w:rPr>
                <w:sz w:val="1"/>
                <w:szCs w:val="1"/>
                <w:color w:val="auto"/>
              </w:rPr>
            </w:pPr>
          </w:p>
        </w:tc>
      </w:tr>
      <w:tr>
        <w:trPr>
          <w:trHeight w:val="203"/>
        </w:trPr>
        <w:tc>
          <w:tcPr>
            <w:tcW w:w="2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Thomas L. Press</w:t>
            </w:r>
          </w:p>
        </w:tc>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Officer</w:t>
            </w:r>
          </w:p>
        </w:tc>
        <w:tc>
          <w:tcPr>
            <w:tcW w:w="0" w:type="dxa"/>
            <w:vAlign w:val="bottom"/>
          </w:tcPr>
          <w:p>
            <w:pPr>
              <w:spacing w:after="0"/>
              <w:rPr>
                <w:sz w:val="1"/>
                <w:szCs w:val="1"/>
                <w:color w:val="auto"/>
              </w:rPr>
            </w:pPr>
          </w:p>
        </w:tc>
      </w:tr>
      <w:tr>
        <w:trPr>
          <w:trHeight w:val="296"/>
        </w:trPr>
        <w:tc>
          <w:tcPr>
            <w:tcW w:w="2460" w:type="dxa"/>
            <w:vAlign w:val="bottom"/>
          </w:tcPr>
          <w:p>
            <w:pPr>
              <w:ind w:left="840"/>
              <w:spacing w:after="0"/>
              <w:rPr>
                <w:sz w:val="20"/>
                <w:szCs w:val="20"/>
                <w:color w:val="auto"/>
              </w:rPr>
            </w:pPr>
            <w:r>
              <w:rPr>
                <w:rFonts w:ascii="Courier New" w:cs="Courier New" w:eastAsia="Courier New" w:hAnsi="Courier New"/>
                <w:sz w:val="18"/>
                <w:szCs w:val="18"/>
                <w:color w:val="auto"/>
                <w:w w:val="98"/>
              </w:rPr>
              <w:t>Chief Executive</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By:</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 Robert E. Scott</w:t>
            </w:r>
          </w:p>
        </w:tc>
        <w:tc>
          <w:tcPr>
            <w:tcW w:w="0" w:type="dxa"/>
            <w:vAlign w:val="bottom"/>
          </w:tcPr>
          <w:p>
            <w:pPr>
              <w:spacing w:after="0"/>
              <w:rPr>
                <w:sz w:val="1"/>
                <w:szCs w:val="1"/>
                <w:color w:val="auto"/>
              </w:rPr>
            </w:pPr>
          </w:p>
        </w:tc>
      </w:tr>
      <w:tr>
        <w:trPr>
          <w:trHeight w:val="203"/>
        </w:trPr>
        <w:tc>
          <w:tcPr>
            <w:tcW w:w="24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Robert E. Scott</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60" w:type="dxa"/>
            <w:vAlign w:val="bottom"/>
          </w:tcPr>
          <w:p>
            <w:pPr>
              <w:ind w:left="840"/>
              <w:spacing w:after="0"/>
              <w:rPr>
                <w:sz w:val="20"/>
                <w:szCs w:val="20"/>
                <w:color w:val="auto"/>
              </w:rPr>
            </w:pPr>
            <w:r>
              <w:rPr>
                <w:rFonts w:ascii="Courier New" w:cs="Courier New" w:eastAsia="Courier New" w:hAnsi="Courier New"/>
                <w:sz w:val="18"/>
                <w:szCs w:val="18"/>
                <w:color w:val="auto"/>
              </w:rPr>
              <w:t>President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46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JOINT FILING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w:t>
      </w:r>
    </w:p>
    <w:p>
      <w:pPr>
        <w:spacing w:after="0" w:line="31"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8"/>
          <w:szCs w:val="18"/>
          <w:color w:val="auto"/>
        </w:rPr>
        <w:t>1934, the undersigned persons agree and consent to the joint filing on their behalf of a statement on Schedule 13G, including amendments thereto, in connection with respect to shares of common stock of</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Fluidigm Corp</w:t>
      </w:r>
    </w:p>
    <w:p>
      <w:pPr>
        <w:spacing w:after="0" w:line="201"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IN WITNESS WHEREOF, the parties have executed this Joint Filing Agreement on February 12, 2016.</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NEXT CENTURY GROWTH INVESTORS, LLC</w:t>
      </w:r>
    </w:p>
    <w:p>
      <w:pPr>
        <w:spacing w:after="0" w:line="29" w:lineRule="exact"/>
        <w:rPr>
          <w:sz w:val="20"/>
          <w:szCs w:val="20"/>
          <w:color w:val="auto"/>
        </w:rPr>
      </w:pPr>
    </w:p>
    <w:p>
      <w:pPr>
        <w:ind w:left="244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L. Press</w:t>
      </w:r>
    </w:p>
    <w:p>
      <w:pPr>
        <w:ind w:left="3380"/>
        <w:spacing w:after="0" w:line="238" w:lineRule="auto"/>
        <w:rPr>
          <w:sz w:val="20"/>
          <w:szCs w:val="20"/>
          <w:color w:val="auto"/>
        </w:rPr>
      </w:pPr>
      <w:r>
        <w:rPr>
          <w:rFonts w:ascii="Courier New" w:cs="Courier New" w:eastAsia="Courier New" w:hAnsi="Courier New"/>
          <w:sz w:val="18"/>
          <w:szCs w:val="18"/>
          <w:color w:val="auto"/>
        </w:rPr>
        <w:t>Thomas L. Press, Chief Executive Officer</w:t>
      </w:r>
    </w:p>
    <w:p>
      <w:pPr>
        <w:ind w:left="3380"/>
        <w:spacing w:after="0"/>
        <w:rPr>
          <w:sz w:val="20"/>
          <w:szCs w:val="20"/>
          <w:color w:val="auto"/>
        </w:rPr>
      </w:pPr>
      <w:r>
        <w:rPr>
          <w:rFonts w:ascii="Courier New" w:cs="Courier New" w:eastAsia="Courier New" w:hAnsi="Courier New"/>
          <w:sz w:val="18"/>
          <w:szCs w:val="18"/>
          <w:color w:val="auto"/>
        </w:rPr>
        <w:t>THOMAS L. PRESS</w:t>
      </w:r>
    </w:p>
    <w:p>
      <w:pPr>
        <w:sectPr>
          <w:pgSz w:w="11900" w:h="16838" w:orient="portrait"/>
          <w:cols w:equalWidth="0" w:num="1">
            <w:col w:w="10219"/>
          </w:cols>
          <w:pgMar w:left="240" w:top="110" w:right="1440" w:bottom="1440" w:gutter="0" w:footer="0" w:header="0"/>
        </w:sectPr>
      </w:pP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L. Press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L. Press</w:t>
      </w:r>
    </w:p>
    <w:p>
      <w:pPr>
        <w:spacing w:after="0" w:line="169" w:lineRule="exact"/>
        <w:rPr>
          <w:sz w:val="20"/>
          <w:szCs w:val="20"/>
          <w:color w:val="auto"/>
        </w:rPr>
      </w:pPr>
    </w:p>
    <w:p>
      <w:pPr>
        <w:sectPr>
          <w:pgSz w:w="11900" w:h="16838" w:orient="portrait"/>
          <w:cols w:equalWidth="0" w:num="2">
            <w:col w:w="2740" w:space="640"/>
            <w:col w:w="6839"/>
          </w:cols>
          <w:pgMar w:left="240" w:top="110"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ROBERT E. SCOTT</w:t>
      </w:r>
    </w:p>
    <w:p>
      <w:pPr>
        <w:sectPr>
          <w:pgSz w:w="11900" w:h="16838" w:orient="portrait"/>
          <w:cols w:equalWidth="0" w:num="1">
            <w:col w:w="10219"/>
          </w:cols>
          <w:pgMar w:left="240" w:top="110" w:right="1440" w:bottom="1440" w:gutter="0" w:footer="0" w:header="0"/>
          <w:type w:val="continuous"/>
        </w:sectPr>
      </w:pPr>
    </w:p>
    <w:p>
      <w:pPr>
        <w:spacing w:after="0" w:line="2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E. Scott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E. Scott</w:t>
      </w:r>
    </w:p>
    <w:sectPr>
      <w:pgSz w:w="11900" w:h="16838" w:orient="portrait"/>
      <w:cols w:equalWidth="0" w:num="2">
        <w:col w:w="2740" w:space="640"/>
        <w:col w:w="683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2019-12-17T02:26:35Z</dcterms:created>
  <dcterms:modified xsi:type="dcterms:W3CDTF">2019-12-17T02:26:35Z</dcterms:modified>
</cp:coreProperties>
</file>