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1" w:lineRule="exact"/>
        <w:rPr>
          <w:sz w:val="24"/>
          <w:szCs w:val="24"/>
          <w:color w:val="auto"/>
        </w:rPr>
      </w:pPr>
    </w:p>
    <w:p>
      <w:pPr>
        <w:jc w:val="center"/>
        <w:ind w:left="3080" w:right="180"/>
        <w:spacing w:after="0" w:line="268"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165100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43" w:lineRule="exact"/>
        <w:rPr>
          <w:sz w:val="24"/>
          <w:szCs w:val="24"/>
          <w:color w:val="auto"/>
        </w:rPr>
      </w:pPr>
    </w:p>
    <w:p>
      <w:pPr>
        <w:spacing w:after="0" w:line="207" w:lineRule="exact"/>
        <w:tabs>
          <w:tab w:leader="none" w:pos="1800" w:val="left"/>
        </w:tabs>
        <w:rPr>
          <w:sz w:val="20"/>
          <w:szCs w:val="20"/>
          <w:color w:val="auto"/>
        </w:rPr>
      </w:pPr>
      <w:r>
        <w:rPr>
          <w:rFonts w:ascii="Times New Roman" w:cs="Times New Roman" w:eastAsia="Times New Roman" w:hAnsi="Times New Roman"/>
          <w:sz w:val="18"/>
          <w:szCs w:val="18"/>
          <w:color w:val="auto"/>
        </w:rPr>
        <w:t>Filed by the Registrant </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Registrant </w:t>
      </w:r>
      <w:r>
        <w:rPr>
          <w:sz w:val="20"/>
          <w:szCs w:val="20"/>
          <w:color w:val="auto"/>
        </w:rPr>
        <w:tab/>
      </w:r>
      <w:r>
        <w:rPr>
          <w:rFonts w:ascii="MS PGothic" w:cs="MS PGothic" w:eastAsia="MS PGothic" w:hAnsi="MS PGothic"/>
          <w:sz w:val="16"/>
          <w:szCs w:val="16"/>
          <w:color w:val="auto"/>
        </w:rPr>
        <w:t>☐</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Preliminary Proxy Statement</w:t>
      </w:r>
    </w:p>
    <w:p>
      <w:pPr>
        <w:spacing w:after="0" w:line="158"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78"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Definitive Proxy Statement</w:t>
      </w:r>
    </w:p>
    <w:p>
      <w:pPr>
        <w:spacing w:after="0" w:line="151"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Definitive Additional Materials</w:t>
      </w:r>
    </w:p>
    <w:p>
      <w:pPr>
        <w:spacing w:after="0" w:line="158"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Soliciting Material Under §240.14a-12</w:t>
      </w:r>
    </w:p>
    <w:p>
      <w:pPr>
        <w:spacing w:after="0" w:line="200" w:lineRule="exact"/>
        <w:rPr>
          <w:sz w:val="24"/>
          <w:szCs w:val="24"/>
          <w:color w:val="auto"/>
        </w:rPr>
      </w:pPr>
    </w:p>
    <w:p>
      <w:pPr>
        <w:spacing w:after="0" w:line="22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9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7"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No fee required</w:t>
      </w:r>
    </w:p>
    <w:p>
      <w:pPr>
        <w:spacing w:after="0" w:line="151"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Fee paid previously with preliminary materials</w:t>
      </w:r>
    </w:p>
    <w:p>
      <w:pPr>
        <w:spacing w:after="0" w:line="158"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377825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154940</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1054100" cy="763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410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
        <w:spacing w:after="0"/>
        <w:rPr>
          <w:sz w:val="20"/>
          <w:szCs w:val="20"/>
          <w:color w:val="auto"/>
        </w:rPr>
      </w:pPr>
      <w:r>
        <w:rPr>
          <w:rFonts w:ascii="Arial" w:cs="Arial" w:eastAsia="Arial" w:hAnsi="Arial"/>
          <w:sz w:val="18"/>
          <w:szCs w:val="18"/>
          <w:color w:val="333333"/>
        </w:rPr>
        <w:t> </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333333"/>
        </w:rPr>
        <w:t> </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333333"/>
        </w:rPr>
        <w:t>Wednesday, June 18, 2025</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333333"/>
        </w:rPr>
        <w:t>8:30 a.m., Pacific Time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333333"/>
        </w:rPr>
        <w:t>Online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www.virtualshareholder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meeting.com/LAB2025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333333"/>
        </w:rPr>
        <w:t>2 Tower Place, Suite 2000</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333333"/>
        </w:rPr>
        <w:t>South San Francisco, California 94080</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(650) 266-6000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April 30, 2025</w:t>
      </w:r>
    </w:p>
    <w:p>
      <w:pPr>
        <w:spacing w:after="0" w:line="109" w:lineRule="exact"/>
        <w:rPr>
          <w:sz w:val="20"/>
          <w:szCs w:val="20"/>
          <w:color w:val="auto"/>
        </w:rPr>
      </w:pPr>
    </w:p>
    <w:p>
      <w:pPr>
        <w:spacing w:after="0"/>
        <w:rPr>
          <w:sz w:val="20"/>
          <w:szCs w:val="20"/>
          <w:color w:val="auto"/>
        </w:rPr>
      </w:pPr>
      <w:r>
        <w:rPr>
          <w:rFonts w:ascii="Arial" w:cs="Arial" w:eastAsia="Arial" w:hAnsi="Arial"/>
          <w:sz w:val="40"/>
          <w:szCs w:val="40"/>
          <w:color w:val="auto"/>
        </w:rPr>
        <w:t>Dear Stockholders: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333333"/>
        </w:rPr>
        <w:t>You are cordially invited to attend the 2025 annual meeting of stockholders of Standard</w:t>
      </w:r>
    </w:p>
    <w:p>
      <w:pPr>
        <w:spacing w:after="0" w:line="8" w:lineRule="exact"/>
        <w:rPr>
          <w:sz w:val="20"/>
          <w:szCs w:val="20"/>
          <w:color w:val="auto"/>
        </w:rPr>
      </w:pPr>
    </w:p>
    <w:p>
      <w:pPr>
        <w:ind w:right="520"/>
        <w:spacing w:after="0" w:line="220" w:lineRule="auto"/>
        <w:rPr>
          <w:sz w:val="20"/>
          <w:szCs w:val="20"/>
          <w:color w:val="auto"/>
        </w:rPr>
      </w:pPr>
      <w:r>
        <w:rPr>
          <w:rFonts w:ascii="Arial" w:cs="Arial" w:eastAsia="Arial" w:hAnsi="Arial"/>
          <w:sz w:val="16"/>
          <w:szCs w:val="16"/>
          <w:color w:val="333333"/>
        </w:rPr>
        <w:t>BioTools Inc. (the “Annual Meeting”) to be held exclusively online via live webcast on Wednesday, June 18, 2025, at 8:30 a.m., Pacific Time. The meeting can be accessed by</w:t>
      </w:r>
    </w:p>
    <w:p>
      <w:pPr>
        <w:spacing w:after="0" w:line="229" w:lineRule="auto"/>
        <w:rPr>
          <w:sz w:val="20"/>
          <w:szCs w:val="20"/>
          <w:color w:val="auto"/>
        </w:rPr>
      </w:pPr>
      <w:r>
        <w:rPr>
          <w:rFonts w:ascii="Arial" w:cs="Arial" w:eastAsia="Arial" w:hAnsi="Arial"/>
          <w:sz w:val="16"/>
          <w:szCs w:val="16"/>
          <w:color w:val="333333"/>
        </w:rPr>
        <w:t>visiting at www.virtualshareholdermeeting.com/LAB2025, where you will be able to listen to the</w:t>
      </w:r>
    </w:p>
    <w:p>
      <w:pPr>
        <w:ind w:right="180"/>
        <w:spacing w:after="0" w:line="220" w:lineRule="auto"/>
        <w:rPr>
          <w:sz w:val="20"/>
          <w:szCs w:val="20"/>
          <w:color w:val="auto"/>
        </w:rPr>
      </w:pPr>
      <w:r>
        <w:rPr>
          <w:rFonts w:ascii="Arial" w:cs="Arial" w:eastAsia="Arial" w:hAnsi="Arial"/>
          <w:sz w:val="16"/>
          <w:szCs w:val="16"/>
          <w:color w:val="333333"/>
        </w:rPr>
        <w:t>meeting live, submit questions, and vote online. We believe that a virtual stockholder meeting provides greater access to those who may want to attend. This approach also aligns with our</w:t>
      </w:r>
    </w:p>
    <w:p>
      <w:pPr>
        <w:spacing w:after="0"/>
        <w:rPr>
          <w:sz w:val="20"/>
          <w:szCs w:val="20"/>
          <w:color w:val="auto"/>
        </w:rPr>
      </w:pPr>
      <w:r>
        <w:rPr>
          <w:rFonts w:ascii="Arial" w:cs="Arial" w:eastAsia="Arial" w:hAnsi="Arial"/>
          <w:sz w:val="16"/>
          <w:szCs w:val="16"/>
          <w:color w:val="333333"/>
        </w:rPr>
        <w:t>broader sustainability and cost-savings goals.</w:t>
      </w:r>
    </w:p>
    <w:p>
      <w:pPr>
        <w:spacing w:after="0" w:line="138" w:lineRule="exact"/>
        <w:rPr>
          <w:sz w:val="20"/>
          <w:szCs w:val="20"/>
          <w:color w:val="auto"/>
        </w:rPr>
      </w:pPr>
    </w:p>
    <w:p>
      <w:pPr>
        <w:ind w:right="260"/>
        <w:spacing w:after="0" w:line="230" w:lineRule="auto"/>
        <w:rPr>
          <w:sz w:val="20"/>
          <w:szCs w:val="20"/>
          <w:color w:val="auto"/>
        </w:rPr>
      </w:pPr>
      <w:r>
        <w:rPr>
          <w:rFonts w:ascii="Arial" w:cs="Arial" w:eastAsia="Arial" w:hAnsi="Arial"/>
          <w:sz w:val="16"/>
          <w:szCs w:val="16"/>
          <w:color w:val="333333"/>
        </w:rPr>
        <w:t>Details regarding the meeting, the business to be conducted at the meeting, and information about Standard BioTools Inc. that you should consider when you vote your shares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33333"/>
        </w:rPr>
        <w:t>described in the accompanying proxy statement.</w:t>
      </w:r>
    </w:p>
    <w:p>
      <w:pPr>
        <w:spacing w:after="0" w:line="13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333333"/>
        </w:rPr>
        <w:t>At the Annual Meeting, two persons will be elected to our board of directors. In addition, we will ask stockholders to:</w:t>
      </w:r>
    </w:p>
    <w:p>
      <w:pPr>
        <w:spacing w:after="0" w:line="20" w:lineRule="exact"/>
        <w:rPr>
          <w:sz w:val="20"/>
          <w:szCs w:val="20"/>
          <w:color w:val="auto"/>
        </w:rPr>
      </w:pPr>
    </w:p>
    <w:p>
      <w:pPr>
        <w:ind w:left="720" w:right="120" w:hanging="356"/>
        <w:spacing w:after="0" w:line="268" w:lineRule="auto"/>
        <w:tabs>
          <w:tab w:leader="none" w:pos="720" w:val="left"/>
        </w:tabs>
        <w:numPr>
          <w:ilvl w:val="0"/>
          <w:numId w:val="1"/>
        </w:numPr>
        <w:rPr>
          <w:rFonts w:ascii="Arial" w:cs="Arial" w:eastAsia="Arial" w:hAnsi="Arial"/>
          <w:sz w:val="16"/>
          <w:szCs w:val="16"/>
          <w:color w:val="333333"/>
        </w:rPr>
      </w:pPr>
      <w:r>
        <w:rPr>
          <w:rFonts w:ascii="Arial" w:cs="Arial" w:eastAsia="Arial" w:hAnsi="Arial"/>
          <w:sz w:val="16"/>
          <w:szCs w:val="16"/>
          <w:color w:val="333333"/>
        </w:rPr>
        <w:t>approve, on an advisory basis, the compensation of our named executive officers as disclosed in this proxy statement,</w:t>
      </w:r>
    </w:p>
    <w:p>
      <w:pPr>
        <w:spacing w:after="0" w:line="7" w:lineRule="exact"/>
        <w:rPr>
          <w:rFonts w:ascii="Arial" w:cs="Arial" w:eastAsia="Arial" w:hAnsi="Arial"/>
          <w:sz w:val="16"/>
          <w:szCs w:val="16"/>
          <w:color w:val="333333"/>
        </w:rPr>
      </w:pPr>
    </w:p>
    <w:p>
      <w:pPr>
        <w:ind w:left="720" w:right="20" w:hanging="356"/>
        <w:spacing w:after="0" w:line="268" w:lineRule="auto"/>
        <w:tabs>
          <w:tab w:leader="none" w:pos="720" w:val="left"/>
        </w:tabs>
        <w:numPr>
          <w:ilvl w:val="0"/>
          <w:numId w:val="1"/>
        </w:numPr>
        <w:rPr>
          <w:rFonts w:ascii="Arial" w:cs="Arial" w:eastAsia="Arial" w:hAnsi="Arial"/>
          <w:sz w:val="16"/>
          <w:szCs w:val="16"/>
          <w:color w:val="333333"/>
        </w:rPr>
      </w:pPr>
      <w:r>
        <w:rPr>
          <w:rFonts w:ascii="Arial" w:cs="Arial" w:eastAsia="Arial" w:hAnsi="Arial"/>
          <w:sz w:val="16"/>
          <w:szCs w:val="16"/>
          <w:color w:val="333333"/>
        </w:rPr>
        <w:t>ratify the appointment of PricewaterhouseCoopers LLP as our independent registered public accounting firm for our fiscal year ending December 31, 2025, and</w:t>
      </w:r>
    </w:p>
    <w:p>
      <w:pPr>
        <w:spacing w:after="0" w:line="21" w:lineRule="exact"/>
        <w:rPr>
          <w:rFonts w:ascii="Arial" w:cs="Arial" w:eastAsia="Arial" w:hAnsi="Arial"/>
          <w:sz w:val="16"/>
          <w:szCs w:val="16"/>
          <w:color w:val="333333"/>
        </w:rPr>
      </w:pPr>
    </w:p>
    <w:p>
      <w:pPr>
        <w:ind w:left="720" w:right="20" w:hanging="356"/>
        <w:spacing w:after="0"/>
        <w:tabs>
          <w:tab w:leader="none" w:pos="720" w:val="left"/>
        </w:tabs>
        <w:numPr>
          <w:ilvl w:val="0"/>
          <w:numId w:val="1"/>
        </w:numPr>
        <w:rPr>
          <w:rFonts w:ascii="Arial" w:cs="Arial" w:eastAsia="Arial" w:hAnsi="Arial"/>
          <w:sz w:val="16"/>
          <w:szCs w:val="16"/>
          <w:color w:val="333333"/>
        </w:rPr>
      </w:pPr>
      <w:r>
        <w:rPr>
          <w:rFonts w:ascii="Arial" w:cs="Arial" w:eastAsia="Arial" w:hAnsi="Arial"/>
          <w:sz w:val="16"/>
          <w:szCs w:val="16"/>
          <w:color w:val="333333"/>
        </w:rPr>
        <w:t>approve an amendment to our Amended and Restated 2011 Equity Incentive Plan, as amended, to increase the number of shares of common stock available for issuance thereunder by 17,400,000 shares.</w:t>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333333"/>
        </w:rPr>
        <w:t>Our board of directors recommends the approval of each of the proposals. Such other business will be transacted as may properly come before the Annual Meeting.</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Under Securities and Exchange Commission rules that allow companies to furnish proxy</w:t>
      </w:r>
    </w:p>
    <w:p>
      <w:pPr>
        <w:spacing w:after="0" w:line="8" w:lineRule="exact"/>
        <w:rPr>
          <w:sz w:val="20"/>
          <w:szCs w:val="20"/>
          <w:color w:val="auto"/>
        </w:rPr>
      </w:pPr>
    </w:p>
    <w:p>
      <w:pPr>
        <w:ind w:right="360"/>
        <w:spacing w:after="0" w:line="220" w:lineRule="auto"/>
        <w:rPr>
          <w:sz w:val="20"/>
          <w:szCs w:val="20"/>
          <w:color w:val="auto"/>
        </w:rPr>
      </w:pPr>
      <w:r>
        <w:rPr>
          <w:rFonts w:ascii="Arial" w:cs="Arial" w:eastAsia="Arial" w:hAnsi="Arial"/>
          <w:sz w:val="16"/>
          <w:szCs w:val="16"/>
          <w:b w:val="1"/>
          <w:bCs w:val="1"/>
          <w:color w:val="333333"/>
        </w:rPr>
        <w:t>materials to stockholders over the Internet, we have elected to deliver our proxy materials to the majority of our stockholders over the Internet. This delivery process</w:t>
      </w:r>
    </w:p>
    <w:p>
      <w:pPr>
        <w:spacing w:after="0" w:line="229" w:lineRule="auto"/>
        <w:rPr>
          <w:sz w:val="20"/>
          <w:szCs w:val="20"/>
          <w:color w:val="auto"/>
        </w:rPr>
      </w:pPr>
      <w:r>
        <w:rPr>
          <w:rFonts w:ascii="Arial" w:cs="Arial" w:eastAsia="Arial" w:hAnsi="Arial"/>
          <w:sz w:val="16"/>
          <w:szCs w:val="16"/>
          <w:b w:val="1"/>
          <w:bCs w:val="1"/>
          <w:color w:val="333333"/>
        </w:rPr>
        <w:t>allows us to provide stockholders with the information they need, while at the same time</w:t>
      </w:r>
    </w:p>
    <w:p>
      <w:pPr>
        <w:ind w:right="80"/>
        <w:spacing w:after="0" w:line="220" w:lineRule="auto"/>
        <w:rPr>
          <w:sz w:val="20"/>
          <w:szCs w:val="20"/>
          <w:color w:val="auto"/>
        </w:rPr>
      </w:pPr>
      <w:r>
        <w:rPr>
          <w:rFonts w:ascii="Arial" w:cs="Arial" w:eastAsia="Arial" w:hAnsi="Arial"/>
          <w:sz w:val="16"/>
          <w:szCs w:val="16"/>
          <w:b w:val="1"/>
          <w:bCs w:val="1"/>
          <w:color w:val="333333"/>
        </w:rPr>
        <w:t>conserving natural resources and lowering the cost of delivery. On or about May 5, 2025 we intend to begin sending to our stockholders a Notice of Internet Availability of Proxy</w:t>
      </w:r>
    </w:p>
    <w:p>
      <w:pPr>
        <w:spacing w:after="0" w:line="229" w:lineRule="auto"/>
        <w:rPr>
          <w:sz w:val="20"/>
          <w:szCs w:val="20"/>
          <w:color w:val="auto"/>
        </w:rPr>
      </w:pPr>
      <w:r>
        <w:rPr>
          <w:rFonts w:ascii="Arial" w:cs="Arial" w:eastAsia="Arial" w:hAnsi="Arial"/>
          <w:sz w:val="16"/>
          <w:szCs w:val="16"/>
          <w:b w:val="1"/>
          <w:bCs w:val="1"/>
          <w:color w:val="333333"/>
        </w:rPr>
        <w:t>Materials (the “Notice”) containing instructions on how to access our proxy statement</w:t>
      </w:r>
    </w:p>
    <w:p>
      <w:pPr>
        <w:ind w:right="240"/>
        <w:spacing w:after="0" w:line="220" w:lineRule="auto"/>
        <w:rPr>
          <w:sz w:val="20"/>
          <w:szCs w:val="20"/>
          <w:color w:val="auto"/>
        </w:rPr>
      </w:pPr>
      <w:r>
        <w:rPr>
          <w:rFonts w:ascii="Arial" w:cs="Arial" w:eastAsia="Arial" w:hAnsi="Arial"/>
          <w:sz w:val="16"/>
          <w:szCs w:val="16"/>
          <w:b w:val="1"/>
          <w:bCs w:val="1"/>
          <w:color w:val="333333"/>
        </w:rPr>
        <w:t>for our Annual Meeting and our 2024 annual report to stockholders. The Notice also provides instructions on how to vote online or by telephone, how to access the virtual</w:t>
      </w:r>
    </w:p>
    <w:p>
      <w:pPr>
        <w:spacing w:after="0"/>
        <w:rPr>
          <w:sz w:val="20"/>
          <w:szCs w:val="20"/>
          <w:color w:val="auto"/>
        </w:rPr>
      </w:pPr>
      <w:r>
        <w:rPr>
          <w:rFonts w:ascii="Arial" w:cs="Arial" w:eastAsia="Arial" w:hAnsi="Arial"/>
          <w:sz w:val="16"/>
          <w:szCs w:val="16"/>
          <w:b w:val="1"/>
          <w:bCs w:val="1"/>
          <w:color w:val="333333"/>
        </w:rPr>
        <w:t>Annual Meeting, and how to receive a paper copy of the proxy materials by mail.</w:t>
      </w:r>
    </w:p>
    <w:p>
      <w:pPr>
        <w:spacing w:after="0" w:line="138"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333333"/>
        </w:rPr>
        <w:t>We hope you will be able to attend the Annual Meeting. Whether or not you plan to attend the Annual Meeting, we hope you will vote promptly. Information about voting methods is set forth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33333"/>
        </w:rPr>
        <w:t>in the accompanying proxy statement.</w:t>
      </w:r>
    </w:p>
    <w:p>
      <w:pPr>
        <w:spacing w:after="0" w:line="138" w:lineRule="exact"/>
        <w:rPr>
          <w:sz w:val="20"/>
          <w:szCs w:val="20"/>
          <w:color w:val="auto"/>
        </w:rPr>
      </w:pPr>
    </w:p>
    <w:p>
      <w:pPr>
        <w:ind w:right="100"/>
        <w:spacing w:after="0" w:line="230" w:lineRule="auto"/>
        <w:rPr>
          <w:sz w:val="20"/>
          <w:szCs w:val="20"/>
          <w:color w:val="auto"/>
        </w:rPr>
      </w:pPr>
      <w:r>
        <w:rPr>
          <w:rFonts w:ascii="Arial" w:cs="Arial" w:eastAsia="Arial" w:hAnsi="Arial"/>
          <w:sz w:val="16"/>
          <w:szCs w:val="16"/>
          <w:color w:val="333333"/>
        </w:rPr>
        <w:t>Thank you for your continued support of Standard BioTools Inc. We look forward to seeing you at the Annual Meeting. If you have any questions or require any assistance with voting your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33333"/>
        </w:rPr>
        <w:t>shares, please call the Company’s proxy solicitor: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333333"/>
        </w:rPr>
        <w:t>ALLIANCE ADVISORS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333333"/>
        </w:rPr>
        <w:t>Stockholders, banks, and brokers may call 844-202-5849 (toll-free from the U.S. and Canada)</w:t>
      </w:r>
    </w:p>
    <w:tbl>
      <w:tblPr>
        <w:tblLayout w:type="fixed"/>
        <w:tblInd w:w="0" w:type="dxa"/>
        <w:tblCellMar>
          <w:top w:w="0" w:type="dxa"/>
          <w:left w:w="0" w:type="dxa"/>
          <w:bottom w:w="0" w:type="dxa"/>
          <w:right w:w="0" w:type="dxa"/>
        </w:tblCellMar>
      </w:tblPr>
      <w:tr>
        <w:trPr>
          <w:trHeight w:val="178"/>
        </w:trPr>
        <w:tc>
          <w:tcPr>
            <w:tcW w:w="1360" w:type="dxa"/>
            <w:vAlign w:val="bottom"/>
          </w:tcPr>
          <w:p>
            <w:pPr>
              <w:spacing w:after="0"/>
              <w:rPr>
                <w:sz w:val="15"/>
                <w:szCs w:val="15"/>
                <w:color w:val="auto"/>
              </w:rPr>
            </w:pPr>
          </w:p>
        </w:tc>
        <w:tc>
          <w:tcPr>
            <w:tcW w:w="3500" w:type="dxa"/>
            <w:vAlign w:val="bottom"/>
          </w:tcPr>
          <w:p>
            <w:pPr>
              <w:jc w:val="center"/>
              <w:ind w:left="559"/>
              <w:spacing w:after="0" w:line="178" w:lineRule="exact"/>
              <w:rPr>
                <w:sz w:val="20"/>
                <w:szCs w:val="20"/>
                <w:color w:val="auto"/>
              </w:rPr>
            </w:pPr>
            <w:r>
              <w:rPr>
                <w:rFonts w:ascii="Arial" w:cs="Arial" w:eastAsia="Arial" w:hAnsi="Arial"/>
                <w:sz w:val="16"/>
                <w:szCs w:val="16"/>
                <w:color w:val="333333"/>
                <w:w w:val="98"/>
              </w:rPr>
              <w:t>or</w:t>
            </w:r>
          </w:p>
        </w:tc>
        <w:tc>
          <w:tcPr>
            <w:tcW w:w="0" w:type="dxa"/>
            <w:vAlign w:val="bottom"/>
          </w:tcPr>
          <w:p>
            <w:pPr>
              <w:spacing w:after="0"/>
              <w:rPr>
                <w:sz w:val="1"/>
                <w:szCs w:val="1"/>
                <w:color w:val="auto"/>
              </w:rPr>
            </w:pPr>
          </w:p>
        </w:tc>
      </w:tr>
      <w:tr>
        <w:trPr>
          <w:trHeight w:val="215"/>
        </w:trPr>
        <w:tc>
          <w:tcPr>
            <w:tcW w:w="1360" w:type="dxa"/>
            <w:vAlign w:val="bottom"/>
            <w:vMerge w:val="restart"/>
          </w:tcPr>
          <w:p>
            <w:pPr>
              <w:spacing w:after="0"/>
              <w:rPr>
                <w:sz w:val="20"/>
                <w:szCs w:val="20"/>
                <w:color w:val="auto"/>
              </w:rPr>
            </w:pPr>
            <w:r>
              <w:rPr>
                <w:rFonts w:ascii="Arial" w:cs="Arial" w:eastAsia="Arial" w:hAnsi="Arial"/>
                <w:sz w:val="16"/>
                <w:szCs w:val="16"/>
                <w:color w:val="333333"/>
              </w:rPr>
              <w:t>Sincerely,</w:t>
            </w:r>
          </w:p>
        </w:tc>
        <w:tc>
          <w:tcPr>
            <w:tcW w:w="3500" w:type="dxa"/>
            <w:vAlign w:val="bottom"/>
          </w:tcPr>
          <w:p>
            <w:pPr>
              <w:jc w:val="center"/>
              <w:ind w:left="579"/>
              <w:spacing w:after="0"/>
              <w:rPr>
                <w:sz w:val="20"/>
                <w:szCs w:val="20"/>
                <w:color w:val="auto"/>
              </w:rPr>
            </w:pPr>
            <w:r>
              <w:rPr>
                <w:rFonts w:ascii="Arial" w:cs="Arial" w:eastAsia="Arial" w:hAnsi="Arial"/>
                <w:sz w:val="16"/>
                <w:szCs w:val="16"/>
                <w:color w:val="333333"/>
              </w:rPr>
              <w:t>+1-209-637-2994 (from other countries)</w:t>
            </w:r>
          </w:p>
        </w:tc>
        <w:tc>
          <w:tcPr>
            <w:tcW w:w="0" w:type="dxa"/>
            <w:vAlign w:val="bottom"/>
          </w:tcPr>
          <w:p>
            <w:pPr>
              <w:spacing w:after="0"/>
              <w:rPr>
                <w:sz w:val="1"/>
                <w:szCs w:val="1"/>
                <w:color w:val="auto"/>
              </w:rPr>
            </w:pPr>
          </w:p>
        </w:tc>
      </w:tr>
      <w:tr>
        <w:trPr>
          <w:trHeight w:val="81"/>
        </w:trPr>
        <w:tc>
          <w:tcPr>
            <w:tcW w:w="136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89979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9795" cy="3771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color w:val="333333"/>
          <w:vertAlign w:val="superscript"/>
        </w:rPr>
        <w:t xml:space="preserve"> </w:t>
      </w:r>
      <w:r>
        <w:rPr>
          <w:rFonts w:ascii="Arial" w:cs="Arial" w:eastAsia="Arial" w:hAnsi="Arial"/>
          <w:sz w:val="16"/>
          <w:szCs w:val="16"/>
          <w:b w:val="1"/>
          <w:bCs w:val="1"/>
          <w:color w:val="auto"/>
        </w:rPr>
        <w:t>Michael Egholm, Ph.D.</w:t>
      </w:r>
    </w:p>
    <w:p>
      <w:pPr>
        <w:spacing w:after="0"/>
        <w:rPr>
          <w:sz w:val="20"/>
          <w:szCs w:val="20"/>
          <w:color w:val="auto"/>
        </w:rPr>
      </w:pPr>
      <w:r>
        <w:rPr>
          <w:rFonts w:ascii="Arial" w:cs="Arial" w:eastAsia="Arial" w:hAnsi="Arial"/>
          <w:sz w:val="16"/>
          <w:szCs w:val="16"/>
          <w:color w:val="333333"/>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267970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113665</wp:posOffset>
            </wp:positionV>
            <wp:extent cx="59664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2">
            <w:col w:w="1960" w:space="580"/>
            <w:col w:w="6860"/>
          </w:cols>
          <w:pgMar w:left="1240" w:top="114"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39"/>
          <w:szCs w:val="39"/>
          <w:color w:val="auto"/>
        </w:rPr>
        <w:t>NOTE ABOUT FORWARD-LOOKING STATEMENTS</w:t>
      </w:r>
    </w:p>
    <w:p>
      <w:pPr>
        <w:spacing w:after="0" w:line="190" w:lineRule="exact"/>
        <w:rPr>
          <w:sz w:val="20"/>
          <w:szCs w:val="20"/>
          <w:color w:val="auto"/>
        </w:rPr>
      </w:pPr>
    </w:p>
    <w:p>
      <w:pPr>
        <w:spacing w:after="0" w:line="247" w:lineRule="auto"/>
        <w:rPr>
          <w:sz w:val="20"/>
          <w:szCs w:val="20"/>
          <w:color w:val="auto"/>
        </w:rPr>
      </w:pPr>
      <w:r>
        <w:rPr>
          <w:rFonts w:ascii="Arial" w:cs="Arial" w:eastAsia="Arial" w:hAnsi="Arial"/>
          <w:sz w:val="16"/>
          <w:szCs w:val="16"/>
          <w:color w:val="333333"/>
        </w:rPr>
        <w:t>This proxy statement and the accompanying materials contain forward-looking statements. All statements contained herein other than statements of historical fact, including statements regarding our future results of operations and financial position, our business strategy and plans, and our objectives for future operations, are forward-looking statements. The words “believe,” “could,” “seeks,” “may,” “plan,” “potential,” “predicts,” “projects,” “should,” “will,” “estimate,” “continue,” “anticipate,” “intend,” “expect,” and similar expressions and the negatives of those terms are intended to identify forward-looking statements. Forward-looking statements include information concerning our possible future assumed future cash flow, sources of revenue and results of operations, costs of product revenue and product margin, operating and other expenses, business strategies, financing plans, expansions of our business, investments to expand our customer base, plans for our products, competitive position, industry environment, potential growth opportunities, market growth expectations, the effects of competition, cost structure optimization and acceleration of growth. Forward-looking statements are subject to numerous risks and uncertainties that could cause our actual results, performance, or achievements to be materially different from any future results, performance, or achievements expressed or implied by the forward-looking statements. Given these uncertainties, you should not place undue reliance on these forward-looking statements. Factors that could materially affect our future results, performance, or achievements include but not limited to, risks that the anticipated benefits of our merger and acquisition activity or other commercial opportunities may otherwise not be fully realized or may take longer to realize than expected; risks that we may not realize expected cost savings from our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subleasing plans, customer and employee relations, management distraction, and reduced operating performance;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changes in our business or external market conditions; challenges inherent in developing, manufacturing, launching, marketing, and selling new products; interruptions or delays in the supply of components or materials for, or manufacturing of, our products; reliance on sales of capital equipment for a significant proportion of revenues in each quarter; seasonal variations in customer operations; unanticipated increases in costs or expenses; continued or sustained budgetary, inflationary, or recessionary pressures; anticipated National Institutes of Health funding pressures; the expected effect from U.S. export controls and tariffs; uncertainties in contractual relationships; reductions in research and development spending or changes in budget priorities by customers; uncertainties relating to our research and development activities, and distribution plans and capabilities; potential product performance and quality issues; risks associated with international operations; intellectual property risks; and competition. In addition, investors in Standard BioTools should review the more detailed discussions of additional risks and uncertainties and other information affecting our business described under the caption “Risk Factors” in our Annual Report on Form 10-K filed with the Securities and Exchange Commission on March 10, 2025 and in our subsequent Quarterly Reports on Form 10-Q.</w:t>
      </w:r>
    </w:p>
    <w:p>
      <w:pPr>
        <w:spacing w:after="0" w:line="150"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333333"/>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237490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83185</wp:posOffset>
            </wp:positionV>
            <wp:extent cx="5966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1054100" cy="762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410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 xml:space="preserve">  </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Wednesday, June 18, 2025</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8:30 a.m., Pacific Time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rPr>
          <w:sz w:val="20"/>
          <w:szCs w:val="20"/>
          <w:color w:val="auto"/>
        </w:rPr>
      </w:pPr>
      <w:r>
        <w:rPr>
          <w:rFonts w:ascii="Arial" w:cs="Arial" w:eastAsia="Arial" w:hAnsi="Arial"/>
          <w:sz w:val="16"/>
          <w:szCs w:val="16"/>
          <w:color w:val="auto"/>
        </w:rPr>
        <w:t>Online at</w:t>
      </w:r>
    </w:p>
    <w:p>
      <w:pPr>
        <w:spacing w:after="0"/>
        <w:rPr>
          <w:sz w:val="20"/>
          <w:szCs w:val="20"/>
          <w:color w:val="auto"/>
        </w:rPr>
      </w:pPr>
      <w:r>
        <w:rPr>
          <w:rFonts w:ascii="Arial" w:cs="Arial" w:eastAsia="Arial" w:hAnsi="Arial"/>
          <w:sz w:val="16"/>
          <w:szCs w:val="16"/>
          <w:color w:val="auto"/>
        </w:rPr>
        <w:t>www.virtualshareholder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meeting.com/LAB2025</w:t>
      </w:r>
    </w:p>
    <w:p>
      <w:pPr>
        <w:spacing w:after="0" w:line="235" w:lineRule="auto"/>
        <w:rPr>
          <w:sz w:val="20"/>
          <w:szCs w:val="20"/>
          <w:color w:val="auto"/>
        </w:rPr>
      </w:pPr>
      <w:r>
        <w:rPr>
          <w:rFonts w:ascii="Arial" w:cs="Arial" w:eastAsia="Arial" w:hAnsi="Arial"/>
          <w:sz w:val="16"/>
          <w:szCs w:val="16"/>
          <w:color w:val="auto"/>
        </w:rPr>
        <w:t> </w:t>
      </w:r>
    </w:p>
    <w:p>
      <w:pPr>
        <w:ind w:right="100"/>
        <w:spacing w:after="0" w:line="265" w:lineRule="auto"/>
        <w:rPr>
          <w:sz w:val="20"/>
          <w:szCs w:val="20"/>
          <w:color w:val="auto"/>
        </w:rPr>
      </w:pPr>
      <w:r>
        <w:rPr>
          <w:rFonts w:ascii="Arial" w:cs="Arial" w:eastAsia="Arial" w:hAnsi="Arial"/>
          <w:sz w:val="16"/>
          <w:szCs w:val="16"/>
          <w:color w:val="auto"/>
        </w:rPr>
        <w:t>There is no physical location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6543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24356E"/>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24356E"/>
        </w:rPr>
        <w:t>VOTING</w:t>
      </w:r>
    </w:p>
    <w:p>
      <w:pPr>
        <w:spacing w:after="0" w:line="70" w:lineRule="exact"/>
        <w:rPr>
          <w:sz w:val="20"/>
          <w:szCs w:val="20"/>
          <w:color w:val="auto"/>
        </w:rPr>
      </w:pPr>
    </w:p>
    <w:p>
      <w:pPr>
        <w:spacing w:after="0" w:line="247" w:lineRule="auto"/>
        <w:rPr>
          <w:sz w:val="20"/>
          <w:szCs w:val="20"/>
          <w:color w:val="auto"/>
        </w:rPr>
      </w:pPr>
      <w:r>
        <w:rPr>
          <w:rFonts w:ascii="Arial" w:cs="Arial" w:eastAsia="Arial" w:hAnsi="Arial"/>
          <w:sz w:val="16"/>
          <w:szCs w:val="16"/>
          <w:b w:val="1"/>
          <w:bCs w:val="1"/>
          <w:color w:val="auto"/>
        </w:rPr>
        <w:t xml:space="preserve">Your vote is very important. Whether or not you plan to attend the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beginning on page </w:t>
      </w:r>
      <w:r>
        <w:rPr>
          <w:rFonts w:ascii="Arial" w:cs="Arial" w:eastAsia="Arial" w:hAnsi="Arial"/>
          <w:sz w:val="16"/>
          <w:szCs w:val="16"/>
          <w:b w:val="1"/>
          <w:bCs w:val="1"/>
          <w:u w:val="single" w:color="auto"/>
          <w:color w:val="0000EE"/>
        </w:rPr>
        <w:t>1</w:t>
      </w:r>
      <w:r>
        <w:rPr>
          <w:rFonts w:ascii="Arial" w:cs="Arial" w:eastAsia="Arial" w:hAnsi="Arial"/>
          <w:sz w:val="16"/>
          <w:szCs w:val="16"/>
          <w:b w:val="1"/>
          <w:bCs w:val="1"/>
          <w:color w:val="auto"/>
        </w:rPr>
        <w:t xml:space="preserve"> of the proxy statement accompanying this notice.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2 Tower Place, Suite 2000</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South San Francisco, California 94080</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(650) 266-6000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660"/>
        <w:spacing w:after="0" w:line="286" w:lineRule="auto"/>
        <w:rPr>
          <w:sz w:val="20"/>
          <w:szCs w:val="20"/>
          <w:color w:val="auto"/>
        </w:rPr>
      </w:pPr>
      <w:r>
        <w:rPr>
          <w:rFonts w:ascii="Arial" w:cs="Arial" w:eastAsia="Arial" w:hAnsi="Arial"/>
          <w:sz w:val="35"/>
          <w:szCs w:val="35"/>
          <w:color w:val="auto"/>
        </w:rPr>
        <w:t>Notice of 2025 Annual Meeting of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43548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196" w:lineRule="exact"/>
        <w:rPr>
          <w:sz w:val="20"/>
          <w:szCs w:val="20"/>
          <w:color w:val="auto"/>
        </w:rPr>
      </w:pPr>
    </w:p>
    <w:p>
      <w:pPr>
        <w:ind w:left="800" w:right="360"/>
        <w:spacing w:after="0" w:line="251" w:lineRule="auto"/>
        <w:rPr>
          <w:sz w:val="20"/>
          <w:szCs w:val="20"/>
          <w:color w:val="auto"/>
        </w:rPr>
      </w:pPr>
      <w:r>
        <w:rPr>
          <w:rFonts w:ascii="Arial" w:cs="Arial" w:eastAsia="Arial" w:hAnsi="Arial"/>
          <w:sz w:val="14"/>
          <w:szCs w:val="14"/>
          <w:color w:val="333333"/>
        </w:rPr>
        <w:t>To vote to elect two nominees as Class III Directors, each to a term expiring at our 2028 annual meeting of stockholders and to hold office until his or her successor is duly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-207645</wp:posOffset>
            </wp:positionV>
            <wp:extent cx="23114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400"/>
        <w:spacing w:after="0"/>
        <w:tabs>
          <w:tab w:leader="none" w:pos="780" w:val="left"/>
        </w:tabs>
        <w:rPr>
          <w:sz w:val="20"/>
          <w:szCs w:val="20"/>
          <w:color w:val="auto"/>
        </w:rPr>
      </w:pPr>
      <w:r>
        <w:rPr>
          <w:rFonts w:ascii="Arial" w:cs="Arial" w:eastAsia="Arial" w:hAnsi="Arial"/>
          <w:sz w:val="14"/>
          <w:szCs w:val="14"/>
          <w:b w:val="1"/>
          <w:bCs w:val="1"/>
          <w:color w:val="333333"/>
        </w:rPr>
        <w:t xml:space="preserve">  </w:t>
      </w:r>
      <w:r>
        <w:rPr>
          <w:sz w:val="20"/>
          <w:szCs w:val="20"/>
          <w:color w:val="auto"/>
        </w:rPr>
        <w:tab/>
      </w:r>
      <w:r>
        <w:rPr>
          <w:rFonts w:ascii="Arial" w:cs="Arial" w:eastAsia="Arial" w:hAnsi="Arial"/>
          <w:sz w:val="14"/>
          <w:szCs w:val="14"/>
          <w:color w:val="333333"/>
        </w:rPr>
        <w:t>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43548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129" w:lineRule="exact"/>
        <w:rPr>
          <w:sz w:val="20"/>
          <w:szCs w:val="20"/>
          <w:color w:val="auto"/>
        </w:rPr>
      </w:pPr>
    </w:p>
    <w:p>
      <w:pPr>
        <w:ind w:left="800" w:right="520"/>
        <w:spacing w:after="0" w:line="285" w:lineRule="auto"/>
        <w:rPr>
          <w:sz w:val="20"/>
          <w:szCs w:val="20"/>
          <w:color w:val="auto"/>
        </w:rPr>
      </w:pPr>
      <w:r>
        <w:rPr>
          <w:rFonts w:ascii="Arial" w:cs="Arial" w:eastAsia="Arial" w:hAnsi="Arial"/>
          <w:sz w:val="14"/>
          <w:szCs w:val="14"/>
          <w:color w:val="333333"/>
        </w:rPr>
        <w:t>To approve, on an advisory basis,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4354830"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54830" cy="488950"/>
                    </a:xfrm>
                    <a:prstGeom prst="rect">
                      <a:avLst/>
                    </a:prstGeom>
                    <a:noFill/>
                  </pic:spPr>
                </pic:pic>
              </a:graphicData>
            </a:graphic>
          </wp:anchor>
        </w:drawing>
      </w:r>
    </w:p>
    <w:p>
      <w:pPr>
        <w:spacing w:after="0" w:line="84" w:lineRule="exact"/>
        <w:rPr>
          <w:sz w:val="20"/>
          <w:szCs w:val="20"/>
          <w:color w:val="auto"/>
        </w:rPr>
      </w:pPr>
    </w:p>
    <w:p>
      <w:pPr>
        <w:ind w:left="800"/>
        <w:spacing w:after="0" w:line="285" w:lineRule="auto"/>
        <w:rPr>
          <w:sz w:val="20"/>
          <w:szCs w:val="20"/>
          <w:color w:val="auto"/>
        </w:rPr>
      </w:pPr>
      <w:r>
        <w:rPr>
          <w:rFonts w:ascii="Arial" w:cs="Arial" w:eastAsia="Arial" w:hAnsi="Arial"/>
          <w:sz w:val="14"/>
          <w:szCs w:val="14"/>
          <w:color w:val="333333"/>
        </w:rPr>
        <w:t>To ratify the appointment of PricewaterhouseCoopers LLP as our independent registered public accounting firm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43548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70" w:lineRule="exact"/>
        <w:rPr>
          <w:sz w:val="20"/>
          <w:szCs w:val="20"/>
          <w:color w:val="auto"/>
        </w:rPr>
      </w:pPr>
    </w:p>
    <w:p>
      <w:pPr>
        <w:ind w:left="800" w:right="420"/>
        <w:spacing w:after="0" w:line="263" w:lineRule="auto"/>
        <w:rPr>
          <w:sz w:val="20"/>
          <w:szCs w:val="20"/>
          <w:color w:val="auto"/>
        </w:rPr>
      </w:pPr>
      <w:r>
        <w:rPr>
          <w:rFonts w:ascii="Arial" w:cs="Arial" w:eastAsia="Arial" w:hAnsi="Arial"/>
          <w:sz w:val="14"/>
          <w:szCs w:val="14"/>
          <w:color w:val="333333"/>
        </w:rPr>
        <w:t>To approve an amendment to our Amended and Restated 2011 Equity Incentive Plan, as amended, to increase the number of shares of common stock available for issuance thereunder by 17,400,000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43548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-295275</wp:posOffset>
            </wp:positionV>
            <wp:extent cx="23114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Adjournments and Postponements</w:t>
      </w:r>
    </w:p>
    <w:p>
      <w:pPr>
        <w:spacing w:after="0" w:line="33" w:lineRule="exact"/>
        <w:rPr>
          <w:sz w:val="20"/>
          <w:szCs w:val="20"/>
          <w:color w:val="auto"/>
        </w:rPr>
      </w:pPr>
    </w:p>
    <w:p>
      <w:pPr>
        <w:jc w:val="both"/>
        <w:ind w:right="200"/>
        <w:spacing w:after="0" w:line="236" w:lineRule="auto"/>
        <w:rPr>
          <w:sz w:val="20"/>
          <w:szCs w:val="20"/>
          <w:color w:val="auto"/>
        </w:rPr>
      </w:pPr>
      <w:r>
        <w:rPr>
          <w:rFonts w:ascii="Arial" w:cs="Arial" w:eastAsia="Arial" w:hAnsi="Arial"/>
          <w:sz w:val="15"/>
          <w:szCs w:val="15"/>
          <w:color w:val="333333"/>
        </w:rPr>
        <w:t>Any action on the items of business described above may be considered at the Annual Meeting at the time and on the date specified above or at any time and date to which the Annual Meeting may be properly adjourned or postponed.</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Record Date</w:t>
      </w:r>
    </w:p>
    <w:p>
      <w:pPr>
        <w:spacing w:after="0" w:line="33" w:lineRule="exact"/>
        <w:rPr>
          <w:sz w:val="20"/>
          <w:szCs w:val="20"/>
          <w:color w:val="auto"/>
        </w:rPr>
      </w:pPr>
    </w:p>
    <w:p>
      <w:pPr>
        <w:ind w:right="120"/>
        <w:spacing w:after="0" w:line="233" w:lineRule="auto"/>
        <w:rPr>
          <w:sz w:val="20"/>
          <w:szCs w:val="20"/>
          <w:color w:val="auto"/>
        </w:rPr>
      </w:pPr>
      <w:r>
        <w:rPr>
          <w:rFonts w:ascii="Arial" w:cs="Arial" w:eastAsia="Arial" w:hAnsi="Arial"/>
          <w:sz w:val="15"/>
          <w:szCs w:val="15"/>
          <w:color w:val="333333"/>
        </w:rPr>
        <w:t>You are entitled to vote only if you were a Standard BioTools stockholder of record as of the close of business on the record date, April 25, 2025 (the “Record Date”). Only holders of record of Standard BioTools common stock on the Record Date are entitled to notice of and to vote at the Annual Meeting.</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 Admission</w:t>
      </w:r>
    </w:p>
    <w:p>
      <w:pPr>
        <w:spacing w:after="0" w:line="33" w:lineRule="exact"/>
        <w:rPr>
          <w:sz w:val="20"/>
          <w:szCs w:val="20"/>
          <w:color w:val="auto"/>
        </w:rPr>
      </w:pPr>
    </w:p>
    <w:p>
      <w:pPr>
        <w:spacing w:after="0" w:line="232" w:lineRule="auto"/>
        <w:rPr>
          <w:sz w:val="20"/>
          <w:szCs w:val="20"/>
          <w:color w:val="auto"/>
        </w:rPr>
      </w:pPr>
      <w:r>
        <w:rPr>
          <w:rFonts w:ascii="Arial" w:cs="Arial" w:eastAsia="Arial" w:hAnsi="Arial"/>
          <w:sz w:val="15"/>
          <w:szCs w:val="15"/>
          <w:color w:val="333333"/>
        </w:rPr>
        <w:t>You are entitled to attend the virtual Annual Meeting only if you were a Standard BioTools stockholder as of the close of business on the Record Date or otherwise hold a valid proxy for the Annual Meeting. If you are not a stockholder of record but hold shares through a broker, bank, trustee, or nominee (i.e., in “street name”), you should contact your broker, bank, trustee or nominee to obtain a legal proxy or broker’s proxy card in order to vote.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Participation in Annual Meeting</w:t>
      </w:r>
    </w:p>
    <w:p>
      <w:pPr>
        <w:spacing w:after="0" w:line="33"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333333"/>
        </w:rPr>
        <w:t>We are pleased to invite you to participate in our Annual Meeting, which will be conducted exclusively online at www.virtualshareholdermeeting.com/LAB2025. Please see “Important Information About the Annual Meeting” for additional information.</w:t>
      </w:r>
    </w:p>
    <w:p>
      <w:pPr>
        <w:spacing w:after="0" w:line="44"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333333"/>
        </w:rPr>
        <w:t>The Annual Meeting will begin promptly at 8:30 a.m. Pacific Time. The virtual meeting room will open at 7:45 a.m. Pacific Time for check-in.</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Annual Report</w:t>
      </w:r>
    </w:p>
    <w:p>
      <w:pPr>
        <w:spacing w:after="0" w:line="38"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333333"/>
        </w:rPr>
        <w:t>You may access our Annual Report on Form 10-K for the year ended December 31, 2024 (the “2024 Annual Report”) and our proxy solicitation materials by visiting www.proxyvote.com. Our 2024 Annual Report is not a part of the proxy solicitation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124460</wp:posOffset>
            </wp:positionV>
            <wp:extent cx="59321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535940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140" w:space="400"/>
            <w:col w:w="6860"/>
          </w:cols>
          <w:pgMar w:left="1240" w:top="114"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2 Tower Place, Suite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054100" cy="762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4100" cy="76263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South San Francisco, California 94080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 xml:space="preserve">  </w:t>
      </w:r>
    </w:p>
    <w:p>
      <w:pPr>
        <w:spacing w:after="0" w:line="163" w:lineRule="exact"/>
        <w:rPr>
          <w:sz w:val="20"/>
          <w:szCs w:val="20"/>
          <w:color w:val="auto"/>
        </w:rPr>
      </w:pPr>
    </w:p>
    <w:p>
      <w:pPr>
        <w:jc w:val="both"/>
        <w:ind w:right="1260"/>
        <w:spacing w:after="0" w:line="256" w:lineRule="auto"/>
        <w:rPr>
          <w:sz w:val="20"/>
          <w:szCs w:val="20"/>
          <w:color w:val="auto"/>
        </w:rPr>
      </w:pPr>
      <w:r>
        <w:rPr>
          <w:rFonts w:ascii="Arial" w:cs="Arial" w:eastAsia="Arial" w:hAnsi="Arial"/>
          <w:sz w:val="40"/>
          <w:szCs w:val="40"/>
          <w:color w:val="auto"/>
        </w:rPr>
        <w:t>Proxy Statement for the Standard Biotools Inc. Annual Meeting of Stockholders to be Held on June 18, 2025</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333333"/>
        </w:rPr>
        <w:t>This proxy statement, along with the accompanying Notice of 2025 Annual Meeting of Stockholders, contains information about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Annual Meeting, including any adjournments or postponements of the Annual Meeting. We are holding the Annual Meeting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8:30 a.m., Pacific Time, on Wednesday, June 18, 2025. The Annual Meeting will be conducted solely via live audio webcast on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Internet. You will be able to attend the Annual Meeting by visiting www.virtualshareholdermeeting.com/LAB2025. You will not be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able to attend the Annual Meeting in person.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333333"/>
        </w:rPr>
        <w:t>This proxy statement relates to the solicitation of proxies by our board of directors for use at the Annual Meeting.</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On or about May 5, 2025, we intend to begin mailing this proxy statement, the Notice of 2025 Annual Meeting of Stockholders and the enclosed proxy card to all stockholders entitled to vote at our Annual Meeting. Although not part of this proxy statement, we are also sending, along with this proxy statement, our 2024 Annual Report, which includes our financial statements for the fiscal year ended December 31, 2024.</w:t>
      </w:r>
    </w:p>
    <w:p>
      <w:pPr>
        <w:spacing w:after="0" w:line="120" w:lineRule="exact"/>
        <w:rPr>
          <w:sz w:val="20"/>
          <w:szCs w:val="20"/>
          <w:color w:val="auto"/>
        </w:rPr>
      </w:pPr>
    </w:p>
    <w:p>
      <w:pPr>
        <w:jc w:val="both"/>
        <w:ind w:right="360"/>
        <w:spacing w:after="0" w:line="256" w:lineRule="auto"/>
        <w:rPr>
          <w:sz w:val="20"/>
          <w:szCs w:val="20"/>
          <w:color w:val="auto"/>
        </w:rPr>
      </w:pPr>
      <w:r>
        <w:rPr>
          <w:rFonts w:ascii="Arial" w:cs="Arial" w:eastAsia="Arial" w:hAnsi="Arial"/>
          <w:sz w:val="40"/>
          <w:szCs w:val="40"/>
          <w:color w:val="auto"/>
        </w:rPr>
        <w:t>Important Notice Regarding the Availability of Proxy Materials for the Stockholder Meeting to be Held on June 18, 2025</w:t>
      </w:r>
    </w:p>
    <w:p>
      <w:pPr>
        <w:spacing w:after="0" w:line="206"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b w:val="1"/>
          <w:bCs w:val="1"/>
          <w:color w:val="333333"/>
        </w:rPr>
        <w:t>This proxy statement, the Notice of 2025 Annual Meeting of Stockholders, our form of proxy card and our 2024 Annual Report are available for viewing, printing, and downloading at www.proxyvote.com. To view these materials please have your control number(s) available that appears on your proxy card. On this website, you can also elect to receive future distributions of our proxy statements and annual reports to stockholders by electronic delivery.</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color w:val="333333"/>
        </w:rPr>
        <w:t>Additionally, you can find a copy of our Annual Report on Form 10-K, which includes our financial statements for the fiscal year ended December 31, 2024, on the website of the Securities and Exchange Commission (the “SEC”) at www.sec.gov, or in the “Latest Reports” section of the “Investors” section of our website at https://investors.StandardBio.com. You may also obtain a printed copy of our Annual Report on Form 10-K, including our financial statements, free of charge, from us by sending a written request to: Standard BioTools Inc., Attn: Investor Relations, 2 Tower Place, Suite 2000, South San Francisco, California 94080. Exhibits will be provided upon written request and payment of an appropriate processing fee.</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Important Information About the Annual Meeting</w:t>
      </w:r>
    </w:p>
    <w:p>
      <w:pPr>
        <w:spacing w:after="0" w:line="153"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333333"/>
        </w:rPr>
        <w:t>Our Annual Meeting will be conducted online only, via live webcast. We intend to continue to ensure that our stockholders are afforded the same rights and opportunities to participate virtually as they would at an in-person meeting. Instructions on how to attend the Annual Meeting are posted at www.virtualshareholdermeeting.com/LAB2025.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117475</wp:posOffset>
            </wp:positionV>
            <wp:extent cx="59321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528955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6"/>
          <w:szCs w:val="16"/>
          <w:color w:val="333333"/>
        </w:rPr>
        <w:t>You may log in to the meeting platform beginning at 7:45 a.m. Pacific Time on Wednesday, June 18, 2025. The meeting will begin promptly at 8:30 a.m. Pacific Time.</w:t>
      </w:r>
    </w:p>
    <w:p>
      <w:pPr>
        <w:spacing w:after="0" w:line="10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333333"/>
        </w:rPr>
        <w:t>You will need the 16-digit control number provided in your proxy materials to attend the Annual Meeting at www.virtualshareholdermeeting.com/LAB2025. Stockholders of record and beneficial owners as of the close of business on the Record Date, April 25, 2025, may vote their shares electronically during the Annual Meeting.</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333333"/>
        </w:rPr>
        <w:t>If you encounter any difficulties accessing or asking questions during the Annual Meeting, a support line will be available on the login page of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107950</wp:posOffset>
            </wp:positionV>
            <wp:extent cx="59321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217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519430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240" w:top="114" w:right="1399" w:bottom="1440" w:gutter="0" w:footer="0" w:header="0"/>
        </w:sectPr>
      </w:pPr>
    </w:p>
    <w:bookmarkStart w:id="6" w:name="page7"/>
    <w:bookmarkEnd w:id="6"/>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102870</wp:posOffset>
            </wp:positionV>
            <wp:extent cx="1054100" cy="763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5410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0"/>
        <w:spacing w:after="0"/>
        <w:rPr>
          <w:sz w:val="20"/>
          <w:szCs w:val="20"/>
          <w:color w:val="auto"/>
        </w:rPr>
      </w:pPr>
      <w:r>
        <w:rPr>
          <w:rFonts w:ascii="Arial" w:cs="Arial" w:eastAsia="Arial" w:hAnsi="Arial"/>
          <w:sz w:val="16"/>
          <w:szCs w:val="16"/>
          <w:color w:val="333333"/>
        </w:rPr>
        <w:t> </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6"/>
          <w:szCs w:val="16"/>
          <w:color w:val="333333"/>
        </w:rPr>
        <w:t> </w:t>
      </w:r>
    </w:p>
    <w:p>
      <w:pPr>
        <w:ind w:left="3340"/>
        <w:spacing w:after="0"/>
        <w:rPr>
          <w:sz w:val="20"/>
          <w:szCs w:val="20"/>
          <w:color w:val="auto"/>
        </w:rPr>
      </w:pPr>
      <w:r>
        <w:rPr>
          <w:rFonts w:ascii="Arial" w:cs="Arial" w:eastAsia="Arial" w:hAnsi="Arial"/>
          <w:sz w:val="40"/>
          <w:szCs w:val="40"/>
          <w:color w:val="auto"/>
        </w:rPr>
        <w:t>Table of Contents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540" w:type="dxa"/>
            <w:vAlign w:val="bottom"/>
            <w:gridSpan w:val="20"/>
          </w:tcPr>
          <w:p>
            <w:pPr>
              <w:spacing w:after="0"/>
              <w:rPr>
                <w:sz w:val="20"/>
                <w:szCs w:val="20"/>
                <w:color w:val="auto"/>
              </w:rPr>
            </w:pPr>
            <w:r>
              <w:rPr>
                <w:rFonts w:ascii="Arial" w:cs="Arial" w:eastAsia="Arial" w:hAnsi="Arial"/>
                <w:sz w:val="16"/>
                <w:szCs w:val="16"/>
                <w:b w:val="1"/>
                <w:bCs w:val="1"/>
                <w:color w:val="0000EE"/>
              </w:rPr>
              <w:t>General Information</w:t>
            </w: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120" w:type="dxa"/>
            <w:vAlign w:val="bottom"/>
            <w:gridSpan w:val="12"/>
          </w:tcPr>
          <w:p>
            <w:pPr>
              <w:spacing w:after="0"/>
              <w:rPr>
                <w:sz w:val="20"/>
                <w:szCs w:val="20"/>
                <w:color w:val="auto"/>
              </w:rPr>
            </w:pPr>
            <w:r>
              <w:rPr>
                <w:rFonts w:ascii="Arial" w:cs="Arial" w:eastAsia="Arial" w:hAnsi="Arial"/>
                <w:sz w:val="16"/>
                <w:szCs w:val="16"/>
                <w:b w:val="1"/>
                <w:bCs w:val="1"/>
                <w:color w:val="0000EE"/>
                <w:w w:val="99"/>
              </w:rPr>
              <w:t>Management and Corporate Governance</w:t>
            </w:r>
          </w:p>
        </w:tc>
        <w:tc>
          <w:tcPr>
            <w:tcW w:w="3420" w:type="dxa"/>
            <w:vAlign w:val="bottom"/>
            <w:gridSpan w:val="8"/>
          </w:tcPr>
          <w:p>
            <w:pPr>
              <w:spacing w:after="0"/>
              <w:rPr>
                <w:sz w:val="20"/>
                <w:szCs w:val="20"/>
                <w:color w:val="auto"/>
              </w:rPr>
            </w:pPr>
          </w:p>
        </w:tc>
        <w:tc>
          <w:tcPr>
            <w:tcW w:w="300" w:type="dxa"/>
            <w:vAlign w:val="bottom"/>
            <w:gridSpan w:val="4"/>
          </w:tcPr>
          <w:p>
            <w:pPr>
              <w:ind w:left="140"/>
              <w:spacing w:after="0"/>
              <w:rPr>
                <w:sz w:val="20"/>
                <w:szCs w:val="20"/>
                <w:color w:val="auto"/>
              </w:rPr>
            </w:pPr>
            <w:r>
              <w:rPr>
                <w:rFonts w:ascii="Arial" w:cs="Arial" w:eastAsia="Arial" w:hAnsi="Arial"/>
                <w:sz w:val="15"/>
                <w:szCs w:val="15"/>
                <w:b w:val="1"/>
                <w:bCs w:val="1"/>
                <w:color w:val="0000EE"/>
                <w:w w:val="71"/>
              </w:rPr>
              <w:t>11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120" w:type="dxa"/>
            <w:vAlign w:val="bottom"/>
            <w:gridSpan w:val="12"/>
          </w:tcPr>
          <w:p>
            <w:pPr>
              <w:spacing w:after="0"/>
              <w:rPr>
                <w:sz w:val="20"/>
                <w:szCs w:val="20"/>
                <w:color w:val="auto"/>
              </w:rPr>
            </w:pPr>
            <w:r>
              <w:rPr>
                <w:rFonts w:ascii="Arial" w:cs="Arial" w:eastAsia="Arial" w:hAnsi="Arial"/>
                <w:sz w:val="16"/>
                <w:szCs w:val="16"/>
                <w:b w:val="1"/>
                <w:bCs w:val="1"/>
                <w:color w:val="0000EE"/>
              </w:rPr>
              <w:t>Compensation Discussion and Analysis</w:t>
            </w:r>
          </w:p>
        </w:tc>
        <w:tc>
          <w:tcPr>
            <w:tcW w:w="3420" w:type="dxa"/>
            <w:vAlign w:val="bottom"/>
            <w:gridSpan w:val="8"/>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21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540" w:type="dxa"/>
            <w:vAlign w:val="bottom"/>
            <w:gridSpan w:val="20"/>
          </w:tcPr>
          <w:p>
            <w:pPr>
              <w:spacing w:after="0"/>
              <w:rPr>
                <w:sz w:val="20"/>
                <w:szCs w:val="20"/>
                <w:color w:val="auto"/>
              </w:rPr>
            </w:pPr>
            <w:r>
              <w:rPr>
                <w:rFonts w:ascii="Arial" w:cs="Arial" w:eastAsia="Arial" w:hAnsi="Arial"/>
                <w:sz w:val="16"/>
                <w:szCs w:val="16"/>
                <w:b w:val="1"/>
                <w:bCs w:val="1"/>
                <w:color w:val="0000EE"/>
              </w:rPr>
              <w:t>Compensation (Human Capital) Committee Report</w:t>
            </w: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360" w:type="dxa"/>
            <w:vAlign w:val="bottom"/>
            <w:gridSpan w:val="7"/>
          </w:tcPr>
          <w:p>
            <w:pPr>
              <w:spacing w:after="0"/>
              <w:rPr>
                <w:sz w:val="20"/>
                <w:szCs w:val="20"/>
                <w:color w:val="auto"/>
              </w:rPr>
            </w:pPr>
            <w:r>
              <w:rPr>
                <w:rFonts w:ascii="Arial" w:cs="Arial" w:eastAsia="Arial" w:hAnsi="Arial"/>
                <w:sz w:val="16"/>
                <w:szCs w:val="16"/>
                <w:b w:val="1"/>
                <w:bCs w:val="1"/>
                <w:color w:val="0000EE"/>
              </w:rPr>
              <w:t>Report of the Audit Committee</w:t>
            </w:r>
          </w:p>
        </w:tc>
        <w:tc>
          <w:tcPr>
            <w:tcW w:w="1500" w:type="dxa"/>
            <w:vAlign w:val="bottom"/>
            <w:gridSpan w:val="7"/>
          </w:tcPr>
          <w:p>
            <w:pPr>
              <w:spacing w:after="0"/>
              <w:rPr>
                <w:sz w:val="20"/>
                <w:szCs w:val="20"/>
                <w:color w:val="auto"/>
              </w:rPr>
            </w:pPr>
          </w:p>
        </w:tc>
        <w:tc>
          <w:tcPr>
            <w:tcW w:w="2680" w:type="dxa"/>
            <w:vAlign w:val="bottom"/>
            <w:gridSpan w:val="6"/>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00" w:type="dxa"/>
            <w:vAlign w:val="bottom"/>
            <w:gridSpan w:val="13"/>
          </w:tcPr>
          <w:p>
            <w:pPr>
              <w:spacing w:after="0"/>
              <w:rPr>
                <w:sz w:val="20"/>
                <w:szCs w:val="20"/>
                <w:color w:val="auto"/>
              </w:rPr>
            </w:pPr>
            <w:r>
              <w:rPr>
                <w:rFonts w:ascii="Arial" w:cs="Arial" w:eastAsia="Arial" w:hAnsi="Arial"/>
                <w:sz w:val="16"/>
                <w:szCs w:val="16"/>
                <w:b w:val="1"/>
                <w:bCs w:val="1"/>
                <w:color w:val="0000EE"/>
              </w:rPr>
              <w:t>Executive Officer and Director Compensation</w:t>
            </w:r>
          </w:p>
        </w:tc>
        <w:tc>
          <w:tcPr>
            <w:tcW w:w="3040" w:type="dxa"/>
            <w:vAlign w:val="bottom"/>
            <w:gridSpan w:val="7"/>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32</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00" w:type="dxa"/>
            <w:vAlign w:val="bottom"/>
            <w:gridSpan w:val="13"/>
          </w:tcPr>
          <w:p>
            <w:pPr>
              <w:spacing w:after="0"/>
              <w:rPr>
                <w:sz w:val="20"/>
                <w:szCs w:val="20"/>
                <w:color w:val="auto"/>
              </w:rPr>
            </w:pPr>
            <w:r>
              <w:rPr>
                <w:rFonts w:ascii="Arial" w:cs="Arial" w:eastAsia="Arial" w:hAnsi="Arial"/>
                <w:sz w:val="16"/>
                <w:szCs w:val="16"/>
                <w:b w:val="1"/>
                <w:bCs w:val="1"/>
                <w:color w:val="0000EE"/>
              </w:rPr>
              <w:t>Pay Versus Performance</w:t>
            </w:r>
          </w:p>
        </w:tc>
        <w:tc>
          <w:tcPr>
            <w:tcW w:w="3040" w:type="dxa"/>
            <w:vAlign w:val="bottom"/>
            <w:gridSpan w:val="7"/>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48</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000" w:type="dxa"/>
            <w:vAlign w:val="bottom"/>
            <w:gridSpan w:val="10"/>
          </w:tcPr>
          <w:p>
            <w:pPr>
              <w:spacing w:after="0"/>
              <w:rPr>
                <w:sz w:val="20"/>
                <w:szCs w:val="20"/>
                <w:color w:val="auto"/>
              </w:rPr>
            </w:pPr>
            <w:r>
              <w:rPr>
                <w:rFonts w:ascii="Arial" w:cs="Arial" w:eastAsia="Arial" w:hAnsi="Arial"/>
                <w:sz w:val="16"/>
                <w:szCs w:val="16"/>
                <w:b w:val="1"/>
                <w:bCs w:val="1"/>
                <w:color w:val="0000EE"/>
              </w:rPr>
              <w:t>Equity Compensation Plan Information</w:t>
            </w:r>
          </w:p>
        </w:tc>
        <w:tc>
          <w:tcPr>
            <w:tcW w:w="3540" w:type="dxa"/>
            <w:vAlign w:val="bottom"/>
            <w:gridSpan w:val="10"/>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52</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280" w:type="dxa"/>
            <w:vAlign w:val="bottom"/>
            <w:gridSpan w:val="15"/>
          </w:tcPr>
          <w:p>
            <w:pPr>
              <w:spacing w:after="0"/>
              <w:rPr>
                <w:sz w:val="20"/>
                <w:szCs w:val="20"/>
                <w:color w:val="auto"/>
              </w:rPr>
            </w:pPr>
            <w:r>
              <w:rPr>
                <w:rFonts w:ascii="Arial" w:cs="Arial" w:eastAsia="Arial" w:hAnsi="Arial"/>
                <w:sz w:val="16"/>
                <w:szCs w:val="16"/>
                <w:b w:val="1"/>
                <w:bCs w:val="1"/>
                <w:color w:val="0000EE"/>
              </w:rPr>
              <w:t>Certain Relationships and Related Person Transactions</w:t>
            </w:r>
          </w:p>
        </w:tc>
        <w:tc>
          <w:tcPr>
            <w:tcW w:w="2260" w:type="dxa"/>
            <w:vAlign w:val="bottom"/>
            <w:gridSpan w:val="5"/>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55</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16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540" w:type="dxa"/>
            <w:vAlign w:val="bottom"/>
            <w:gridSpan w:val="20"/>
          </w:tcPr>
          <w:p>
            <w:pPr>
              <w:spacing w:after="0"/>
              <w:rPr>
                <w:sz w:val="20"/>
                <w:szCs w:val="20"/>
                <w:color w:val="auto"/>
              </w:rPr>
            </w:pPr>
            <w:r>
              <w:rPr>
                <w:rFonts w:ascii="Arial" w:cs="Arial" w:eastAsia="Arial" w:hAnsi="Arial"/>
                <w:sz w:val="16"/>
                <w:szCs w:val="16"/>
                <w:b w:val="1"/>
                <w:bCs w:val="1"/>
                <w:color w:val="0000EE"/>
              </w:rPr>
              <w:t>Security Ownership of Certain Beneficial Owners and Management</w:t>
            </w: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56</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20" w:type="dxa"/>
            <w:vAlign w:val="bottom"/>
            <w:tcBorders>
              <w:left w:val="single" w:sz="8" w:color="0000EE"/>
            </w:tcBorders>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360" w:type="dxa"/>
            <w:vAlign w:val="bottom"/>
            <w:gridSpan w:val="7"/>
          </w:tcPr>
          <w:p>
            <w:pPr>
              <w:spacing w:after="0"/>
              <w:rPr>
                <w:sz w:val="20"/>
                <w:szCs w:val="20"/>
                <w:color w:val="auto"/>
              </w:rPr>
            </w:pPr>
            <w:r>
              <w:rPr>
                <w:rFonts w:ascii="Arial" w:cs="Arial" w:eastAsia="Arial" w:hAnsi="Arial"/>
                <w:sz w:val="16"/>
                <w:szCs w:val="16"/>
                <w:b w:val="1"/>
                <w:bCs w:val="1"/>
                <w:color w:val="0000EE"/>
              </w:rPr>
              <w:t>Delinquent Section 16 Reports</w:t>
            </w:r>
          </w:p>
        </w:tc>
        <w:tc>
          <w:tcPr>
            <w:tcW w:w="2780" w:type="dxa"/>
            <w:vAlign w:val="bottom"/>
            <w:gridSpan w:val="9"/>
          </w:tcPr>
          <w:p>
            <w:pPr>
              <w:spacing w:after="0"/>
              <w:rPr>
                <w:sz w:val="20"/>
                <w:szCs w:val="20"/>
                <w:color w:val="auto"/>
              </w:rPr>
            </w:pPr>
          </w:p>
        </w:tc>
        <w:tc>
          <w:tcPr>
            <w:tcW w:w="1400" w:type="dxa"/>
            <w:vAlign w:val="bottom"/>
            <w:gridSpan w:val="4"/>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59</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120" w:type="dxa"/>
            <w:vAlign w:val="bottom"/>
            <w:gridSpan w:val="12"/>
          </w:tcPr>
          <w:p>
            <w:pPr>
              <w:spacing w:after="0"/>
              <w:rPr>
                <w:sz w:val="20"/>
                <w:szCs w:val="20"/>
                <w:color w:val="auto"/>
              </w:rPr>
            </w:pPr>
            <w:r>
              <w:rPr>
                <w:rFonts w:ascii="Arial" w:cs="Arial" w:eastAsia="Arial" w:hAnsi="Arial"/>
                <w:sz w:val="16"/>
                <w:szCs w:val="16"/>
                <w:b w:val="1"/>
                <w:bCs w:val="1"/>
                <w:color w:val="0000EE"/>
              </w:rPr>
              <w:t>Proposal 1 Election of Class III Directors</w:t>
            </w:r>
          </w:p>
        </w:tc>
        <w:tc>
          <w:tcPr>
            <w:tcW w:w="3420" w:type="dxa"/>
            <w:vAlign w:val="bottom"/>
            <w:gridSpan w:val="8"/>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60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540" w:type="dxa"/>
            <w:vAlign w:val="bottom"/>
            <w:gridSpan w:val="20"/>
          </w:tcPr>
          <w:p>
            <w:pPr>
              <w:spacing w:after="0"/>
              <w:rPr>
                <w:sz w:val="20"/>
                <w:szCs w:val="20"/>
                <w:color w:val="auto"/>
              </w:rPr>
            </w:pPr>
            <w:r>
              <w:rPr>
                <w:rFonts w:ascii="Arial" w:cs="Arial" w:eastAsia="Arial" w:hAnsi="Arial"/>
                <w:sz w:val="16"/>
                <w:szCs w:val="16"/>
                <w:b w:val="1"/>
                <w:bCs w:val="1"/>
                <w:color w:val="0000EE"/>
              </w:rPr>
              <w:t>Proposal 2 Advisory Vote on the Compensation of our Named Executive Officers as</w:t>
            </w:r>
          </w:p>
        </w:tc>
        <w:tc>
          <w:tcPr>
            <w:tcW w:w="3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0000EE"/>
              </w:rPr>
              <w:t>61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2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6"/>
                <w:szCs w:val="16"/>
                <w:b w:val="1"/>
                <w:bCs w:val="1"/>
                <w:color w:val="0000EE"/>
              </w:rPr>
              <w:t>Disclosed in this Proxy Statement</w:t>
            </w:r>
          </w:p>
        </w:tc>
        <w:tc>
          <w:tcPr>
            <w:tcW w:w="3800" w:type="dxa"/>
            <w:vAlign w:val="bottom"/>
            <w:tcBorders>
              <w:top w:val="single" w:sz="8" w:color="0000EE"/>
            </w:tcBorders>
            <w:gridSpan w:val="10"/>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540" w:type="dxa"/>
            <w:vAlign w:val="bottom"/>
            <w:gridSpan w:val="20"/>
          </w:tcPr>
          <w:p>
            <w:pPr>
              <w:spacing w:after="0"/>
              <w:rPr>
                <w:sz w:val="20"/>
                <w:szCs w:val="20"/>
                <w:color w:val="auto"/>
              </w:rPr>
            </w:pPr>
            <w:r>
              <w:rPr>
                <w:rFonts w:ascii="Arial" w:cs="Arial" w:eastAsia="Arial" w:hAnsi="Arial"/>
                <w:sz w:val="16"/>
                <w:szCs w:val="16"/>
                <w:b w:val="1"/>
                <w:bCs w:val="1"/>
                <w:color w:val="0000EE"/>
              </w:rPr>
              <w:t>Proposal 3 Ratification of the Appointment of Independent Registered Public</w:t>
            </w:r>
          </w:p>
        </w:tc>
        <w:tc>
          <w:tcPr>
            <w:tcW w:w="3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0000EE"/>
              </w:rPr>
              <w:t>63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0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b w:val="1"/>
                <w:bCs w:val="1"/>
                <w:color w:val="0000EE"/>
              </w:rPr>
              <w:t>Accounting Firm</w:t>
            </w:r>
          </w:p>
        </w:tc>
        <w:tc>
          <w:tcPr>
            <w:tcW w:w="4600" w:type="dxa"/>
            <w:vAlign w:val="bottom"/>
            <w:tcBorders>
              <w:top w:val="single" w:sz="8" w:color="0000EE"/>
            </w:tcBorders>
            <w:gridSpan w:val="15"/>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8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540" w:type="dxa"/>
            <w:vAlign w:val="bottom"/>
            <w:gridSpan w:val="20"/>
          </w:tcPr>
          <w:p>
            <w:pPr>
              <w:spacing w:after="0"/>
              <w:rPr>
                <w:sz w:val="20"/>
                <w:szCs w:val="20"/>
                <w:color w:val="auto"/>
              </w:rPr>
            </w:pPr>
            <w:r>
              <w:rPr>
                <w:rFonts w:ascii="Arial" w:cs="Arial" w:eastAsia="Arial" w:hAnsi="Arial"/>
                <w:sz w:val="16"/>
                <w:szCs w:val="16"/>
                <w:b w:val="1"/>
                <w:bCs w:val="1"/>
                <w:color w:val="0000EE"/>
              </w:rPr>
              <w:t>Proposal 4 Approval of an Amendment to our Amended and Restated 2011 Equity</w:t>
            </w:r>
          </w:p>
        </w:tc>
        <w:tc>
          <w:tcPr>
            <w:tcW w:w="3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0000EE"/>
              </w:rPr>
              <w:t>65</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8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b w:val="1"/>
                <w:bCs w:val="1"/>
                <w:color w:val="0000EE"/>
              </w:rPr>
              <w:t>Incentive Plan, As Amended</w:t>
            </w:r>
          </w:p>
        </w:tc>
        <w:tc>
          <w:tcPr>
            <w:tcW w:w="4100" w:type="dxa"/>
            <w:vAlign w:val="bottom"/>
            <w:tcBorders>
              <w:top w:val="single" w:sz="8" w:color="0000EE"/>
            </w:tcBorders>
            <w:gridSpan w:val="13"/>
          </w:tcPr>
          <w:p>
            <w:pPr>
              <w:spacing w:after="0"/>
              <w:rPr>
                <w:sz w:val="14"/>
                <w:szCs w:val="14"/>
                <w:color w:val="auto"/>
              </w:rPr>
            </w:pPr>
          </w:p>
        </w:tc>
        <w:tc>
          <w:tcPr>
            <w:tcW w:w="260" w:type="dxa"/>
            <w:vAlign w:val="bottom"/>
            <w:gridSpan w:val="2"/>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14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0" w:type="dxa"/>
            <w:vAlign w:val="bottom"/>
            <w:gridSpan w:val="6"/>
          </w:tcPr>
          <w:p>
            <w:pPr>
              <w:spacing w:after="0"/>
              <w:rPr>
                <w:sz w:val="20"/>
                <w:szCs w:val="20"/>
                <w:color w:val="auto"/>
              </w:rPr>
            </w:pPr>
            <w:r>
              <w:rPr>
                <w:rFonts w:ascii="Arial" w:cs="Arial" w:eastAsia="Arial" w:hAnsi="Arial"/>
                <w:sz w:val="16"/>
                <w:szCs w:val="16"/>
                <w:b w:val="1"/>
                <w:bCs w:val="1"/>
                <w:color w:val="0000EE"/>
              </w:rPr>
              <w:t>Code of Ethics And Conduct</w:t>
            </w:r>
          </w:p>
        </w:tc>
        <w:tc>
          <w:tcPr>
            <w:tcW w:w="4340" w:type="dxa"/>
            <w:vAlign w:val="bottom"/>
            <w:gridSpan w:val="14"/>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74</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14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0000EE"/>
                <w:w w:val="99"/>
              </w:rPr>
              <w:t>Other Matters</w:t>
            </w:r>
          </w:p>
        </w:tc>
        <w:tc>
          <w:tcPr>
            <w:tcW w:w="1140" w:type="dxa"/>
            <w:vAlign w:val="bottom"/>
            <w:gridSpan w:val="5"/>
          </w:tcPr>
          <w:p>
            <w:pPr>
              <w:spacing w:after="0"/>
              <w:rPr>
                <w:sz w:val="20"/>
                <w:szCs w:val="20"/>
                <w:color w:val="auto"/>
              </w:rPr>
            </w:pPr>
          </w:p>
        </w:tc>
        <w:tc>
          <w:tcPr>
            <w:tcW w:w="4340" w:type="dxa"/>
            <w:vAlign w:val="bottom"/>
            <w:gridSpan w:val="14"/>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6"/>
                <w:szCs w:val="16"/>
                <w:b w:val="1"/>
                <w:bCs w:val="1"/>
                <w:color w:val="0000EE"/>
              </w:rPr>
              <w:t>75</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414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540" w:type="dxa"/>
            <w:vAlign w:val="bottom"/>
            <w:gridSpan w:val="20"/>
          </w:tcPr>
          <w:p>
            <w:pPr>
              <w:spacing w:after="0"/>
              <w:rPr>
                <w:sz w:val="20"/>
                <w:szCs w:val="20"/>
                <w:color w:val="auto"/>
              </w:rPr>
            </w:pPr>
            <w:r>
              <w:rPr>
                <w:rFonts w:ascii="Arial" w:cs="Arial" w:eastAsia="Arial" w:hAnsi="Arial"/>
                <w:sz w:val="16"/>
                <w:szCs w:val="16"/>
                <w:b w:val="1"/>
                <w:bCs w:val="1"/>
                <w:color w:val="0000EE"/>
              </w:rPr>
              <w:t>Exhibit I - Equity Incentive Plan</w:t>
            </w:r>
          </w:p>
        </w:tc>
        <w:tc>
          <w:tcPr>
            <w:tcW w:w="1140" w:type="dxa"/>
            <w:vAlign w:val="bottom"/>
            <w:gridSpan w:val="5"/>
          </w:tcPr>
          <w:p>
            <w:pPr>
              <w:ind w:left="120"/>
              <w:spacing w:after="0"/>
              <w:rPr>
                <w:sz w:val="20"/>
                <w:szCs w:val="20"/>
                <w:color w:val="auto"/>
              </w:rPr>
            </w:pPr>
            <w:r>
              <w:rPr>
                <w:rFonts w:ascii="Arial" w:cs="Arial" w:eastAsia="Arial" w:hAnsi="Arial"/>
                <w:sz w:val="16"/>
                <w:szCs w:val="16"/>
                <w:b w:val="1"/>
                <w:bCs w:val="1"/>
                <w:color w:val="0000EE"/>
              </w:rPr>
              <w:t>I-1</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2540" w:type="dxa"/>
            <w:vAlign w:val="bottom"/>
            <w:tcBorders>
              <w:bottom w:val="single" w:sz="8" w:color="24356E"/>
            </w:tcBorders>
          </w:tcPr>
          <w:p>
            <w:pPr>
              <w:spacing w:after="0"/>
              <w:rPr>
                <w:sz w:val="19"/>
                <w:szCs w:val="19"/>
                <w:color w:val="auto"/>
              </w:rPr>
            </w:pPr>
          </w:p>
        </w:tc>
        <w:tc>
          <w:tcPr>
            <w:tcW w:w="1060" w:type="dxa"/>
            <w:vAlign w:val="bottom"/>
            <w:tcBorders>
              <w:top w:val="single" w:sz="8" w:color="0000EE"/>
              <w:bottom w:val="single" w:sz="8" w:color="24356E"/>
            </w:tcBorders>
          </w:tcPr>
          <w:p>
            <w:pPr>
              <w:spacing w:after="0"/>
              <w:rPr>
                <w:sz w:val="19"/>
                <w:szCs w:val="19"/>
                <w:color w:val="auto"/>
              </w:rPr>
            </w:pPr>
          </w:p>
        </w:tc>
        <w:tc>
          <w:tcPr>
            <w:tcW w:w="240" w:type="dxa"/>
            <w:vAlign w:val="bottom"/>
            <w:tcBorders>
              <w:top w:val="single" w:sz="8" w:color="0000EE"/>
              <w:bottom w:val="single" w:sz="8" w:color="24356E"/>
            </w:tcBorders>
          </w:tcPr>
          <w:p>
            <w:pPr>
              <w:spacing w:after="0"/>
              <w:rPr>
                <w:sz w:val="19"/>
                <w:szCs w:val="19"/>
                <w:color w:val="auto"/>
              </w:rPr>
            </w:pPr>
          </w:p>
        </w:tc>
        <w:tc>
          <w:tcPr>
            <w:tcW w:w="240" w:type="dxa"/>
            <w:vAlign w:val="bottom"/>
            <w:tcBorders>
              <w:top w:val="single" w:sz="8" w:color="0000EE"/>
              <w:bottom w:val="single" w:sz="8" w:color="24356E"/>
            </w:tcBorders>
          </w:tcPr>
          <w:p>
            <w:pPr>
              <w:spacing w:after="0"/>
              <w:rPr>
                <w:sz w:val="19"/>
                <w:szCs w:val="19"/>
                <w:color w:val="auto"/>
              </w:rPr>
            </w:pPr>
          </w:p>
        </w:tc>
        <w:tc>
          <w:tcPr>
            <w:tcW w:w="360" w:type="dxa"/>
            <w:vAlign w:val="bottom"/>
            <w:tcBorders>
              <w:top w:val="single" w:sz="8" w:color="0000EE"/>
              <w:bottom w:val="single" w:sz="8" w:color="24356E"/>
            </w:tcBorders>
          </w:tcPr>
          <w:p>
            <w:pPr>
              <w:spacing w:after="0"/>
              <w:rPr>
                <w:sz w:val="19"/>
                <w:szCs w:val="19"/>
                <w:color w:val="auto"/>
              </w:rPr>
            </w:pPr>
          </w:p>
        </w:tc>
        <w:tc>
          <w:tcPr>
            <w:tcW w:w="280" w:type="dxa"/>
            <w:vAlign w:val="bottom"/>
            <w:tcBorders>
              <w:top w:val="single" w:sz="8" w:color="0000EE"/>
              <w:bottom w:val="single" w:sz="8" w:color="24356E"/>
            </w:tcBorders>
          </w:tcPr>
          <w:p>
            <w:pPr>
              <w:spacing w:after="0"/>
              <w:rPr>
                <w:sz w:val="19"/>
                <w:szCs w:val="19"/>
                <w:color w:val="auto"/>
              </w:rPr>
            </w:pPr>
          </w:p>
        </w:tc>
        <w:tc>
          <w:tcPr>
            <w:tcW w:w="20" w:type="dxa"/>
            <w:vAlign w:val="bottom"/>
            <w:tcBorders>
              <w:top w:val="single" w:sz="8" w:color="0000EE"/>
              <w:bottom w:val="single" w:sz="8" w:color="24356E"/>
            </w:tcBorders>
          </w:tcPr>
          <w:p>
            <w:pPr>
              <w:spacing w:after="0"/>
              <w:rPr>
                <w:sz w:val="19"/>
                <w:szCs w:val="19"/>
                <w:color w:val="auto"/>
              </w:rPr>
            </w:pPr>
          </w:p>
        </w:tc>
        <w:tc>
          <w:tcPr>
            <w:tcW w:w="160" w:type="dxa"/>
            <w:vAlign w:val="bottom"/>
            <w:tcBorders>
              <w:top w:val="single" w:sz="8" w:color="0000EE"/>
              <w:bottom w:val="single" w:sz="8" w:color="24356E"/>
            </w:tcBorders>
          </w:tcPr>
          <w:p>
            <w:pPr>
              <w:spacing w:after="0"/>
              <w:rPr>
                <w:sz w:val="19"/>
                <w:szCs w:val="19"/>
                <w:color w:val="auto"/>
              </w:rPr>
            </w:pPr>
          </w:p>
        </w:tc>
        <w:tc>
          <w:tcPr>
            <w:tcW w:w="40" w:type="dxa"/>
            <w:vAlign w:val="bottom"/>
            <w:tcBorders>
              <w:top w:val="single" w:sz="8" w:color="0000EE"/>
              <w:bottom w:val="single" w:sz="8" w:color="24356E"/>
            </w:tcBorders>
          </w:tcPr>
          <w:p>
            <w:pPr>
              <w:spacing w:after="0"/>
              <w:rPr>
                <w:sz w:val="19"/>
                <w:szCs w:val="19"/>
                <w:color w:val="auto"/>
              </w:rPr>
            </w:pPr>
          </w:p>
        </w:tc>
        <w:tc>
          <w:tcPr>
            <w:tcW w:w="220" w:type="dxa"/>
            <w:vAlign w:val="bottom"/>
            <w:tcBorders>
              <w:bottom w:val="single" w:sz="8" w:color="24356E"/>
            </w:tcBorders>
          </w:tcPr>
          <w:p>
            <w:pPr>
              <w:spacing w:after="0"/>
              <w:rPr>
                <w:sz w:val="19"/>
                <w:szCs w:val="19"/>
                <w:color w:val="auto"/>
              </w:rPr>
            </w:pPr>
          </w:p>
        </w:tc>
        <w:tc>
          <w:tcPr>
            <w:tcW w:w="380" w:type="dxa"/>
            <w:vAlign w:val="bottom"/>
            <w:tcBorders>
              <w:bottom w:val="single" w:sz="8" w:color="24356E"/>
            </w:tcBorders>
          </w:tcPr>
          <w:p>
            <w:pPr>
              <w:spacing w:after="0"/>
              <w:rPr>
                <w:sz w:val="19"/>
                <w:szCs w:val="19"/>
                <w:color w:val="auto"/>
              </w:rPr>
            </w:pPr>
          </w:p>
        </w:tc>
        <w:tc>
          <w:tcPr>
            <w:tcW w:w="80" w:type="dxa"/>
            <w:vAlign w:val="bottom"/>
            <w:tcBorders>
              <w:bottom w:val="single" w:sz="8" w:color="24356E"/>
            </w:tcBorders>
          </w:tcPr>
          <w:p>
            <w:pPr>
              <w:spacing w:after="0"/>
              <w:rPr>
                <w:sz w:val="19"/>
                <w:szCs w:val="19"/>
                <w:color w:val="auto"/>
              </w:rPr>
            </w:pPr>
          </w:p>
        </w:tc>
        <w:tc>
          <w:tcPr>
            <w:tcW w:w="40" w:type="dxa"/>
            <w:vAlign w:val="bottom"/>
            <w:tcBorders>
              <w:bottom w:val="single" w:sz="8" w:color="24356E"/>
            </w:tcBorders>
          </w:tcPr>
          <w:p>
            <w:pPr>
              <w:spacing w:after="0"/>
              <w:rPr>
                <w:sz w:val="19"/>
                <w:szCs w:val="19"/>
                <w:color w:val="auto"/>
              </w:rPr>
            </w:pPr>
          </w:p>
        </w:tc>
        <w:tc>
          <w:tcPr>
            <w:tcW w:w="380" w:type="dxa"/>
            <w:vAlign w:val="bottom"/>
            <w:tcBorders>
              <w:bottom w:val="single" w:sz="8" w:color="24356E"/>
            </w:tcBorders>
          </w:tcPr>
          <w:p>
            <w:pPr>
              <w:spacing w:after="0"/>
              <w:rPr>
                <w:sz w:val="19"/>
                <w:szCs w:val="19"/>
                <w:color w:val="auto"/>
              </w:rPr>
            </w:pPr>
          </w:p>
        </w:tc>
        <w:tc>
          <w:tcPr>
            <w:tcW w:w="360" w:type="dxa"/>
            <w:vAlign w:val="bottom"/>
            <w:tcBorders>
              <w:bottom w:val="single" w:sz="8" w:color="24356E"/>
            </w:tcBorders>
          </w:tcPr>
          <w:p>
            <w:pPr>
              <w:spacing w:after="0"/>
              <w:rPr>
                <w:sz w:val="19"/>
                <w:szCs w:val="19"/>
                <w:color w:val="auto"/>
              </w:rPr>
            </w:pPr>
          </w:p>
        </w:tc>
        <w:tc>
          <w:tcPr>
            <w:tcW w:w="420" w:type="dxa"/>
            <w:vAlign w:val="bottom"/>
            <w:tcBorders>
              <w:bottom w:val="single" w:sz="8" w:color="24356E"/>
            </w:tcBorders>
          </w:tcPr>
          <w:p>
            <w:pPr>
              <w:spacing w:after="0"/>
              <w:rPr>
                <w:sz w:val="19"/>
                <w:szCs w:val="19"/>
                <w:color w:val="auto"/>
              </w:rPr>
            </w:pPr>
          </w:p>
        </w:tc>
        <w:tc>
          <w:tcPr>
            <w:tcW w:w="860" w:type="dxa"/>
            <w:vAlign w:val="bottom"/>
            <w:tcBorders>
              <w:bottom w:val="single" w:sz="8" w:color="24356E"/>
            </w:tcBorders>
          </w:tcPr>
          <w:p>
            <w:pPr>
              <w:spacing w:after="0"/>
              <w:rPr>
                <w:sz w:val="19"/>
                <w:szCs w:val="19"/>
                <w:color w:val="auto"/>
              </w:rPr>
            </w:pPr>
          </w:p>
        </w:tc>
        <w:tc>
          <w:tcPr>
            <w:tcW w:w="760" w:type="dxa"/>
            <w:vAlign w:val="bottom"/>
            <w:tcBorders>
              <w:bottom w:val="single" w:sz="8" w:color="24356E"/>
            </w:tcBorders>
          </w:tcPr>
          <w:p>
            <w:pPr>
              <w:spacing w:after="0"/>
              <w:rPr>
                <w:sz w:val="19"/>
                <w:szCs w:val="19"/>
                <w:color w:val="auto"/>
              </w:rPr>
            </w:pPr>
          </w:p>
        </w:tc>
        <w:tc>
          <w:tcPr>
            <w:tcW w:w="380" w:type="dxa"/>
            <w:vAlign w:val="bottom"/>
            <w:tcBorders>
              <w:bottom w:val="single" w:sz="8" w:color="24356E"/>
            </w:tcBorders>
          </w:tcPr>
          <w:p>
            <w:pPr>
              <w:spacing w:after="0"/>
              <w:rPr>
                <w:sz w:val="19"/>
                <w:szCs w:val="19"/>
                <w:color w:val="auto"/>
              </w:rPr>
            </w:pPr>
          </w:p>
        </w:tc>
        <w:tc>
          <w:tcPr>
            <w:tcW w:w="140" w:type="dxa"/>
            <w:vAlign w:val="bottom"/>
            <w:tcBorders>
              <w:bottom w:val="single" w:sz="8" w:color="24356E"/>
            </w:tcBorders>
          </w:tcPr>
          <w:p>
            <w:pPr>
              <w:spacing w:after="0"/>
              <w:rPr>
                <w:sz w:val="19"/>
                <w:szCs w:val="19"/>
                <w:color w:val="auto"/>
              </w:rPr>
            </w:pPr>
          </w:p>
        </w:tc>
        <w:tc>
          <w:tcPr>
            <w:tcW w:w="120" w:type="dxa"/>
            <w:vAlign w:val="bottom"/>
            <w:tcBorders>
              <w:bottom w:val="single" w:sz="8" w:color="24356E"/>
            </w:tcBorders>
          </w:tcPr>
          <w:p>
            <w:pPr>
              <w:spacing w:after="0"/>
              <w:rPr>
                <w:sz w:val="19"/>
                <w:szCs w:val="19"/>
                <w:color w:val="auto"/>
              </w:rPr>
            </w:pPr>
          </w:p>
        </w:tc>
        <w:tc>
          <w:tcPr>
            <w:tcW w:w="120" w:type="dxa"/>
            <w:vAlign w:val="bottom"/>
            <w:tcBorders>
              <w:bottom w:val="single" w:sz="8" w:color="24356E"/>
            </w:tcBorders>
          </w:tcPr>
          <w:p>
            <w:pPr>
              <w:spacing w:after="0"/>
              <w:rPr>
                <w:sz w:val="19"/>
                <w:szCs w:val="19"/>
                <w:color w:val="auto"/>
              </w:rPr>
            </w:pPr>
          </w:p>
        </w:tc>
        <w:tc>
          <w:tcPr>
            <w:tcW w:w="20" w:type="dxa"/>
            <w:vAlign w:val="bottom"/>
            <w:tcBorders>
              <w:top w:val="single" w:sz="8" w:color="0000EE"/>
              <w:bottom w:val="single" w:sz="8" w:color="24356E"/>
            </w:tcBorders>
          </w:tcPr>
          <w:p>
            <w:pPr>
              <w:spacing w:after="0"/>
              <w:rPr>
                <w:sz w:val="19"/>
                <w:szCs w:val="19"/>
                <w:color w:val="auto"/>
              </w:rPr>
            </w:pPr>
          </w:p>
        </w:tc>
        <w:tc>
          <w:tcPr>
            <w:tcW w:w="80" w:type="dxa"/>
            <w:vAlign w:val="bottom"/>
            <w:tcBorders>
              <w:top w:val="single" w:sz="8" w:color="0000EE"/>
              <w:bottom w:val="single" w:sz="8" w:color="24356E"/>
            </w:tcBorders>
          </w:tcPr>
          <w:p>
            <w:pPr>
              <w:spacing w:after="0"/>
              <w:rPr>
                <w:sz w:val="19"/>
                <w:szCs w:val="19"/>
                <w:color w:val="auto"/>
              </w:rPr>
            </w:pPr>
          </w:p>
        </w:tc>
        <w:tc>
          <w:tcPr>
            <w:tcW w:w="80" w:type="dxa"/>
            <w:vAlign w:val="bottom"/>
            <w:tcBorders>
              <w:top w:val="single" w:sz="8" w:color="0000EE"/>
              <w:bottom w:val="single" w:sz="8" w:color="24356E"/>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jc w:val="center"/>
        <w:spacing w:after="0" w:line="298" w:lineRule="auto"/>
        <w:rPr>
          <w:sz w:val="20"/>
          <w:szCs w:val="20"/>
          <w:color w:val="auto"/>
        </w:rPr>
      </w:pPr>
      <w:r>
        <w:rPr>
          <w:rFonts w:ascii="Arial" w:cs="Arial" w:eastAsia="Arial" w:hAnsi="Arial"/>
          <w:sz w:val="25"/>
          <w:szCs w:val="25"/>
          <w:b w:val="1"/>
          <w:bCs w:val="1"/>
          <w:color w:val="auto"/>
        </w:rPr>
        <w:t>PROXY STATEMENT FOR THE 2025 ANNUAL MEETING OF STOCKHOLDERS to be held on Wednesday, June 18, 2025</w:t>
      </w:r>
    </w:p>
    <w:p>
      <w:pPr>
        <w:spacing w:after="0" w:line="278" w:lineRule="exact"/>
        <w:rPr>
          <w:sz w:val="20"/>
          <w:szCs w:val="20"/>
          <w:color w:val="auto"/>
        </w:rPr>
      </w:pPr>
    </w:p>
    <w:p>
      <w:pPr>
        <w:spacing w:after="0"/>
        <w:rPr>
          <w:sz w:val="20"/>
          <w:szCs w:val="20"/>
          <w:color w:val="auto"/>
        </w:rPr>
      </w:pPr>
      <w:r>
        <w:rPr>
          <w:rFonts w:ascii="Arial" w:cs="Arial" w:eastAsia="Arial" w:hAnsi="Arial"/>
          <w:sz w:val="40"/>
          <w:szCs w:val="40"/>
          <w:color w:val="auto"/>
        </w:rPr>
        <w:t>General Information</w:t>
      </w:r>
    </w:p>
    <w:p>
      <w:pPr>
        <w:spacing w:after="0" w:line="273"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In this proxy statement: the terms “we,” “our,” “Standard BioTools,” and the “Company” each refer to Standard BioTools Inc.; and the term “Board” means our board of directors. This proxy statement and the accompanying proxy card are furnished in connection with the solicitation by our Board of proxies to be voted at our 2025 annual meeting of stockholders, which will take place virtually on Wednesday, June 18, 2025 at 8:30 a.m., Pacific Time, on the Internet at www.virtualshareholdermeeting.com/LAB2025, and any postponements or adjournments thereof (the “Annual Meeting”).</w:t>
      </w:r>
    </w:p>
    <w:p>
      <w:pPr>
        <w:spacing w:after="0" w:line="12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333333"/>
        </w:rPr>
        <w:t>The information provided in the “question and answer” format below is for your convenience only and is merely a summary of the information contained in this proxy statement. You should read this entire proxy statement carefully. Information contained on or accessible through our website is not intended to be incorporated by reference into this proxy statement and references to our website in this proxy statement are intended to be inactive textual references only.</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  Why is the Company soliciting my proxy?</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333333"/>
        </w:rPr>
        <w:t>Our Board is soliciting your proxy to vote at the Annual Meeting and any postponements or adjournments thereof. This proxy statement, along with the accompanying Notice of 2025 Annual Meeting of Stockholders, summarizes the purposes of the Annual Meeting and the information you need to know to vote at the Annual Meeting. Proxies will be solicited on behalf of the Board by the Company’s directors and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  What information is contained in this proxy statement?</w:t>
      </w:r>
    </w:p>
    <w:p>
      <w:pPr>
        <w:spacing w:after="0" w:line="153"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333333"/>
        </w:rPr>
        <w:t>The information in this proxy statement relates to the proposals to be voted on at the Annual Meeting, the voting process, the compensation of our directors and most highly paid executive officers, our corporate governance policies, information on our Board, and certain other required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3.  What items of business will be voted on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333333"/>
        </w:rPr>
        <w:t>The items of business scheduled to be voted on at the Annual Meeting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Company Proposals</w:t>
      </w:r>
    </w:p>
    <w:p>
      <w:pPr>
        <w:spacing w:after="0" w:line="181" w:lineRule="exact"/>
        <w:rPr>
          <w:sz w:val="20"/>
          <w:szCs w:val="20"/>
          <w:color w:val="auto"/>
        </w:rPr>
      </w:pPr>
    </w:p>
    <w:p>
      <w:pPr>
        <w:ind w:left="720" w:right="800" w:hanging="354"/>
        <w:spacing w:after="0" w:line="286" w:lineRule="auto"/>
        <w:tabs>
          <w:tab w:leader="none" w:pos="720" w:val="left"/>
        </w:tabs>
        <w:numPr>
          <w:ilvl w:val="0"/>
          <w:numId w:val="2"/>
        </w:numPr>
        <w:rPr>
          <w:rFonts w:ascii="Arial" w:cs="Arial" w:eastAsia="Arial" w:hAnsi="Arial"/>
          <w:sz w:val="16"/>
          <w:szCs w:val="16"/>
          <w:color w:val="333333"/>
        </w:rPr>
      </w:pPr>
      <w:r>
        <w:rPr>
          <w:rFonts w:ascii="Arial" w:cs="Arial" w:eastAsia="Arial" w:hAnsi="Arial"/>
          <w:sz w:val="16"/>
          <w:szCs w:val="16"/>
          <w:color w:val="333333"/>
        </w:rPr>
        <w:t>To vote to elect the two nominees as Class III Directors, each to a term expiring at our 2028 annual meeting of stockholders and to hold office until his or her successor is duly elected and qualified;</w:t>
      </w:r>
    </w:p>
    <w:p>
      <w:pPr>
        <w:spacing w:after="0" w:line="7" w:lineRule="exact"/>
        <w:rPr>
          <w:rFonts w:ascii="Arial" w:cs="Arial" w:eastAsia="Arial" w:hAnsi="Arial"/>
          <w:sz w:val="16"/>
          <w:szCs w:val="16"/>
          <w:color w:val="333333"/>
        </w:rPr>
      </w:pPr>
    </w:p>
    <w:p>
      <w:pPr>
        <w:ind w:left="720" w:hanging="354"/>
        <w:spacing w:after="0"/>
        <w:tabs>
          <w:tab w:leader="none" w:pos="720" w:val="left"/>
        </w:tabs>
        <w:numPr>
          <w:ilvl w:val="0"/>
          <w:numId w:val="2"/>
        </w:numPr>
        <w:rPr>
          <w:rFonts w:ascii="Arial" w:cs="Arial" w:eastAsia="Arial" w:hAnsi="Arial"/>
          <w:sz w:val="16"/>
          <w:szCs w:val="16"/>
          <w:color w:val="333333"/>
        </w:rPr>
      </w:pPr>
      <w:r>
        <w:rPr>
          <w:rFonts w:ascii="Arial" w:cs="Arial" w:eastAsia="Arial" w:hAnsi="Arial"/>
          <w:sz w:val="16"/>
          <w:szCs w:val="16"/>
          <w:color w:val="333333"/>
        </w:rPr>
        <w:t>To approve, on an advisory basis, the compensation of our named executive officers as disclosed in this proxy statement;</w:t>
      </w:r>
    </w:p>
    <w:p>
      <w:pPr>
        <w:spacing w:after="0" w:line="86" w:lineRule="exact"/>
        <w:rPr>
          <w:rFonts w:ascii="Arial" w:cs="Arial" w:eastAsia="Arial" w:hAnsi="Arial"/>
          <w:sz w:val="16"/>
          <w:szCs w:val="16"/>
          <w:color w:val="333333"/>
        </w:rPr>
      </w:pPr>
    </w:p>
    <w:p>
      <w:pPr>
        <w:ind w:left="720" w:right="120" w:hanging="354"/>
        <w:spacing w:after="0" w:line="286" w:lineRule="auto"/>
        <w:tabs>
          <w:tab w:leader="none" w:pos="720" w:val="left"/>
        </w:tabs>
        <w:numPr>
          <w:ilvl w:val="0"/>
          <w:numId w:val="2"/>
        </w:numPr>
        <w:rPr>
          <w:rFonts w:ascii="Arial" w:cs="Arial" w:eastAsia="Arial" w:hAnsi="Arial"/>
          <w:sz w:val="16"/>
          <w:szCs w:val="16"/>
          <w:color w:val="333333"/>
        </w:rPr>
      </w:pPr>
      <w:r>
        <w:rPr>
          <w:rFonts w:ascii="Arial" w:cs="Arial" w:eastAsia="Arial" w:hAnsi="Arial"/>
          <w:sz w:val="16"/>
          <w:szCs w:val="16"/>
          <w:color w:val="333333"/>
        </w:rPr>
        <w:t>To ratify the appointment of PricewaterhouseCoopers LLP (“PwC”) as our independent registered public accounting firm for the year ending December 31, 2025; and</w:t>
      </w:r>
    </w:p>
    <w:p>
      <w:pPr>
        <w:spacing w:after="0" w:line="7" w:lineRule="exact"/>
        <w:rPr>
          <w:rFonts w:ascii="Arial" w:cs="Arial" w:eastAsia="Arial" w:hAnsi="Arial"/>
          <w:sz w:val="16"/>
          <w:szCs w:val="16"/>
          <w:color w:val="333333"/>
        </w:rPr>
      </w:pPr>
    </w:p>
    <w:p>
      <w:pPr>
        <w:ind w:left="720" w:right="140" w:hanging="354"/>
        <w:spacing w:after="0" w:line="286" w:lineRule="auto"/>
        <w:tabs>
          <w:tab w:leader="none" w:pos="720" w:val="left"/>
        </w:tabs>
        <w:numPr>
          <w:ilvl w:val="0"/>
          <w:numId w:val="2"/>
        </w:numPr>
        <w:rPr>
          <w:rFonts w:ascii="Arial" w:cs="Arial" w:eastAsia="Arial" w:hAnsi="Arial"/>
          <w:sz w:val="16"/>
          <w:szCs w:val="16"/>
          <w:color w:val="333333"/>
        </w:rPr>
      </w:pPr>
      <w:r>
        <w:rPr>
          <w:rFonts w:ascii="Arial" w:cs="Arial" w:eastAsia="Arial" w:hAnsi="Arial"/>
          <w:sz w:val="16"/>
          <w:szCs w:val="16"/>
          <w:color w:val="333333"/>
        </w:rPr>
        <w:t>To approve an amendment to our Amended and Restated 2011 Equity Incentive Plan, as amended (the “2011 Plan”), to increase the number of shares of common stock available for issuance thereunder by 17,400,000 shares.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333333"/>
        </w:rPr>
        <w:t>We will also transact any other business that properly comes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020"/>
        <w:spacing w:after="0"/>
        <w:tabs>
          <w:tab w:leader="none" w:pos="4640" w:val="left"/>
          <w:tab w:leader="none" w:pos="50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4.  How does the Board recommend that I vote?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333333"/>
        </w:rPr>
        <w:t>Our Board recommends that you vote your shares:</w:t>
      </w:r>
    </w:p>
    <w:p>
      <w:pPr>
        <w:spacing w:after="0" w:line="194" w:lineRule="exact"/>
        <w:rPr>
          <w:sz w:val="20"/>
          <w:szCs w:val="20"/>
          <w:color w:val="auto"/>
        </w:rPr>
      </w:pPr>
    </w:p>
    <w:p>
      <w:pPr>
        <w:ind w:left="720" w:hanging="354"/>
        <w:spacing w:after="0"/>
        <w:tabs>
          <w:tab w:leader="none" w:pos="720" w:val="left"/>
        </w:tabs>
        <w:numPr>
          <w:ilvl w:val="1"/>
          <w:numId w:val="3"/>
        </w:numPr>
        <w:rPr>
          <w:rFonts w:ascii="Arial" w:cs="Arial" w:eastAsia="Arial" w:hAnsi="Arial"/>
          <w:sz w:val="16"/>
          <w:szCs w:val="16"/>
          <w:color w:val="333333"/>
        </w:rPr>
      </w:pPr>
      <w:r>
        <w:rPr>
          <w:rFonts w:ascii="Arial" w:cs="Arial" w:eastAsia="Arial" w:hAnsi="Arial"/>
          <w:sz w:val="16"/>
          <w:szCs w:val="16"/>
          <w:color w:val="333333"/>
        </w:rPr>
        <w:t xml:space="preserve">“FOR” the election of each of our Board’s nominees, </w:t>
      </w:r>
      <w:r>
        <w:rPr>
          <w:rFonts w:ascii="Arial" w:cs="Arial" w:eastAsia="Arial" w:hAnsi="Arial"/>
          <w:sz w:val="16"/>
          <w:szCs w:val="16"/>
          <w:b w:val="1"/>
          <w:bCs w:val="1"/>
          <w:color w:val="333333"/>
        </w:rPr>
        <w:t>Kathy Hibbs and Frank Witney, Ph.D.</w:t>
      </w:r>
      <w:r>
        <w:rPr>
          <w:rFonts w:ascii="Arial" w:cs="Arial" w:eastAsia="Arial" w:hAnsi="Arial"/>
          <w:sz w:val="16"/>
          <w:szCs w:val="16"/>
          <w:color w:val="333333"/>
        </w:rPr>
        <w:t>, as Class III Directors;</w:t>
      </w:r>
    </w:p>
    <w:p>
      <w:pPr>
        <w:spacing w:after="0" w:line="72" w:lineRule="exact"/>
        <w:rPr>
          <w:rFonts w:ascii="Arial" w:cs="Arial" w:eastAsia="Arial" w:hAnsi="Arial"/>
          <w:sz w:val="16"/>
          <w:szCs w:val="16"/>
          <w:color w:val="333333"/>
        </w:rPr>
      </w:pPr>
    </w:p>
    <w:p>
      <w:pPr>
        <w:ind w:left="720" w:right="20" w:hanging="354"/>
        <w:spacing w:after="0" w:line="286" w:lineRule="auto"/>
        <w:tabs>
          <w:tab w:leader="none" w:pos="720" w:val="left"/>
        </w:tabs>
        <w:numPr>
          <w:ilvl w:val="1"/>
          <w:numId w:val="3"/>
        </w:numPr>
        <w:rPr>
          <w:rFonts w:ascii="Arial" w:cs="Arial" w:eastAsia="Arial" w:hAnsi="Arial"/>
          <w:sz w:val="16"/>
          <w:szCs w:val="16"/>
          <w:color w:val="333333"/>
        </w:rPr>
      </w:pPr>
      <w:r>
        <w:rPr>
          <w:rFonts w:ascii="Arial" w:cs="Arial" w:eastAsia="Arial" w:hAnsi="Arial"/>
          <w:sz w:val="16"/>
          <w:szCs w:val="16"/>
          <w:color w:val="333333"/>
        </w:rPr>
        <w:t>“FOR” the approval, on an advisory basis, of the compensation of our named executive officers as disclosed in this proxy statement;</w:t>
      </w:r>
    </w:p>
    <w:p>
      <w:pPr>
        <w:spacing w:after="0" w:line="7" w:lineRule="exact"/>
        <w:rPr>
          <w:rFonts w:ascii="Arial" w:cs="Arial" w:eastAsia="Arial" w:hAnsi="Arial"/>
          <w:sz w:val="16"/>
          <w:szCs w:val="16"/>
          <w:color w:val="333333"/>
        </w:rPr>
      </w:pPr>
    </w:p>
    <w:p>
      <w:pPr>
        <w:ind w:left="720" w:hanging="354"/>
        <w:spacing w:after="0" w:line="286" w:lineRule="auto"/>
        <w:tabs>
          <w:tab w:leader="none" w:pos="720" w:val="left"/>
        </w:tabs>
        <w:numPr>
          <w:ilvl w:val="1"/>
          <w:numId w:val="3"/>
        </w:numPr>
        <w:rPr>
          <w:rFonts w:ascii="Arial" w:cs="Arial" w:eastAsia="Arial" w:hAnsi="Arial"/>
          <w:sz w:val="16"/>
          <w:szCs w:val="16"/>
          <w:color w:val="333333"/>
        </w:rPr>
      </w:pPr>
      <w:r>
        <w:rPr>
          <w:rFonts w:ascii="Arial" w:cs="Arial" w:eastAsia="Arial" w:hAnsi="Arial"/>
          <w:sz w:val="16"/>
          <w:szCs w:val="16"/>
          <w:color w:val="333333"/>
        </w:rPr>
        <w:t>“FOR” the ratification of the appointment of PwC as our independent registered public accounting firm for the year ending December 31, 2025; and</w:t>
      </w:r>
    </w:p>
    <w:p>
      <w:pPr>
        <w:spacing w:after="0" w:line="20" w:lineRule="exact"/>
        <w:rPr>
          <w:rFonts w:ascii="Arial" w:cs="Arial" w:eastAsia="Arial" w:hAnsi="Arial"/>
          <w:sz w:val="16"/>
          <w:szCs w:val="16"/>
          <w:color w:val="333333"/>
        </w:rPr>
      </w:pPr>
    </w:p>
    <w:p>
      <w:pPr>
        <w:ind w:left="720" w:right="140" w:hanging="354"/>
        <w:spacing w:after="0" w:line="286" w:lineRule="auto"/>
        <w:tabs>
          <w:tab w:leader="none" w:pos="720" w:val="left"/>
        </w:tabs>
        <w:numPr>
          <w:ilvl w:val="1"/>
          <w:numId w:val="3"/>
        </w:numPr>
        <w:rPr>
          <w:rFonts w:ascii="Arial" w:cs="Arial" w:eastAsia="Arial" w:hAnsi="Arial"/>
          <w:sz w:val="16"/>
          <w:szCs w:val="16"/>
          <w:color w:val="333333"/>
        </w:rPr>
      </w:pPr>
      <w:r>
        <w:rPr>
          <w:rFonts w:ascii="Arial" w:cs="Arial" w:eastAsia="Arial" w:hAnsi="Arial"/>
          <w:sz w:val="16"/>
          <w:szCs w:val="16"/>
          <w:color w:val="333333"/>
        </w:rPr>
        <w:t>“FOR” the approval of an amendment to our 2011 Plan to increase the number of shares of common stock available for issuance thereunder by 17,400,000 shares.</w:t>
      </w:r>
    </w:p>
    <w:p>
      <w:pPr>
        <w:spacing w:after="0" w:line="208" w:lineRule="exact"/>
        <w:rPr>
          <w:rFonts w:ascii="Arial" w:cs="Arial" w:eastAsia="Arial" w:hAnsi="Arial"/>
          <w:sz w:val="16"/>
          <w:szCs w:val="16"/>
          <w:color w:val="333333"/>
        </w:rPr>
      </w:pPr>
    </w:p>
    <w:p>
      <w:pPr>
        <w:ind w:left="360" w:hanging="354"/>
        <w:spacing w:after="0"/>
        <w:tabs>
          <w:tab w:leader="none" w:pos="360" w:val="left"/>
        </w:tabs>
        <w:numPr>
          <w:ilvl w:val="0"/>
          <w:numId w:val="3"/>
        </w:numPr>
        <w:rPr>
          <w:rFonts w:ascii="Arial" w:cs="Arial" w:eastAsia="Arial" w:hAnsi="Arial"/>
          <w:sz w:val="22"/>
          <w:szCs w:val="22"/>
          <w:b w:val="1"/>
          <w:bCs w:val="1"/>
          <w:color w:val="24356E"/>
        </w:rPr>
      </w:pPr>
      <w:r>
        <w:rPr>
          <w:rFonts w:ascii="Arial" w:cs="Arial" w:eastAsia="Arial" w:hAnsi="Arial"/>
          <w:sz w:val="22"/>
          <w:szCs w:val="22"/>
          <w:b w:val="1"/>
          <w:bCs w:val="1"/>
          <w:color w:val="24356E"/>
        </w:rPr>
        <w:t>What is a proxy?</w:t>
      </w:r>
    </w:p>
    <w:p>
      <w:pPr>
        <w:spacing w:after="0" w:line="15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333333"/>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President and Chief Executive Officer (“CEO”), Michael Egholm, Ph.D., and our Chief Financial Officer, Alex Kim, to serve as proxies for the Annual Meeting.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6.  What shares can I vote?</w:t>
      </w:r>
    </w:p>
    <w:p>
      <w:pPr>
        <w:spacing w:after="0" w:line="153"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333333"/>
        </w:rPr>
        <w:t>Each share of our common stock issued and outstanding as of the close of business on April 25, 2025, the record date (the “Record Date”) for our Annual Meeting, is entitled to vote on all items being considered at the Annual Meeting. You may vote all shares owned by you as of the Record Date, including (i) shares held directly in your name as the stockholder of record and</w:t>
      </w:r>
    </w:p>
    <w:p>
      <w:pPr>
        <w:spacing w:after="0" w:line="1" w:lineRule="exact"/>
        <w:rPr>
          <w:sz w:val="20"/>
          <w:szCs w:val="20"/>
          <w:color w:val="auto"/>
        </w:rPr>
      </w:pPr>
    </w:p>
    <w:p>
      <w:pPr>
        <w:jc w:val="both"/>
        <w:ind w:right="380" w:firstLine="6"/>
        <w:spacing w:after="0" w:line="256" w:lineRule="auto"/>
        <w:tabs>
          <w:tab w:leader="none" w:pos="225"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shares you own through an account with a broker, bank, trustee, or other intermediary, sometimes referred to as owning in “street name.” As of the close of business on the Record Date, we had 379,822,268 shares of common stock outstanding and entitled to vote. Our common stock is our only class of voting stock outstanding.</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7.  How many votes am I entitled to per share?</w:t>
      </w:r>
    </w:p>
    <w:p>
      <w:pPr>
        <w:spacing w:after="0" w:line="15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333333"/>
        </w:rPr>
        <w:t>For all matters described in this proxy statement for which your vote is being solicited, each holder of shares of common stock is entitled to one vote for each share of common stock held by such holder as of the Record Date.</w:t>
      </w:r>
    </w:p>
    <w:p>
      <w:pPr>
        <w:spacing w:after="0" w:line="209" w:lineRule="exact"/>
        <w:rPr>
          <w:sz w:val="20"/>
          <w:szCs w:val="20"/>
          <w:color w:val="auto"/>
        </w:rPr>
      </w:pPr>
    </w:p>
    <w:p>
      <w:pPr>
        <w:ind w:left="360" w:right="580" w:hanging="354"/>
        <w:spacing w:after="0" w:line="272" w:lineRule="auto"/>
        <w:tabs>
          <w:tab w:leader="none" w:pos="360" w:val="left"/>
        </w:tabs>
        <w:numPr>
          <w:ilvl w:val="0"/>
          <w:numId w:val="5"/>
        </w:numPr>
        <w:rPr>
          <w:rFonts w:ascii="Arial" w:cs="Arial" w:eastAsia="Arial" w:hAnsi="Arial"/>
          <w:sz w:val="22"/>
          <w:szCs w:val="22"/>
          <w:b w:val="1"/>
          <w:bCs w:val="1"/>
          <w:color w:val="24356E"/>
        </w:rPr>
      </w:pPr>
      <w:r>
        <w:rPr>
          <w:rFonts w:ascii="Arial" w:cs="Arial" w:eastAsia="Arial" w:hAnsi="Arial"/>
          <w:sz w:val="22"/>
          <w:szCs w:val="22"/>
          <w:b w:val="1"/>
          <w:bCs w:val="1"/>
          <w:color w:val="24356E"/>
        </w:rPr>
        <w:t>What is the difference between holding shares as a stockholder of record and as a beneficial owner?</w:t>
      </w:r>
    </w:p>
    <w:p>
      <w:pPr>
        <w:spacing w:after="0" w:line="7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131" w:lineRule="exact"/>
        <w:rPr>
          <w:sz w:val="20"/>
          <w:szCs w:val="20"/>
          <w:color w:val="auto"/>
        </w:rPr>
      </w:pPr>
    </w:p>
    <w:p>
      <w:pPr>
        <w:ind w:left="720" w:hanging="354"/>
        <w:spacing w:after="0" w:line="254" w:lineRule="auto"/>
        <w:tabs>
          <w:tab w:leader="none" w:pos="720" w:val="left"/>
        </w:tabs>
        <w:numPr>
          <w:ilvl w:val="0"/>
          <w:numId w:val="6"/>
        </w:numPr>
        <w:rPr>
          <w:rFonts w:ascii="Arial" w:cs="Arial" w:eastAsia="Arial" w:hAnsi="Arial"/>
          <w:sz w:val="16"/>
          <w:szCs w:val="16"/>
          <w:color w:val="333333"/>
        </w:rPr>
      </w:pPr>
      <w:r>
        <w:rPr>
          <w:rFonts w:ascii="Arial" w:cs="Arial" w:eastAsia="Arial" w:hAnsi="Arial"/>
          <w:sz w:val="16"/>
          <w:szCs w:val="16"/>
          <w:b w:val="1"/>
          <w:bCs w:val="1"/>
          <w:i w:val="1"/>
          <w:iCs w:val="1"/>
          <w:color w:val="333333"/>
        </w:rPr>
        <w:t xml:space="preserve">Stockholder of Record. </w:t>
      </w:r>
      <w:r>
        <w:rPr>
          <w:rFonts w:ascii="Arial" w:cs="Arial" w:eastAsia="Arial" w:hAnsi="Arial"/>
          <w:sz w:val="16"/>
          <w:szCs w:val="16"/>
          <w:color w:val="333333"/>
        </w:rPr>
        <w:t>If your shares are registered directly in your name with our transfer agent, Computershare Trust</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Company, N.A., you are considered the stockholder of record with respect to those shares, and the proxy materials were sent directly to you by our mailing agent. As the stockholder of record, you have the right to grant your voting proxy directly to our designated proxies or to vote at the Annual Meeting. You may vote online or by telephone or mail as described below under the heading “How can I vote my shares without attending the Annual Meeting?” and by following the instructions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7" w:lineRule="exact"/>
        <w:rPr>
          <w:sz w:val="20"/>
          <w:szCs w:val="20"/>
          <w:color w:val="auto"/>
        </w:rPr>
      </w:pPr>
    </w:p>
    <w:p>
      <w:pPr>
        <w:ind w:left="3020"/>
        <w:spacing w:after="0"/>
        <w:tabs>
          <w:tab w:leader="none" w:pos="4640" w:val="left"/>
          <w:tab w:leader="none" w:pos="50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40" w:hanging="354"/>
        <w:spacing w:after="0" w:line="252" w:lineRule="auto"/>
        <w:tabs>
          <w:tab w:leader="none" w:pos="720" w:val="left"/>
        </w:tabs>
        <w:numPr>
          <w:ilvl w:val="1"/>
          <w:numId w:val="7"/>
        </w:numPr>
        <w:rPr>
          <w:rFonts w:ascii="Arial" w:cs="Arial" w:eastAsia="Arial" w:hAnsi="Arial"/>
          <w:sz w:val="16"/>
          <w:szCs w:val="16"/>
          <w:color w:val="333333"/>
        </w:rPr>
      </w:pPr>
      <w:r>
        <w:rPr>
          <w:rFonts w:ascii="Arial" w:cs="Arial" w:eastAsia="Arial" w:hAnsi="Arial"/>
          <w:sz w:val="16"/>
          <w:szCs w:val="16"/>
          <w:b w:val="1"/>
          <w:bCs w:val="1"/>
          <w:i w:val="1"/>
          <w:iCs w:val="1"/>
          <w:color w:val="auto"/>
        </w:rPr>
        <w:t xml:space="preserve">Beneficial Owner. </w:t>
      </w:r>
      <w:r>
        <w:rPr>
          <w:rFonts w:ascii="Arial" w:cs="Arial" w:eastAsia="Arial" w:hAnsi="Arial"/>
          <w:sz w:val="16"/>
          <w:szCs w:val="16"/>
          <w:color w:val="333333"/>
        </w:rPr>
        <w:t>If your shares are held in a brokerage account or by another intermediary, you are considered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333333"/>
        </w:rPr>
        <w:t>beneficial owner of shares held in street name, and the proxy materials were forwarded to you by your broker, bank, trustee, or other nominee. As the beneficial owner, you have the right to direct your broker, bank, trustee, or other nominee how to vote your shares, and you are also invited to attend the Annual Meeting. Since a beneficial owner is not the stockholder of record, you may not vote your shares at the Annual Meeting unless you obtain a “legal proxy” from the broker, bank, trustee, or nominee that holds your shares giving you the right to vote the shares at the Annual Meeting. If you are a beneficial owner and do not wish to vote the Annual Meeting or you will not be attending the Annual Meeting, you may vote by following the instructions provided by your broker, bank, trustee, or other nominee.</w:t>
      </w:r>
    </w:p>
    <w:p>
      <w:pPr>
        <w:spacing w:after="0" w:line="235" w:lineRule="exact"/>
        <w:rPr>
          <w:rFonts w:ascii="Arial" w:cs="Arial" w:eastAsia="Arial" w:hAnsi="Arial"/>
          <w:sz w:val="16"/>
          <w:szCs w:val="16"/>
          <w:color w:val="333333"/>
        </w:rPr>
      </w:pPr>
    </w:p>
    <w:p>
      <w:pPr>
        <w:ind w:left="360" w:hanging="354"/>
        <w:spacing w:after="0"/>
        <w:tabs>
          <w:tab w:leader="none" w:pos="360" w:val="left"/>
        </w:tabs>
        <w:numPr>
          <w:ilvl w:val="0"/>
          <w:numId w:val="7"/>
        </w:numPr>
        <w:rPr>
          <w:rFonts w:ascii="Arial" w:cs="Arial" w:eastAsia="Arial" w:hAnsi="Arial"/>
          <w:sz w:val="22"/>
          <w:szCs w:val="22"/>
          <w:b w:val="1"/>
          <w:bCs w:val="1"/>
          <w:color w:val="24356E"/>
        </w:rPr>
      </w:pPr>
      <w:r>
        <w:rPr>
          <w:rFonts w:ascii="Arial" w:cs="Arial" w:eastAsia="Arial" w:hAnsi="Arial"/>
          <w:sz w:val="22"/>
          <w:szCs w:val="22"/>
          <w:b w:val="1"/>
          <w:bCs w:val="1"/>
          <w:color w:val="24356E"/>
        </w:rPr>
        <w:t>How can I contact the Company’s transfer agent?</w:t>
      </w:r>
    </w:p>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Contact our transfer agent by writing Computershare Trust Company, N.A., 150 Royall St., Suite 101, Canton, MA 02021. You may also contact our transfer agent by calling (877) 373-6374 or via its Investor Center at https://www-us.computershare.com/Investor/Contact.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10. How can I attend the Annual Meeting?</w:t>
      </w:r>
    </w:p>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The Annual Meeting will be a completely virtual meeting of stockholders, which will be conducted exclusively online via live webcast. You are entitled to attend and participate in the Annual Meeting only if you were a stockholder as of the close of business on the Record Date, or if you hold a valid proxy for the Annual Meeting.</w:t>
      </w:r>
    </w:p>
    <w:p>
      <w:pPr>
        <w:spacing w:after="0" w:line="117"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333333"/>
        </w:rPr>
        <w:t>If you are not a stockholder of record but beneficially own shares held in street name, you should contact your broker, bank, trustee, or nominee to obtain a legal proxy or broker’s proxy card in order to vote.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333333"/>
        </w:rPr>
        <w:t>If you do not comply with the procedures outlined above, you may not be admitted to the virtual Annual Meeting.</w:t>
      </w:r>
    </w:p>
    <w:p>
      <w:pPr>
        <w:spacing w:after="0" w:line="16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Please let us know if you plan to attend the meeting by indicating your plans when prompted if you vote online or by telephone, or by marking the appropriate box on your proxy card if you vote by mail.</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6"/>
          <w:szCs w:val="16"/>
          <w:color w:val="333333"/>
        </w:rPr>
        <w:t>You will be able to attend the Annual Meeting online and submit your questions during the meeting by visiting www.virtualshareholdermeeting.com/LAB2025. You also will be able to vote your shares by attending the Annual Meeting online. To participate in the Annual Meeting, you will need the 16-digit control number included on your Notice, on your proxy card (if you requested printed materials), or on the instructions that accompanied your proxy materials. Stockholders who wish to submit a question to us prior to the Annual Meeting may do so at www.proxyvote.com before 8:59 p.m. Pacific Time on Tuesday, June 17, 2025. Stockholders will need the 16-digit control number to submit a question. The online meeting will begin promptly at 8:30 a.m. Pacific Time on Wednesday, June 18, 2025. We encourage you to access the meeting prior to the start time. Online check-in will begin at 7:45 a.m. Pacific Time, and you should allow sufficient time for the check-in procedures.</w:t>
      </w:r>
    </w:p>
    <w:p>
      <w:pPr>
        <w:spacing w:after="0" w:line="236" w:lineRule="exact"/>
        <w:rPr>
          <w:sz w:val="20"/>
          <w:szCs w:val="20"/>
          <w:color w:val="auto"/>
        </w:rPr>
      </w:pPr>
    </w:p>
    <w:p>
      <w:pPr>
        <w:ind w:left="360" w:right="400" w:hanging="354"/>
        <w:spacing w:after="0" w:line="272" w:lineRule="auto"/>
        <w:tabs>
          <w:tab w:leader="none" w:pos="360" w:val="left"/>
        </w:tabs>
        <w:numPr>
          <w:ilvl w:val="0"/>
          <w:numId w:val="8"/>
        </w:numPr>
        <w:rPr>
          <w:rFonts w:ascii="Arial" w:cs="Arial" w:eastAsia="Arial" w:hAnsi="Arial"/>
          <w:sz w:val="22"/>
          <w:szCs w:val="22"/>
          <w:b w:val="1"/>
          <w:bCs w:val="1"/>
          <w:color w:val="24356E"/>
        </w:rPr>
      </w:pPr>
      <w:r>
        <w:rPr>
          <w:rFonts w:ascii="Arial" w:cs="Arial" w:eastAsia="Arial" w:hAnsi="Arial"/>
          <w:sz w:val="22"/>
          <w:szCs w:val="22"/>
          <w:b w:val="1"/>
          <w:bCs w:val="1"/>
          <w:color w:val="24356E"/>
        </w:rPr>
        <w:t>What if during the check-in time or during the meeting I have technical difficulties or trouble accessing the virtual meeting website?</w:t>
      </w:r>
    </w:p>
    <w:p>
      <w:pPr>
        <w:spacing w:after="0" w:line="7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333333"/>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www.virtualshareholdermeeting.com/LAB2025. If you encounter technical difficulties accessing our meeting or asking questions during the meeting, a support line will be available on the login page of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5" w:lineRule="exact"/>
        <w:rPr>
          <w:sz w:val="20"/>
          <w:szCs w:val="20"/>
          <w:color w:val="auto"/>
        </w:rPr>
      </w:pPr>
    </w:p>
    <w:p>
      <w:pPr>
        <w:ind w:left="3020"/>
        <w:spacing w:after="0"/>
        <w:tabs>
          <w:tab w:leader="none" w:pos="4640" w:val="left"/>
          <w:tab w:leader="none" w:pos="50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12. Why are you holding a virtual meeting instead of a physical meeting?</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333333"/>
        </w:rPr>
        <w:t>We have held virtual meetings in the past and we may continue to host our annual meetings virtually in the future.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Our virtual meeting format helps us engage with all stockholders, saves our and our stockholders’ time and money, and reduces our environmental impact.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13. How can I vote my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333333"/>
        </w:rPr>
        <w:t>If you are a stockholder of record as of the Record Date, you may:</w:t>
      </w:r>
    </w:p>
    <w:p>
      <w:pPr>
        <w:spacing w:after="0" w:line="194" w:lineRule="exact"/>
        <w:rPr>
          <w:sz w:val="20"/>
          <w:szCs w:val="20"/>
          <w:color w:val="auto"/>
        </w:rPr>
      </w:pPr>
    </w:p>
    <w:p>
      <w:pPr>
        <w:ind w:left="720" w:right="40" w:hanging="354"/>
        <w:spacing w:after="0" w:line="259" w:lineRule="auto"/>
        <w:tabs>
          <w:tab w:leader="none" w:pos="72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Vote via the Virtual Meeting Website—stockholders can attend the Annual Meeting by visiting www.virtualshareholdermeeting.com/LAB2025 where stockholders may vote and submit questions during the meeting. The meeting starts at 8:30 a.m. Pacific Time on Wednesday, June 18, 2025. Please have your 16-digit control number to join the Annual Meeting. Instructions on how to attend and participate via the internet are posted at www.proxyvote.com;</w:t>
      </w:r>
    </w:p>
    <w:p>
      <w:pPr>
        <w:spacing w:after="0" w:line="29" w:lineRule="exact"/>
        <w:rPr>
          <w:rFonts w:ascii="Arial" w:cs="Arial" w:eastAsia="Arial" w:hAnsi="Arial"/>
          <w:sz w:val="16"/>
          <w:szCs w:val="16"/>
          <w:color w:val="333333"/>
        </w:rPr>
      </w:pPr>
    </w:p>
    <w:p>
      <w:pPr>
        <w:ind w:left="720" w:right="80" w:hanging="354"/>
        <w:spacing w:after="0" w:line="286" w:lineRule="auto"/>
        <w:tabs>
          <w:tab w:leader="none" w:pos="72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Vote by Telephone or Through the Internet—in order to do so, please follow the instructions shown on the Notice or your proxy card; or</w:t>
      </w:r>
    </w:p>
    <w:p>
      <w:pPr>
        <w:spacing w:after="0" w:line="7" w:lineRule="exact"/>
        <w:rPr>
          <w:rFonts w:ascii="Arial" w:cs="Arial" w:eastAsia="Arial" w:hAnsi="Arial"/>
          <w:sz w:val="16"/>
          <w:szCs w:val="16"/>
          <w:color w:val="333333"/>
        </w:rPr>
      </w:pPr>
    </w:p>
    <w:p>
      <w:pPr>
        <w:ind w:left="720" w:right="180" w:hanging="354"/>
        <w:spacing w:after="0" w:line="259" w:lineRule="auto"/>
        <w:tabs>
          <w:tab w:leader="none" w:pos="72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Vote by Mail—if you request or receive a paper proxy card and voting instructions by mail, simply complete, sign, and date the enclosed proxy card and promptly return it in the envelope provided or, if the envelope is missing, please mail your completed proxy card to Vote Processing, c/o Broadridge Financial Solutions, Inc., 51 Mercedes Way, Edgewood, New York 11717. Your signed and dated proxy card must be received prior to the Annual Meeting in order to be voted.</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333333"/>
        </w:rPr>
        <w:t>Submitting your proxy, whether by telephone, through the Internet, or by mail, will not affect your right to vote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spacing w:after="0" w:line="12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333333"/>
        </w:rPr>
        <w:t>All proxies will be voted in accordance with the instructions specified. If you sign a physical proxy card and return it without instructions as to how your shares should be voted on a particular proposal at the Annual Meeting, your shares will be voted in accordance with the recommendations of our Board stated above.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333333"/>
        </w:rPr>
        <w:t>If you do not vote and you hold your shares in street name, and your broker does not have discretionary power to vote your shares, your shares may constitute “broker non-votes” (as described below) and will have no effect on the approval of the proposals.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14. What if I receive more than one notice or proxy card?</w:t>
      </w:r>
    </w:p>
    <w:p>
      <w:pPr>
        <w:spacing w:after="0" w:line="139"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333333"/>
        </w:rPr>
        <w:t>You may receive more than one proxy card if you hold shares of our common stock in more than one account, which may be in registered form or held in street name. Please vote in the manner described above under “How can I vote my shares?” for each account to ensure that all of your shares are voted.</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15. Can stockholders ask questions during the Annual Meeting?</w:t>
      </w:r>
    </w:p>
    <w:p>
      <w:pPr>
        <w:spacing w:after="0" w:line="139"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333333"/>
        </w:rPr>
        <w:t>Yes. If you wish to submit a question during the Annual Meeting, log into the virtual meeting platform at www.virtualshareholdermeeting.com/LAB2025, type your question into the “Ask a Question” field, and click “Submit.” If your question is properly submitted during the relevant portion of the meeting agenda, we will respond to your question during the live webcast, subject to time constraints. Our rules of conduct and procedure for the meeting generally provide that: We limit each stockholder to one question so that we can answer questions from as many stockholders as possible. Questions should be succinct and cover only one topic per question. Questions from multiple stockholders on the same topic or that are otherwise related may be grouped, summarized, and answered together to avoid repetition. In addition, questions may be edited for brevity and grammatical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8" w:lineRule="exact"/>
        <w:rPr>
          <w:sz w:val="20"/>
          <w:szCs w:val="20"/>
          <w:color w:val="auto"/>
        </w:rPr>
      </w:pPr>
    </w:p>
    <w:p>
      <w:pPr>
        <w:ind w:left="3020"/>
        <w:spacing w:after="0"/>
        <w:tabs>
          <w:tab w:leader="none" w:pos="4640" w:val="left"/>
          <w:tab w:leader="none" w:pos="50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333333"/>
        </w:rPr>
        <w:t>corrections. We reserve the right to exclude questions that are, among other things, irrelevant to the business of the Annual Meeting, irrelevant to our business, related to material non-public information of the company, derogatory or in bad taste, in furtherance of the stockholder’s personal or business interests, related to pending or threatened litigation; repetitious or already made by another stockholder, related to personal matters or grievances, or out of order or otherwise not suitable for the conduct of the Annual Meeting (as determined by the Chairperson of our Board or our Corporate Secretary in their reasonable discretion).</w:t>
      </w:r>
    </w:p>
    <w:p>
      <w:pPr>
        <w:spacing w:after="0" w:line="3"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333333"/>
        </w:rPr>
        <w:t>A webcast replay of the Annual Meeting, including the Q&amp;A session, will be available for 90 days following the Annual Meeting at www.virtualshareholdermeeting.com/LAB2025.</w:t>
      </w:r>
    </w:p>
    <w:p>
      <w:pPr>
        <w:spacing w:after="0" w:line="11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333333"/>
        </w:rPr>
        <w:t>If there are matters of individual concern to a stockholder (rather than of general concern to all stockholders), or if we are not able to answer all the questions posed, stockholders may contact us separately after the meeting through our Investor Relations department by email at investors@standardbio.com.</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16. How can I vote my shares without attending the virtual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Telephone or via the Internet</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6"/>
          <w:szCs w:val="16"/>
          <w:color w:val="333333"/>
        </w:rPr>
        <w:t>If you are a stockholder of record on the Record Date, you may vote by following the telephone or Internet voting instructions on your Notice. 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 from your broker, bank, trustee, or other nominee and instruct your broker, bank, trustee, or other nominee to vote your shares using the enclosed proxy card.</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Mail</w:t>
      </w:r>
    </w:p>
    <w:p>
      <w:pPr>
        <w:spacing w:after="0" w:line="16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333333"/>
        </w:rPr>
        <w:t>If you are a stockholder of record, complete, sign and date the enclosed proxy card and return it in the return envelope provided (which is postage prepaid if mailed in the United States). If the prepaid envelope is missing, please mail your completed proxy card to Vote Processing, c/o Broadridge Financial Solutions, Inc., 51 Mercedes Way, Edgewood, NY 11717.</w:t>
      </w:r>
    </w:p>
    <w:p>
      <w:pPr>
        <w:spacing w:after="0" w:line="11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i w:val="1"/>
          <w:iCs w:val="1"/>
          <w:color w:val="333333"/>
        </w:rPr>
        <w:t>If you are a stockholder of record and you return your signed proxy card but do not indicate your voting preferences, the persons named in the proxy card as proxy holders—Michael Egholm, Ph.D. and Alex Kim—will vote the shares represented by your proxy card as recommended by our Board and in their discretion on any other matters as may properly come before the Annual Meeting.</w:t>
      </w:r>
    </w:p>
    <w:p>
      <w:pPr>
        <w:spacing w:after="0" w:line="118"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333333"/>
        </w:rPr>
        <w:t>If you are a beneficial owner of shares and you received a printed copy of the proxy materials from your broker, bank, trustee, or other nominee, we recommend that you follow the voting instructions in the materials you receive from your broker, bank, trustee, or other nominee and instruct your broker, bank, trustee, or other nominee to vote your shares using the enclosed proxy card.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333333"/>
        </w:rPr>
        <w:t>You may attend the Annual Meeting even if you have already voted by proxy.</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17. Can I change my vote or revoke my proxy?</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6"/>
          <w:szCs w:val="16"/>
          <w:color w:val="333333"/>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Standard BioTools Inc., 2 Tower Place, Suite 2000, South San Francisco, California 94080,</w:t>
      </w:r>
    </w:p>
    <w:p>
      <w:pPr>
        <w:spacing w:after="0" w:line="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333333"/>
        </w:rPr>
        <w:t>Attn: Corporate Secretary, prior to your shares being voted, or (iii) attending the Annual Meeting and voting at the meeting. Attendance at the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9" w:lineRule="exact"/>
        <w:rPr>
          <w:sz w:val="20"/>
          <w:szCs w:val="20"/>
          <w:color w:val="auto"/>
        </w:rPr>
      </w:pPr>
    </w:p>
    <w:p>
      <w:pPr>
        <w:ind w:left="3020"/>
        <w:spacing w:after="0"/>
        <w:tabs>
          <w:tab w:leader="none" w:pos="4640" w:val="left"/>
          <w:tab w:leader="none" w:pos="50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18. Is there a list of stockholders entitled to vote at the Annual Meeting?</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The names of stockholders of record entitled to vote at the Annual Meeting will be available for examination on the Internet through the virtual web conference during the Annual Meeting and from our Corporate Secretary for ten (10) days prior to the meeting for any purpose germane to the meeting, between the hours of 9:00 a.m. and 4:30 p.m., at our corporate headquarters at 2 Tower Place, Suite 2000, South San Francisco, California 94080.</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19. Is my vote confidential?</w:t>
      </w:r>
    </w:p>
    <w:p>
      <w:pPr>
        <w:spacing w:after="0" w:line="13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238" w:lineRule="exact"/>
        <w:rPr>
          <w:sz w:val="20"/>
          <w:szCs w:val="20"/>
          <w:color w:val="auto"/>
        </w:rPr>
      </w:pPr>
    </w:p>
    <w:p>
      <w:pPr>
        <w:ind w:left="360" w:right="320" w:hanging="354"/>
        <w:spacing w:after="0" w:line="272" w:lineRule="auto"/>
        <w:tabs>
          <w:tab w:leader="none" w:pos="360" w:val="left"/>
        </w:tabs>
        <w:numPr>
          <w:ilvl w:val="0"/>
          <w:numId w:val="10"/>
        </w:numPr>
        <w:rPr>
          <w:rFonts w:ascii="Arial" w:cs="Arial" w:eastAsia="Arial" w:hAnsi="Arial"/>
          <w:sz w:val="22"/>
          <w:szCs w:val="22"/>
          <w:b w:val="1"/>
          <w:bCs w:val="1"/>
          <w:color w:val="24356E"/>
        </w:rPr>
      </w:pPr>
      <w:r>
        <w:rPr>
          <w:rFonts w:ascii="Arial" w:cs="Arial" w:eastAsia="Arial" w:hAnsi="Arial"/>
          <w:sz w:val="22"/>
          <w:szCs w:val="22"/>
          <w:b w:val="1"/>
          <w:bCs w:val="1"/>
          <w:color w:val="24356E"/>
        </w:rPr>
        <w:t>How many shares must be present or represented to conduct business at the Annual Meeting?</w:t>
      </w:r>
    </w:p>
    <w:p>
      <w:pPr>
        <w:spacing w:after="0" w:line="6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333333"/>
        </w:rPr>
        <w:t>As of the Record Date, there were 379,822,268 shares of our common stock outstanding and entitled to vote. Each holder of our common stock is entitled to one vote for each share of common stock held as of the Record Date. A quorum will be present at the Annual Meeting if the holders of a majority of the shares of our capital stock issued and outstanding and entitled to vote as of the Record Date are present at the Annual Meeting or represented by proxy. Abstentions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Broker non-votes are counted as present and entitled to vote for purposes of determining a quorum. If there is no quorum, the Chairperson of the meeting or the holders of a majority of the stock issued and outstanding present at the Annual Meeting may adjourn the meeting to another date.</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21. What is the voting requirement to approve each of the proposals?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3460" w:type="dxa"/>
            <w:vAlign w:val="bottom"/>
            <w:shd w:val="clear" w:color="auto" w:fill="24356E"/>
          </w:tcPr>
          <w:p>
            <w:pPr>
              <w:spacing w:after="0"/>
              <w:rPr>
                <w:sz w:val="24"/>
                <w:szCs w:val="24"/>
                <w:color w:val="auto"/>
              </w:rPr>
            </w:pPr>
          </w:p>
        </w:tc>
        <w:tc>
          <w:tcPr>
            <w:tcW w:w="4700" w:type="dxa"/>
            <w:vAlign w:val="bottom"/>
            <w:shd w:val="clear" w:color="auto" w:fill="24356E"/>
          </w:tcPr>
          <w:p>
            <w:pPr>
              <w:spacing w:after="0"/>
              <w:rPr>
                <w:sz w:val="24"/>
                <w:szCs w:val="24"/>
                <w:color w:val="auto"/>
              </w:rPr>
            </w:pPr>
          </w:p>
        </w:tc>
        <w:tc>
          <w:tcPr>
            <w:tcW w:w="1240" w:type="dxa"/>
            <w:vAlign w:val="bottom"/>
            <w:shd w:val="clear" w:color="auto" w:fill="24356E"/>
          </w:tcPr>
          <w:p>
            <w:pPr>
              <w:jc w:val="center"/>
              <w:ind w:left="88"/>
              <w:spacing w:after="0"/>
              <w:rPr>
                <w:sz w:val="20"/>
                <w:szCs w:val="20"/>
                <w:color w:val="auto"/>
              </w:rPr>
            </w:pPr>
            <w:r>
              <w:rPr>
                <w:rFonts w:ascii="Arial" w:cs="Arial" w:eastAsia="Arial" w:hAnsi="Arial"/>
                <w:sz w:val="14"/>
                <w:szCs w:val="14"/>
                <w:b w:val="1"/>
                <w:bCs w:val="1"/>
                <w:color w:val="FFFFFF"/>
              </w:rPr>
              <w:t>Discretionary</w:t>
            </w:r>
          </w:p>
        </w:tc>
      </w:tr>
      <w:tr>
        <w:trPr>
          <w:trHeight w:val="162"/>
        </w:trPr>
        <w:tc>
          <w:tcPr>
            <w:tcW w:w="3460" w:type="dxa"/>
            <w:vAlign w:val="bottom"/>
            <w:shd w:val="clear" w:color="auto" w:fill="24356E"/>
          </w:tcPr>
          <w:p>
            <w:pPr>
              <w:spacing w:after="0"/>
              <w:rPr>
                <w:sz w:val="14"/>
                <w:szCs w:val="14"/>
                <w:color w:val="auto"/>
              </w:rPr>
            </w:pPr>
          </w:p>
        </w:tc>
        <w:tc>
          <w:tcPr>
            <w:tcW w:w="4700" w:type="dxa"/>
            <w:vAlign w:val="bottom"/>
            <w:shd w:val="clear" w:color="auto" w:fill="24356E"/>
          </w:tcPr>
          <w:p>
            <w:pPr>
              <w:spacing w:after="0"/>
              <w:rPr>
                <w:sz w:val="14"/>
                <w:szCs w:val="14"/>
                <w:color w:val="auto"/>
              </w:rPr>
            </w:pPr>
          </w:p>
        </w:tc>
        <w:tc>
          <w:tcPr>
            <w:tcW w:w="1240" w:type="dxa"/>
            <w:vAlign w:val="bottom"/>
            <w:shd w:val="clear" w:color="auto" w:fill="24356E"/>
          </w:tcPr>
          <w:p>
            <w:pPr>
              <w:jc w:val="center"/>
              <w:ind w:left="88"/>
              <w:spacing w:after="0"/>
              <w:rPr>
                <w:sz w:val="20"/>
                <w:szCs w:val="20"/>
                <w:color w:val="auto"/>
              </w:rPr>
            </w:pPr>
            <w:r>
              <w:rPr>
                <w:rFonts w:ascii="Arial" w:cs="Arial" w:eastAsia="Arial" w:hAnsi="Arial"/>
                <w:sz w:val="14"/>
                <w:szCs w:val="14"/>
                <w:b w:val="1"/>
                <w:bCs w:val="1"/>
                <w:color w:val="FFFFFF"/>
              </w:rPr>
              <w:t>Voting</w:t>
            </w:r>
          </w:p>
        </w:tc>
      </w:tr>
      <w:tr>
        <w:trPr>
          <w:trHeight w:val="196"/>
        </w:trPr>
        <w:tc>
          <w:tcPr>
            <w:tcW w:w="3460" w:type="dxa"/>
            <w:vAlign w:val="bottom"/>
            <w:shd w:val="clear" w:color="auto" w:fill="24356E"/>
          </w:tcPr>
          <w:p>
            <w:pPr>
              <w:ind w:left="280"/>
              <w:spacing w:after="0"/>
              <w:rPr>
                <w:sz w:val="20"/>
                <w:szCs w:val="20"/>
                <w:color w:val="auto"/>
              </w:rPr>
            </w:pPr>
            <w:r>
              <w:rPr>
                <w:rFonts w:ascii="Arial" w:cs="Arial" w:eastAsia="Arial" w:hAnsi="Arial"/>
                <w:sz w:val="14"/>
                <w:szCs w:val="14"/>
                <w:b w:val="1"/>
                <w:bCs w:val="1"/>
                <w:color w:val="FFFFFF"/>
              </w:rPr>
              <w:t>Proposal</w:t>
            </w:r>
          </w:p>
        </w:tc>
        <w:tc>
          <w:tcPr>
            <w:tcW w:w="4700" w:type="dxa"/>
            <w:vAlign w:val="bottom"/>
            <w:shd w:val="clear" w:color="auto" w:fill="24356E"/>
          </w:tcPr>
          <w:p>
            <w:pPr>
              <w:ind w:left="700"/>
              <w:spacing w:after="0"/>
              <w:rPr>
                <w:sz w:val="20"/>
                <w:szCs w:val="20"/>
                <w:color w:val="auto"/>
              </w:rPr>
            </w:pPr>
            <w:r>
              <w:rPr>
                <w:rFonts w:ascii="Arial" w:cs="Arial" w:eastAsia="Arial" w:hAnsi="Arial"/>
                <w:sz w:val="14"/>
                <w:szCs w:val="14"/>
                <w:b w:val="1"/>
                <w:bCs w:val="1"/>
                <w:color w:val="FFFFFF"/>
              </w:rPr>
              <w:t>Vote Required</w:t>
            </w:r>
          </w:p>
        </w:tc>
        <w:tc>
          <w:tcPr>
            <w:tcW w:w="1240" w:type="dxa"/>
            <w:vAlign w:val="bottom"/>
            <w:shd w:val="clear" w:color="auto" w:fill="24356E"/>
          </w:tcPr>
          <w:p>
            <w:pPr>
              <w:jc w:val="center"/>
              <w:ind w:left="88"/>
              <w:spacing w:after="0"/>
              <w:rPr>
                <w:sz w:val="20"/>
                <w:szCs w:val="20"/>
                <w:color w:val="auto"/>
              </w:rPr>
            </w:pPr>
            <w:r>
              <w:rPr>
                <w:rFonts w:ascii="Arial" w:cs="Arial" w:eastAsia="Arial" w:hAnsi="Arial"/>
                <w:sz w:val="14"/>
                <w:szCs w:val="14"/>
                <w:b w:val="1"/>
                <w:bCs w:val="1"/>
                <w:color w:val="FFFFFF"/>
              </w:rPr>
              <w:t>Allowed?</w:t>
            </w:r>
          </w:p>
        </w:tc>
      </w:tr>
      <w:tr>
        <w:trPr>
          <w:trHeight w:val="83"/>
        </w:trPr>
        <w:tc>
          <w:tcPr>
            <w:tcW w:w="3460" w:type="dxa"/>
            <w:vAlign w:val="bottom"/>
            <w:shd w:val="clear" w:color="auto" w:fill="24356E"/>
          </w:tcPr>
          <w:p>
            <w:pPr>
              <w:spacing w:after="0"/>
              <w:rPr>
                <w:sz w:val="7"/>
                <w:szCs w:val="7"/>
                <w:color w:val="auto"/>
              </w:rPr>
            </w:pPr>
          </w:p>
        </w:tc>
        <w:tc>
          <w:tcPr>
            <w:tcW w:w="4700" w:type="dxa"/>
            <w:vAlign w:val="bottom"/>
            <w:shd w:val="clear" w:color="auto" w:fill="24356E"/>
          </w:tcPr>
          <w:p>
            <w:pPr>
              <w:spacing w:after="0"/>
              <w:rPr>
                <w:sz w:val="7"/>
                <w:szCs w:val="7"/>
                <w:color w:val="auto"/>
              </w:rPr>
            </w:pPr>
          </w:p>
        </w:tc>
        <w:tc>
          <w:tcPr>
            <w:tcW w:w="1240" w:type="dxa"/>
            <w:vAlign w:val="bottom"/>
            <w:shd w:val="clear" w:color="auto" w:fill="24356E"/>
          </w:tcPr>
          <w:p>
            <w:pPr>
              <w:spacing w:after="0"/>
              <w:rPr>
                <w:sz w:val="7"/>
                <w:szCs w:val="7"/>
                <w:color w:val="auto"/>
              </w:rPr>
            </w:pPr>
          </w:p>
        </w:tc>
      </w:tr>
      <w:tr>
        <w:trPr>
          <w:trHeight w:val="261"/>
        </w:trPr>
        <w:tc>
          <w:tcPr>
            <w:tcW w:w="3460" w:type="dxa"/>
            <w:vAlign w:val="bottom"/>
          </w:tcPr>
          <w:p>
            <w:pPr>
              <w:spacing w:after="0"/>
              <w:rPr>
                <w:sz w:val="22"/>
                <w:szCs w:val="22"/>
                <w:color w:val="auto"/>
              </w:rPr>
            </w:pPr>
          </w:p>
        </w:tc>
        <w:tc>
          <w:tcPr>
            <w:tcW w:w="4700" w:type="dxa"/>
            <w:vAlign w:val="bottom"/>
          </w:tcPr>
          <w:p>
            <w:pPr>
              <w:ind w:left="700"/>
              <w:spacing w:after="0"/>
              <w:rPr>
                <w:sz w:val="20"/>
                <w:szCs w:val="20"/>
                <w:color w:val="auto"/>
              </w:rPr>
            </w:pPr>
            <w:r>
              <w:rPr>
                <w:rFonts w:ascii="Arial" w:cs="Arial" w:eastAsia="Arial" w:hAnsi="Arial"/>
                <w:sz w:val="14"/>
                <w:szCs w:val="14"/>
                <w:color w:val="auto"/>
              </w:rPr>
              <w:t>A plurality of the voting power of the shares present or</w:t>
            </w:r>
          </w:p>
        </w:tc>
        <w:tc>
          <w:tcPr>
            <w:tcW w:w="1240" w:type="dxa"/>
            <w:vAlign w:val="bottom"/>
          </w:tcPr>
          <w:p>
            <w:pPr>
              <w:spacing w:after="0"/>
              <w:rPr>
                <w:sz w:val="22"/>
                <w:szCs w:val="22"/>
                <w:color w:val="auto"/>
              </w:rPr>
            </w:pPr>
          </w:p>
        </w:tc>
      </w:tr>
      <w:tr>
        <w:trPr>
          <w:trHeight w:val="162"/>
        </w:trPr>
        <w:tc>
          <w:tcPr>
            <w:tcW w:w="3460" w:type="dxa"/>
            <w:vAlign w:val="bottom"/>
          </w:tcPr>
          <w:p>
            <w:pPr>
              <w:ind w:left="920"/>
              <w:spacing w:after="0"/>
              <w:rPr>
                <w:sz w:val="20"/>
                <w:szCs w:val="20"/>
                <w:color w:val="auto"/>
              </w:rPr>
            </w:pPr>
            <w:r>
              <w:rPr>
                <w:rFonts w:ascii="Arial" w:cs="Arial" w:eastAsia="Arial" w:hAnsi="Arial"/>
                <w:sz w:val="14"/>
                <w:szCs w:val="14"/>
                <w:color w:val="auto"/>
              </w:rPr>
              <w:t>Election of Class III Directors</w:t>
            </w:r>
          </w:p>
        </w:tc>
        <w:tc>
          <w:tcPr>
            <w:tcW w:w="4700" w:type="dxa"/>
            <w:vAlign w:val="bottom"/>
          </w:tcPr>
          <w:p>
            <w:pPr>
              <w:ind w:left="700"/>
              <w:spacing w:after="0"/>
              <w:rPr>
                <w:sz w:val="20"/>
                <w:szCs w:val="20"/>
                <w:color w:val="auto"/>
              </w:rPr>
            </w:pPr>
            <w:r>
              <w:rPr>
                <w:rFonts w:ascii="Arial" w:cs="Arial" w:eastAsia="Arial" w:hAnsi="Arial"/>
                <w:sz w:val="14"/>
                <w:szCs w:val="14"/>
                <w:color w:val="auto"/>
              </w:rPr>
              <w:t>represented by proxy at the meeting and entitled to vote on</w:t>
            </w:r>
          </w:p>
        </w:tc>
        <w:tc>
          <w:tcPr>
            <w:tcW w:w="1240" w:type="dxa"/>
            <w:vAlign w:val="bottom"/>
          </w:tcPr>
          <w:p>
            <w:pPr>
              <w:jc w:val="center"/>
              <w:ind w:left="68"/>
              <w:spacing w:after="0"/>
              <w:rPr>
                <w:sz w:val="20"/>
                <w:szCs w:val="20"/>
                <w:color w:val="auto"/>
              </w:rPr>
            </w:pPr>
            <w:r>
              <w:rPr>
                <w:rFonts w:ascii="Arial" w:cs="Arial" w:eastAsia="Arial" w:hAnsi="Arial"/>
                <w:sz w:val="14"/>
                <w:szCs w:val="14"/>
                <w:color w:val="auto"/>
              </w:rPr>
              <w:t>No</w:t>
            </w:r>
          </w:p>
        </w:tc>
      </w:tr>
      <w:tr>
        <w:trPr>
          <w:trHeight w:val="190"/>
        </w:trPr>
        <w:tc>
          <w:tcPr>
            <w:tcW w:w="3460" w:type="dxa"/>
            <w:vAlign w:val="bottom"/>
          </w:tcPr>
          <w:p>
            <w:pPr>
              <w:spacing w:after="0"/>
              <w:rPr>
                <w:sz w:val="16"/>
                <w:szCs w:val="16"/>
                <w:color w:val="auto"/>
              </w:rPr>
            </w:pPr>
          </w:p>
        </w:tc>
        <w:tc>
          <w:tcPr>
            <w:tcW w:w="4700" w:type="dxa"/>
            <w:vAlign w:val="bottom"/>
          </w:tcPr>
          <w:p>
            <w:pPr>
              <w:ind w:left="700"/>
              <w:spacing w:after="0"/>
              <w:rPr>
                <w:sz w:val="20"/>
                <w:szCs w:val="20"/>
                <w:color w:val="auto"/>
              </w:rPr>
            </w:pPr>
            <w:r>
              <w:rPr>
                <w:rFonts w:ascii="Arial" w:cs="Arial" w:eastAsia="Arial" w:hAnsi="Arial"/>
                <w:sz w:val="14"/>
                <w:szCs w:val="14"/>
                <w:color w:val="auto"/>
              </w:rPr>
              <w:t>the election of directors</w:t>
            </w:r>
          </w:p>
        </w:tc>
        <w:tc>
          <w:tcPr>
            <w:tcW w:w="12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59664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-320040</wp:posOffset>
            </wp:positionV>
            <wp:extent cx="23114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1" w:lineRule="exact"/>
        <w:rPr>
          <w:sz w:val="20"/>
          <w:szCs w:val="20"/>
          <w:color w:val="auto"/>
        </w:rPr>
      </w:pPr>
    </w:p>
    <w:p>
      <w:pPr>
        <w:ind w:left="920" w:right="440"/>
        <w:spacing w:after="0" w:line="263" w:lineRule="auto"/>
        <w:rPr>
          <w:sz w:val="20"/>
          <w:szCs w:val="20"/>
          <w:color w:val="auto"/>
        </w:rPr>
      </w:pPr>
      <w:r>
        <w:rPr>
          <w:rFonts w:ascii="Arial" w:cs="Arial" w:eastAsia="Arial" w:hAnsi="Arial"/>
          <w:sz w:val="14"/>
          <w:szCs w:val="14"/>
          <w:color w:val="auto"/>
        </w:rPr>
        <w:t>Advisory Vote on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-329565</wp:posOffset>
            </wp:positionV>
            <wp:extent cx="23114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Majority of the voting power of the shares present or</w:t>
      </w:r>
    </w:p>
    <w:p>
      <w:pPr>
        <w:spacing w:after="0" w:line="15" w:lineRule="exact"/>
        <w:rPr>
          <w:sz w:val="20"/>
          <w:szCs w:val="20"/>
          <w:color w:val="auto"/>
        </w:rPr>
      </w:pPr>
    </w:p>
    <w:p>
      <w:pPr>
        <w:ind w:right="460"/>
        <w:spacing w:after="0" w:line="264" w:lineRule="auto"/>
        <w:rPr>
          <w:sz w:val="20"/>
          <w:szCs w:val="20"/>
          <w:color w:val="auto"/>
        </w:rPr>
      </w:pPr>
      <w:r>
        <w:rPr>
          <w:rFonts w:ascii="Arial" w:cs="Arial" w:eastAsia="Arial" w:hAnsi="Arial"/>
          <w:sz w:val="14"/>
          <w:szCs w:val="14"/>
          <w:color w:val="auto"/>
        </w:rPr>
        <w:t>represented by proxy at the meeting and entitled to vote on No the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46355</wp:posOffset>
            </wp:positionV>
            <wp:extent cx="59664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440" w:space="720"/>
            <w:col w:w="5240"/>
          </w:cols>
          <w:pgMar w:left="1240" w:top="114" w:right="1259" w:bottom="1440" w:gutter="0" w:footer="0" w:header="0"/>
          <w:type w:val="continuous"/>
        </w:sectPr>
      </w:pPr>
    </w:p>
    <w:p>
      <w:pPr>
        <w:ind w:left="920"/>
        <w:spacing w:after="0" w:line="263" w:lineRule="auto"/>
        <w:rPr>
          <w:sz w:val="20"/>
          <w:szCs w:val="20"/>
          <w:color w:val="auto"/>
        </w:rPr>
      </w:pPr>
      <w:r>
        <w:rPr>
          <w:rFonts w:ascii="Arial" w:cs="Arial" w:eastAsia="Arial" w:hAnsi="Arial"/>
          <w:sz w:val="14"/>
          <w:szCs w:val="14"/>
          <w:color w:val="auto"/>
        </w:rPr>
        <w:t>Ratification of the Appointment of PwC as Our Independent Registered Public Accounting Firm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-329565</wp:posOffset>
            </wp:positionV>
            <wp:extent cx="23114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Majority of the voting power of the shares present or</w:t>
      </w:r>
    </w:p>
    <w:p>
      <w:pPr>
        <w:spacing w:after="0" w:line="15" w:lineRule="exact"/>
        <w:rPr>
          <w:sz w:val="20"/>
          <w:szCs w:val="20"/>
          <w:color w:val="auto"/>
        </w:rPr>
      </w:pPr>
    </w:p>
    <w:p>
      <w:pPr>
        <w:ind w:right="420"/>
        <w:spacing w:after="0" w:line="264" w:lineRule="auto"/>
        <w:rPr>
          <w:sz w:val="20"/>
          <w:szCs w:val="20"/>
          <w:color w:val="auto"/>
        </w:rPr>
      </w:pPr>
      <w:r>
        <w:rPr>
          <w:rFonts w:ascii="Arial" w:cs="Arial" w:eastAsia="Arial" w:hAnsi="Arial"/>
          <w:sz w:val="14"/>
          <w:szCs w:val="14"/>
          <w:color w:val="auto"/>
        </w:rPr>
        <w:t>represented by proxy at the meeting and entitled to vote on Yes the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46355</wp:posOffset>
            </wp:positionV>
            <wp:extent cx="5966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840" w:space="320"/>
            <w:col w:w="5240"/>
          </w:cols>
          <w:pgMar w:left="1240" w:top="114" w:right="1259" w:bottom="1440" w:gutter="0" w:footer="0" w:header="0"/>
          <w:type w:val="continuous"/>
        </w:sectPr>
      </w:pPr>
    </w:p>
    <w:p>
      <w:pPr>
        <w:ind w:left="920"/>
        <w:spacing w:after="0" w:line="256" w:lineRule="auto"/>
        <w:rPr>
          <w:sz w:val="20"/>
          <w:szCs w:val="20"/>
          <w:color w:val="auto"/>
        </w:rPr>
      </w:pPr>
      <w:r>
        <w:rPr>
          <w:rFonts w:ascii="Arial" w:cs="Arial" w:eastAsia="Arial" w:hAnsi="Arial"/>
          <w:sz w:val="14"/>
          <w:szCs w:val="14"/>
          <w:color w:val="auto"/>
        </w:rPr>
        <w:t>Approval of an Amendment to our 2011 Plan to Increase the Number of Shares of Common Stock Available for Issuance Thereunder by 17,400,000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-429895</wp:posOffset>
            </wp:positionV>
            <wp:extent cx="23114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Majority of the voting power of the shares present or</w:t>
      </w:r>
    </w:p>
    <w:p>
      <w:pPr>
        <w:spacing w:after="0" w:line="15" w:lineRule="exact"/>
        <w:rPr>
          <w:sz w:val="20"/>
          <w:szCs w:val="20"/>
          <w:color w:val="auto"/>
        </w:rPr>
      </w:pPr>
    </w:p>
    <w:p>
      <w:pPr>
        <w:ind w:right="460"/>
        <w:spacing w:after="0" w:line="264" w:lineRule="auto"/>
        <w:rPr>
          <w:sz w:val="20"/>
          <w:szCs w:val="20"/>
          <w:color w:val="auto"/>
        </w:rPr>
      </w:pPr>
      <w:r>
        <w:rPr>
          <w:rFonts w:ascii="Arial" w:cs="Arial" w:eastAsia="Arial" w:hAnsi="Arial"/>
          <w:sz w:val="14"/>
          <w:szCs w:val="14"/>
          <w:color w:val="auto"/>
        </w:rPr>
        <w:t>represented by proxy at the meeting and entitled to vote on No the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89535</wp:posOffset>
            </wp:positionV>
            <wp:extent cx="5966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3900" w:space="260"/>
            <w:col w:w="5240"/>
          </w:cols>
          <w:pgMar w:left="1240" w:top="114" w:right="1259" w:bottom="1440" w:gutter="0" w:footer="0" w:header="0"/>
          <w:type w:val="continuous"/>
        </w:sectPr>
      </w:pP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333333"/>
        </w:rPr>
        <w:t>If you are a beneficial owner, your broker, bank, trustee, or other nominee is typically permitted to vote your shares on the ratification of the appointment of PwC as our independent registered public accounting firm for the year ending December 31, 2025, even if the broker, bank, trustee, or other nominee does not receive voting instructions from you. Without instructions from you, your broker, bank, trustee, or other nominee does not have discretionary authority to vote on the election of the Class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83" w:lineRule="exact"/>
        <w:rPr>
          <w:sz w:val="20"/>
          <w:szCs w:val="20"/>
          <w:color w:val="auto"/>
        </w:rPr>
      </w:pPr>
    </w:p>
    <w:p>
      <w:pPr>
        <w:ind w:left="3020"/>
        <w:spacing w:after="0"/>
        <w:tabs>
          <w:tab w:leader="none" w:pos="4640" w:val="left"/>
          <w:tab w:leader="none" w:pos="50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333333"/>
        </w:rPr>
        <w:t>Directors, the advisory vote to approve the compensation of our named executive officers or the approval of an amendment to our 2011 Plan to increase the number of shares of common stock available for issuance thereunder by 17,400,000 shares. Accordingly, if you are a beneficial owner, it is particularly important that you provide your instructions for voting your shares to your broker, bank, trustee, or other nominee on each of the proposals.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Election of Class III Directors</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333333"/>
        </w:rPr>
        <w:t>The Class III Directors elected to the Board will be elected by a plurality of the voting power present at the Annual Meeting or represented by proxy at the Annual Meeting and entitled to vote on the election of directors, meaning that the nominees for director that receive the most votes will be elected. You may vote either “FOR” both of the nominees, “WITHHOLD” your vote from both of the nominees or “WITHHOLD” your vote from any one of the nominees. Votes that are withheld and broker non-votes will not be included in the vote tally for the election of the directors and will result in the applicable nominee(s) receiving fewer votes cast “FOR” such nominee(s).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Advisory Vote on Approval of the Compensation of Our Named Executive Officers</w:t>
      </w:r>
    </w:p>
    <w:p>
      <w:pPr>
        <w:spacing w:after="0" w:line="16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333333"/>
        </w:rPr>
        <w:t>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and our Human Capital Committee of the Board (previously known as the Compensation Committee of the Board) (the “Human Capital Committee”) value the opinions of our stockholders in this matter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Human Capital Committee will evaluate whether any actions are necessary to address those concerns.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Ratification of the Appointment of PwC as Our Independent Registered Public Accounting Firm</w:t>
      </w:r>
    </w:p>
    <w:p>
      <w:pPr>
        <w:spacing w:after="0" w:line="165" w:lineRule="exact"/>
        <w:rPr>
          <w:sz w:val="20"/>
          <w:szCs w:val="20"/>
          <w:color w:val="auto"/>
        </w:rPr>
      </w:pPr>
    </w:p>
    <w:p>
      <w:pPr>
        <w:spacing w:after="0" w:line="252" w:lineRule="auto"/>
        <w:rPr>
          <w:sz w:val="20"/>
          <w:szCs w:val="20"/>
          <w:color w:val="auto"/>
        </w:rPr>
      </w:pPr>
      <w:r>
        <w:rPr>
          <w:rFonts w:ascii="Arial" w:cs="Arial" w:eastAsia="Arial" w:hAnsi="Arial"/>
          <w:sz w:val="16"/>
          <w:szCs w:val="16"/>
          <w:color w:val="333333"/>
        </w:rPr>
        <w:t>The affirmative “FOR” vote of a majority of the voting power of the shares present or represented by proxy at the Annual Meeting and entitled to vote on the proposal is required to ratify the appointment of PwC as our independent registered public accounting firm for the year ending December 31, 2025.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PwC and even if our stockholders ratify the appointment, our Audit Committee of the Board (the “Audit Committee”), in its discretion, may appoint another independent registered public accounting firm at any time during our fiscal year if our Audit Committee believes that such a change would be in the best interests of our Company and our stockholders.</w:t>
      </w:r>
    </w:p>
    <w:p>
      <w:pPr>
        <w:spacing w:after="0" w:line="14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333333"/>
        </w:rPr>
        <w:t>Approval of an Amendment to Our 2011 Plan to Increase the Number of Shares of Common Stock Available for Issuance Thereunder by 17,400,000 Shares</w:t>
      </w:r>
    </w:p>
    <w:p>
      <w:pPr>
        <w:spacing w:after="0" w:line="87"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333333"/>
        </w:rPr>
        <w:t>The affirmative “FOR” vote of a majority of the voting power of the shares present or represented by proxy at the Annual Meeting and entitled to vote on the proposal is required to approve an amendment to our 2011 Plan to increase the number of shares of common stock available for issuance thereunder by 17,400,000 shares.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5" w:lineRule="exact"/>
        <w:rPr>
          <w:sz w:val="20"/>
          <w:szCs w:val="20"/>
          <w:color w:val="auto"/>
        </w:rPr>
      </w:pPr>
    </w:p>
    <w:p>
      <w:pPr>
        <w:ind w:left="3020"/>
        <w:spacing w:after="0"/>
        <w:tabs>
          <w:tab w:leader="none" w:pos="4640" w:val="left"/>
          <w:tab w:leader="none" w:pos="50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22. Interest of Executive Officers and Directors</w:t>
      </w:r>
    </w:p>
    <w:p>
      <w:pPr>
        <w:spacing w:after="0" w:line="13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333333"/>
        </w:rPr>
        <w:t>Our executive officers and directors have an interest in the approval of the amendment to our 2011 Plan by our stockholders because they would be eligible to receive awards under such plan. None of our executive officers or directors has any substantial interest in any other matter to be acted upon, other than our directors, with respect to the election to office of the directors so nominated.</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23. What happens if additional matters are presented at the Annual Meeting?</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333333"/>
        </w:rPr>
        <w:t>Other than the items of business described in this proxy statement, we are not aware of any other business to be acted upon at the Annual Meeting. If you grant a proxy, the persons named as proxy holders will have the discretion to vote on such other matters as may properly come before the meeting or any adjournments or postponements thereof, including, without limitation, procedural and other matters related to conduct of the meeting (such as an adjournment to later time and place) and the election of a substitute or alternate nominee if any nominee named herein is unwilling or unable to, or for good cause will not, serve.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24. Who will count the votes?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333333"/>
        </w:rPr>
        <w:t>A representative of American Election Services will tabulate the votes.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25. Who will bear the cost of soliciting votes for the Annual Meeting?</w:t>
      </w:r>
    </w:p>
    <w:p>
      <w:pPr>
        <w:spacing w:after="0" w:line="15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33333"/>
        </w:rPr>
        <w:t>We will pay the entire cost of preparing, assembling, printing, mailing, and distributing these proxy materials and soliciting votes. In addition to the mailing of these proxy materials, the solicitation of proxies or votes may be made at the Annual Meeting,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 We have hired Alliance Advisors to act as our proxy solicitor in connection with the proposals to be acted upon at the Annual Meeting. We expect to pay Alliance Advisors a fee that is not expected to exceed $22,000 plus approved reimbursement of reasonable out-of-pocket expenses, and Alliance Advisors partners will, among other things, provide advice regarding proxy solicitation issues and solicit proxies from our stockholders on our behalf in connection with the Annual Meeting. Proxy solicitations will be made primarily through the mail, but may be supplemented by telephone, facsimile, Internet, or personal solicitation by Alliance Advisors.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26. Where can I find the voting results of the Annual Meeting?</w:t>
      </w:r>
    </w:p>
    <w:p>
      <w:pPr>
        <w:spacing w:after="0" w:line="153"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333333"/>
        </w:rPr>
        <w:t>We will announce preliminary voting results at the Annual Meeting. We will also disclose voting results on a Current Report on Form 8-K (a “Form 8-K”) filed with the SEC within four business days after the Annual Meeting. If final voting results are not available to us in time to file a Form 8-K within four business days after the Annual Meeting, we will file a Form 8-K to publish preliminary results and, within four business days after final results are known, file an additional Form 8-K to publish the final results.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27. What is “householding” and how does it affect me?</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6"/>
          <w:szCs w:val="16"/>
          <w:color w:val="333333"/>
        </w:rPr>
        <w:t>We have adopted a procedure approved by the SEC called “householding.” Under this procedure, stockholders of record who have the same address and last name will receive only one copy of the proxy materials unless one or more of these stockholders notifies us that they wish to receive individual copies. Stockholders who participate in householding will continue to be able to request and receive separate proxy materials. This procedure will reduce our printing costs and postage fees.</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333333"/>
        </w:rPr>
        <w:t>If you are eligible for householding but you and other stockholders of record with whom you share an address received multiple copies of the proxy materials, or if you hold stock in more than one account, and, in either case, you wish to receive only a single copy of the proxy materials for your household, please contact our mailing agent, Broadridge, either by calling (800) 579-1639, via the Internet at http://www.proxyvote.com, or via email at sendmaterial@proxyvote.com.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3" w:lineRule="exact"/>
        <w:rPr>
          <w:sz w:val="20"/>
          <w:szCs w:val="20"/>
          <w:color w:val="auto"/>
        </w:rPr>
      </w:pPr>
    </w:p>
    <w:p>
      <w:pPr>
        <w:ind w:left="3020"/>
        <w:spacing w:after="0"/>
        <w:tabs>
          <w:tab w:leader="none" w:pos="4640" w:val="left"/>
          <w:tab w:leader="none" w:pos="50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333333"/>
        </w:rPr>
        <w:t>If you participate in householding and wish to receive a separate copy of the proxy materials, or if you do not wish to continue to participate in householding and prefer to receive separate copies in the future, please contact Broadridge as indicated above.</w:t>
      </w:r>
    </w:p>
    <w:p>
      <w:pPr>
        <w:spacing w:after="0" w:line="10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333333"/>
        </w:rPr>
        <w:t>Upon request, we will promptly deliver a separate copy of the proxy materials to any stockholder at a shared address to which we delivered a single copy of any of these documents.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333333"/>
        </w:rPr>
        <w:t>Beneficial owners can request information about householding from their broker, banks, trustee, or other nominee.</w:t>
      </w:r>
    </w:p>
    <w:p>
      <w:pPr>
        <w:spacing w:after="0" w:line="274" w:lineRule="exact"/>
        <w:rPr>
          <w:sz w:val="20"/>
          <w:szCs w:val="20"/>
          <w:color w:val="auto"/>
        </w:rPr>
      </w:pPr>
    </w:p>
    <w:p>
      <w:pPr>
        <w:ind w:left="360" w:right="880" w:hanging="354"/>
        <w:spacing w:after="0" w:line="272" w:lineRule="auto"/>
        <w:tabs>
          <w:tab w:leader="none" w:pos="360" w:val="left"/>
        </w:tabs>
        <w:numPr>
          <w:ilvl w:val="0"/>
          <w:numId w:val="11"/>
        </w:numPr>
        <w:rPr>
          <w:rFonts w:ascii="Arial" w:cs="Arial" w:eastAsia="Arial" w:hAnsi="Arial"/>
          <w:sz w:val="22"/>
          <w:szCs w:val="22"/>
          <w:b w:val="1"/>
          <w:bCs w:val="1"/>
          <w:color w:val="24356E"/>
        </w:rPr>
      </w:pPr>
      <w:r>
        <w:rPr>
          <w:rFonts w:ascii="Arial" w:cs="Arial" w:eastAsia="Arial" w:hAnsi="Arial"/>
          <w:sz w:val="22"/>
          <w:szCs w:val="22"/>
          <w:b w:val="1"/>
          <w:bCs w:val="1"/>
          <w:color w:val="24356E"/>
        </w:rPr>
        <w:t>Can I opt for electronic delivery of future stockholder communications from the Company?</w:t>
      </w:r>
    </w:p>
    <w:p>
      <w:pPr>
        <w:spacing w:after="0" w:line="7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333333"/>
        </w:rPr>
        <w:t>Most stockholders can elect to view or receive copies of future proxy materials over the Internet instead of receiving paper copies in the mail. You can choose this option and save us the cost of producing and mailing these documents by contacting Broadridge, either by calling (800) 579-1639, via the Internet at http://www.proxyvote.com, or via email at sendmaterial@proxyvote.com.</w:t>
      </w:r>
    </w:p>
    <w:p>
      <w:pPr>
        <w:spacing w:after="0" w:line="224" w:lineRule="exact"/>
        <w:rPr>
          <w:sz w:val="20"/>
          <w:szCs w:val="20"/>
          <w:color w:val="auto"/>
        </w:rPr>
      </w:pPr>
    </w:p>
    <w:p>
      <w:pPr>
        <w:ind w:left="360" w:right="40" w:hanging="354"/>
        <w:spacing w:after="0" w:line="272" w:lineRule="auto"/>
        <w:tabs>
          <w:tab w:leader="none" w:pos="360" w:val="left"/>
        </w:tabs>
        <w:numPr>
          <w:ilvl w:val="0"/>
          <w:numId w:val="12"/>
        </w:numPr>
        <w:rPr>
          <w:rFonts w:ascii="Arial" w:cs="Arial" w:eastAsia="Arial" w:hAnsi="Arial"/>
          <w:sz w:val="22"/>
          <w:szCs w:val="22"/>
          <w:b w:val="1"/>
          <w:bCs w:val="1"/>
          <w:color w:val="24356E"/>
        </w:rPr>
      </w:pPr>
      <w:r>
        <w:rPr>
          <w:rFonts w:ascii="Arial" w:cs="Arial" w:eastAsia="Arial" w:hAnsi="Arial"/>
          <w:sz w:val="22"/>
          <w:szCs w:val="22"/>
          <w:b w:val="1"/>
          <w:bCs w:val="1"/>
          <w:color w:val="24356E"/>
        </w:rPr>
        <w:t>What is the deadline to propose actions for consideration at next year’s annual meeting of stockholders or to nominate individuals to serve as directors?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Proposals for Inclusion in our Proxy Statement</w:t>
      </w:r>
    </w:p>
    <w:p>
      <w:pPr>
        <w:spacing w:after="0" w:line="165" w:lineRule="exact"/>
        <w:rPr>
          <w:sz w:val="20"/>
          <w:szCs w:val="20"/>
          <w:color w:val="auto"/>
        </w:rPr>
      </w:pPr>
    </w:p>
    <w:p>
      <w:pPr>
        <w:spacing w:after="0" w:line="250" w:lineRule="auto"/>
        <w:rPr>
          <w:sz w:val="20"/>
          <w:szCs w:val="20"/>
          <w:color w:val="auto"/>
        </w:rPr>
      </w:pPr>
      <w:r>
        <w:rPr>
          <w:rFonts w:ascii="Arial" w:cs="Arial" w:eastAsia="Arial" w:hAnsi="Arial"/>
          <w:sz w:val="16"/>
          <w:szCs w:val="16"/>
          <w:color w:val="333333"/>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(the “2026 Annual Meeting”), our Corporate Secretary must receive the written proposal at our principal executive offices not later than January 5, 2026, the date that is 120 calendar days before the date that is one year after the date of our proxy statement released to stockholders in connection with the Annual Meeting; </w:t>
      </w:r>
      <w:r>
        <w:rPr>
          <w:rFonts w:ascii="Arial" w:cs="Arial" w:eastAsia="Arial" w:hAnsi="Arial"/>
          <w:sz w:val="16"/>
          <w:szCs w:val="16"/>
          <w:i w:val="1"/>
          <w:iCs w:val="1"/>
          <w:color w:val="333333"/>
        </w:rPr>
        <w:t>provided</w:t>
      </w:r>
      <w:r>
        <w:rPr>
          <w:rFonts w:ascii="Arial" w:cs="Arial" w:eastAsia="Arial" w:hAnsi="Arial"/>
          <w:sz w:val="16"/>
          <w:szCs w:val="16"/>
          <w:color w:val="333333"/>
        </w:rPr>
        <w:t xml:space="preserve">, </w:t>
      </w:r>
      <w:r>
        <w:rPr>
          <w:rFonts w:ascii="Arial" w:cs="Arial" w:eastAsia="Arial" w:hAnsi="Arial"/>
          <w:sz w:val="16"/>
          <w:szCs w:val="16"/>
          <w:i w:val="1"/>
          <w:iCs w:val="1"/>
          <w:color w:val="333333"/>
        </w:rPr>
        <w:t>however</w:t>
      </w:r>
      <w:r>
        <w:rPr>
          <w:rFonts w:ascii="Arial" w:cs="Arial" w:eastAsia="Arial" w:hAnsi="Arial"/>
          <w:sz w:val="16"/>
          <w:szCs w:val="16"/>
          <w:color w:val="333333"/>
        </w:rPr>
        <w:t>, that in the event that we hold our 2026 Annual Meeting more than 30 days before or after the one-year anniversary date of the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333333"/>
        </w:rPr>
        <w:t>Standard BioTools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333333"/>
        </w:rPr>
        <w:t>Attn: Corporate Secretary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333333"/>
        </w:rPr>
        <w:t>2 Tower Place, Suite 2000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333333"/>
        </w:rPr>
        <w:t>South San Francisco, California 94080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Other Proposals, Including Director Nominations, Not for Inclusion in our Proxy Statement</w:t>
      </w:r>
    </w:p>
    <w:p>
      <w:pPr>
        <w:spacing w:after="0" w:line="16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33333"/>
        </w:rPr>
        <w:t>Our amended and restated bylaws (our “bylaws”) also establish an advance notice procedure for stockholders who wish to present a proposal, including director nominations,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 (iii) properly brought before the meeting by a stockholder of record entitled to vote at the annual meeting who has delivered timely written notice to our Corporate Secretary, which notice must contain the information specified in our bylaws. To be timely under our bylaws for our 2026 Annual Meeting, our Corporate Secretary must receive the written notice at our principal executive offices not earlier than the date that is 75 days before (February 19, 2026), or later than the date is that is 45 days before (March 21, 2026), the one-year anniversary of the date on which the Company first mailed its proxy materials or a notice of availability of proxy materials (whichever is earlier)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59664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95" w:lineRule="exact"/>
        <w:rPr>
          <w:sz w:val="20"/>
          <w:szCs w:val="20"/>
          <w:color w:val="auto"/>
        </w:rPr>
      </w:pPr>
    </w:p>
    <w:p>
      <w:pPr>
        <w:ind w:left="3020"/>
        <w:spacing w:after="0"/>
        <w:tabs>
          <w:tab w:leader="none" w:pos="4640" w:val="left"/>
          <w:tab w:leader="none" w:pos="50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333333"/>
        </w:rPr>
        <w:t>In the event that we hold our 2026 Annual Meeting more than 30 days before or more than 60 days after the one-year anniversary date of the Annual Meeting, then notice of a stockholder proposal that is not intended to be included in our proxy statement must</w:t>
      </w:r>
    </w:p>
    <w:p>
      <w:pPr>
        <w:ind w:right="200"/>
        <w:spacing w:after="0" w:line="214" w:lineRule="auto"/>
        <w:rPr>
          <w:sz w:val="20"/>
          <w:szCs w:val="20"/>
          <w:color w:val="auto"/>
        </w:rPr>
      </w:pPr>
      <w:r>
        <w:rPr>
          <w:rFonts w:ascii="Arial" w:cs="Arial" w:eastAsia="Arial" w:hAnsi="Arial"/>
          <w:sz w:val="16"/>
          <w:szCs w:val="16"/>
          <w:color w:val="333333"/>
        </w:rPr>
        <w:t>be received no earlier than the close of business on the 120</w:t>
      </w:r>
      <w:r>
        <w:rPr>
          <w:rFonts w:ascii="Arial" w:cs="Arial" w:eastAsia="Arial" w:hAnsi="Arial"/>
          <w:sz w:val="26"/>
          <w:szCs w:val="26"/>
          <w:color w:val="333333"/>
          <w:vertAlign w:val="superscript"/>
        </w:rPr>
        <w:t>th</w:t>
      </w:r>
      <w:r>
        <w:rPr>
          <w:rFonts w:ascii="Arial" w:cs="Arial" w:eastAsia="Arial" w:hAnsi="Arial"/>
          <w:sz w:val="16"/>
          <w:szCs w:val="16"/>
          <w:color w:val="333333"/>
        </w:rPr>
        <w:t xml:space="preserve"> day before the 2026 Annual Meeting and no later than the close of business on the later of the following two dates:</w:t>
      </w:r>
    </w:p>
    <w:p>
      <w:pPr>
        <w:spacing w:after="0" w:line="135" w:lineRule="exact"/>
        <w:rPr>
          <w:sz w:val="20"/>
          <w:szCs w:val="20"/>
          <w:color w:val="auto"/>
        </w:rPr>
      </w:pPr>
    </w:p>
    <w:p>
      <w:pPr>
        <w:ind w:left="720" w:hanging="354"/>
        <w:spacing w:after="0"/>
        <w:tabs>
          <w:tab w:leader="none" w:pos="720" w:val="left"/>
        </w:tabs>
        <w:numPr>
          <w:ilvl w:val="0"/>
          <w:numId w:val="13"/>
        </w:numPr>
        <w:rPr>
          <w:rFonts w:ascii="Arial" w:cs="Arial" w:eastAsia="Arial" w:hAnsi="Arial"/>
          <w:sz w:val="32"/>
          <w:szCs w:val="32"/>
          <w:color w:val="333333"/>
          <w:vertAlign w:val="superscript"/>
        </w:rPr>
      </w:pPr>
      <w:r>
        <w:rPr>
          <w:rFonts w:ascii="Arial" w:cs="Arial" w:eastAsia="Arial" w:hAnsi="Arial"/>
          <w:sz w:val="16"/>
          <w:szCs w:val="16"/>
          <w:color w:val="333333"/>
        </w:rPr>
        <w:t>the 90</w:t>
      </w:r>
      <w:r>
        <w:rPr>
          <w:rFonts w:ascii="Arial" w:cs="Arial" w:eastAsia="Arial" w:hAnsi="Arial"/>
          <w:sz w:val="26"/>
          <w:szCs w:val="26"/>
          <w:color w:val="333333"/>
          <w:vertAlign w:val="superscript"/>
        </w:rPr>
        <w:t>th</w:t>
      </w:r>
      <w:r>
        <w:rPr>
          <w:rFonts w:ascii="Arial" w:cs="Arial" w:eastAsia="Arial" w:hAnsi="Arial"/>
          <w:sz w:val="16"/>
          <w:szCs w:val="16"/>
          <w:color w:val="333333"/>
        </w:rPr>
        <w:t xml:space="preserve"> day prior to the 2026 Annual Meeting, or</w:t>
      </w:r>
    </w:p>
    <w:p>
      <w:pPr>
        <w:ind w:left="720" w:hanging="354"/>
        <w:spacing w:after="0" w:line="198" w:lineRule="auto"/>
        <w:tabs>
          <w:tab w:leader="none" w:pos="720" w:val="left"/>
        </w:tabs>
        <w:numPr>
          <w:ilvl w:val="0"/>
          <w:numId w:val="13"/>
        </w:numPr>
        <w:rPr>
          <w:rFonts w:ascii="Arial" w:cs="Arial" w:eastAsia="Arial" w:hAnsi="Arial"/>
          <w:sz w:val="32"/>
          <w:szCs w:val="32"/>
          <w:color w:val="333333"/>
          <w:vertAlign w:val="superscript"/>
        </w:rPr>
      </w:pPr>
      <w:r>
        <w:rPr>
          <w:rFonts w:ascii="Arial" w:cs="Arial" w:eastAsia="Arial" w:hAnsi="Arial"/>
          <w:sz w:val="16"/>
          <w:szCs w:val="16"/>
          <w:color w:val="333333"/>
        </w:rPr>
        <w:t>the 10</w:t>
      </w:r>
      <w:r>
        <w:rPr>
          <w:rFonts w:ascii="Arial" w:cs="Arial" w:eastAsia="Arial" w:hAnsi="Arial"/>
          <w:sz w:val="26"/>
          <w:szCs w:val="26"/>
          <w:color w:val="333333"/>
          <w:vertAlign w:val="superscript"/>
        </w:rPr>
        <w:t>th</w:t>
      </w:r>
      <w:r>
        <w:rPr>
          <w:rFonts w:ascii="Arial" w:cs="Arial" w:eastAsia="Arial" w:hAnsi="Arial"/>
          <w:sz w:val="16"/>
          <w:szCs w:val="16"/>
          <w:color w:val="333333"/>
        </w:rPr>
        <w:t xml:space="preserve"> day following the day on which public announcement of the date of such meeting is first made.</w:t>
      </w:r>
    </w:p>
    <w:p>
      <w:pPr>
        <w:spacing w:after="0" w:line="47"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333333"/>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33333"/>
        </w:rPr>
        <w:t>In addition to satisfying the requirements under the advance notice procedures of our bylaws described above, to comply with the universal proxy rules under the Exchange Act, any stockholder who intends to solicit proxies in support of director nominees other than the Company’s nominees must provide written notice that sets forth the information required by Rule 14a-19 under the Exchange Act no later than April 19, 2026 and otherwise comply with the requirements of Rule 14a-19.</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Submitting Recommendations for Director Candidates to our Nominating and Corporate Governance Committee</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6"/>
          <w:szCs w:val="16"/>
          <w:color w:val="333333"/>
        </w:rPr>
        <w:t>In addition to the above, a stockholder may make a recommendation to our Nominating and Corporate Governance Committee relating to director candidates. It is the policy of our Nominating and Corporate Governance Committee of the Board (the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For additional information regarding stockholder recommendations for director candidates, please see the section entitled “</w:t>
      </w:r>
      <w:r>
        <w:rPr>
          <w:rFonts w:ascii="Arial" w:cs="Arial" w:eastAsia="Arial" w:hAnsi="Arial"/>
          <w:sz w:val="16"/>
          <w:szCs w:val="16"/>
          <w:i w:val="1"/>
          <w:iCs w:val="1"/>
          <w:color w:val="000000"/>
        </w:rPr>
        <w:t>Corporate Governance and Board of Directors — Process for Recommending</w:t>
      </w:r>
      <w:r>
        <w:rPr>
          <w:rFonts w:ascii="Arial" w:cs="Arial" w:eastAsia="Arial" w:hAnsi="Arial"/>
          <w:sz w:val="16"/>
          <w:szCs w:val="16"/>
          <w:color w:val="333333"/>
        </w:rPr>
        <w:t xml:space="preserve"> </w:t>
      </w:r>
      <w:r>
        <w:rPr>
          <w:rFonts w:ascii="Arial" w:cs="Arial" w:eastAsia="Arial" w:hAnsi="Arial"/>
          <w:sz w:val="16"/>
          <w:szCs w:val="16"/>
          <w:i w:val="1"/>
          <w:iCs w:val="1"/>
          <w:color w:val="000000"/>
        </w:rPr>
        <w:t>Candidates to the Board of Directors</w:t>
      </w:r>
      <w:r>
        <w:rPr>
          <w:rFonts w:ascii="Arial" w:cs="Arial" w:eastAsia="Arial" w:hAnsi="Arial"/>
          <w:sz w:val="16"/>
          <w:szCs w:val="16"/>
          <w:color w:val="333333"/>
        </w:rPr>
        <w: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Availability of Bylaws</w:t>
      </w:r>
    </w:p>
    <w:p>
      <w:pPr>
        <w:spacing w:after="0" w:line="165"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333333"/>
        </w:rPr>
        <w:t>Our bylaws are available on our website at https://investors.StandardBio.com/corporate-governance/governance-overview. You may also contact our Corporate Secretary at our principal executive offices for a copy of the relevant bylaw provisions regarding the requirements for making stockholder proposals and nominating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Management and Corporate Governance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Corporate Governance Principles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333333"/>
        </w:rPr>
        <w:t>Our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Chairperson, and matters relating to director independence and performance assessments. Our corporate governance principles can be found on our website at https://investors.StandardBio.com by clicking on Governance — Governance Overview.</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Role and Composition of the Board</w:t>
      </w:r>
    </w:p>
    <w:p>
      <w:pPr>
        <w:spacing w:after="0" w:line="139"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333333"/>
        </w:rPr>
        <w:t>As identified in our corporate governance principles, the role of our Board is to oversee the performance of our CEO and other senior management. Our Board is responsible for hiring, overseeing, and evaluating management, while management is responsible for running our day-to-day operations.</w:t>
      </w:r>
    </w:p>
    <w:p>
      <w:pPr>
        <w:spacing w:after="0" w:line="11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333333"/>
        </w:rPr>
        <w:t>Our Board currently has seven members and is divided into three staggered classes of directors. The Board is nominating two nominees for election as Class III Directors.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333333"/>
        </w:rPr>
        <w:t>The following table sets forth the names, ages as of April 15, 2025, and certain other information for each of our current directors: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200" w:type="dxa"/>
            <w:vAlign w:val="bottom"/>
            <w:shd w:val="clear" w:color="auto" w:fill="24356E"/>
          </w:tcPr>
          <w:p>
            <w:pPr>
              <w:spacing w:after="0"/>
              <w:rPr>
                <w:sz w:val="24"/>
                <w:szCs w:val="24"/>
                <w:color w:val="auto"/>
              </w:rPr>
            </w:pPr>
          </w:p>
        </w:tc>
        <w:tc>
          <w:tcPr>
            <w:tcW w:w="800" w:type="dxa"/>
            <w:vAlign w:val="bottom"/>
            <w:shd w:val="clear" w:color="auto" w:fill="24356E"/>
          </w:tcPr>
          <w:p>
            <w:pPr>
              <w:spacing w:after="0"/>
              <w:rPr>
                <w:sz w:val="24"/>
                <w:szCs w:val="24"/>
                <w:color w:val="auto"/>
              </w:rPr>
            </w:pPr>
          </w:p>
        </w:tc>
        <w:tc>
          <w:tcPr>
            <w:tcW w:w="520" w:type="dxa"/>
            <w:vAlign w:val="bottom"/>
            <w:shd w:val="clear" w:color="auto" w:fill="24356E"/>
          </w:tcPr>
          <w:p>
            <w:pPr>
              <w:spacing w:after="0"/>
              <w:rPr>
                <w:sz w:val="24"/>
                <w:szCs w:val="24"/>
                <w:color w:val="auto"/>
              </w:rPr>
            </w:pPr>
          </w:p>
        </w:tc>
        <w:tc>
          <w:tcPr>
            <w:tcW w:w="3300" w:type="dxa"/>
            <w:vAlign w:val="bottom"/>
            <w:shd w:val="clear" w:color="auto" w:fill="24356E"/>
          </w:tcPr>
          <w:p>
            <w:pPr>
              <w:spacing w:after="0"/>
              <w:rPr>
                <w:sz w:val="24"/>
                <w:szCs w:val="24"/>
                <w:color w:val="auto"/>
              </w:rPr>
            </w:pPr>
          </w:p>
        </w:tc>
        <w:tc>
          <w:tcPr>
            <w:tcW w:w="800" w:type="dxa"/>
            <w:vAlign w:val="bottom"/>
            <w:shd w:val="clear" w:color="auto" w:fill="24356E"/>
          </w:tcPr>
          <w:p>
            <w:pPr>
              <w:spacing w:after="0"/>
              <w:rPr>
                <w:sz w:val="24"/>
                <w:szCs w:val="24"/>
                <w:color w:val="auto"/>
              </w:rPr>
            </w:pPr>
          </w:p>
        </w:tc>
        <w:tc>
          <w:tcPr>
            <w:tcW w:w="760" w:type="dxa"/>
            <w:vAlign w:val="bottom"/>
            <w:shd w:val="clear" w:color="auto" w:fill="24356E"/>
          </w:tcPr>
          <w:p>
            <w:pPr>
              <w:spacing w:after="0"/>
              <w:rPr>
                <w:sz w:val="24"/>
                <w:szCs w:val="24"/>
                <w:color w:val="auto"/>
              </w:rPr>
            </w:pPr>
          </w:p>
        </w:tc>
        <w:tc>
          <w:tcPr>
            <w:tcW w:w="102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Expiration</w:t>
            </w:r>
          </w:p>
        </w:tc>
      </w:tr>
      <w:tr>
        <w:trPr>
          <w:trHeight w:val="162"/>
        </w:trPr>
        <w:tc>
          <w:tcPr>
            <w:tcW w:w="2200" w:type="dxa"/>
            <w:vAlign w:val="bottom"/>
            <w:shd w:val="clear" w:color="auto" w:fill="24356E"/>
          </w:tcPr>
          <w:p>
            <w:pPr>
              <w:spacing w:after="0"/>
              <w:rPr>
                <w:sz w:val="14"/>
                <w:szCs w:val="14"/>
                <w:color w:val="auto"/>
              </w:rPr>
            </w:pPr>
          </w:p>
        </w:tc>
        <w:tc>
          <w:tcPr>
            <w:tcW w:w="800" w:type="dxa"/>
            <w:vAlign w:val="bottom"/>
            <w:shd w:val="clear" w:color="auto" w:fill="24356E"/>
          </w:tcPr>
          <w:p>
            <w:pPr>
              <w:spacing w:after="0"/>
              <w:rPr>
                <w:sz w:val="14"/>
                <w:szCs w:val="14"/>
                <w:color w:val="auto"/>
              </w:rPr>
            </w:pPr>
          </w:p>
        </w:tc>
        <w:tc>
          <w:tcPr>
            <w:tcW w:w="520" w:type="dxa"/>
            <w:vAlign w:val="bottom"/>
            <w:shd w:val="clear" w:color="auto" w:fill="24356E"/>
          </w:tcPr>
          <w:p>
            <w:pPr>
              <w:spacing w:after="0"/>
              <w:rPr>
                <w:sz w:val="14"/>
                <w:szCs w:val="14"/>
                <w:color w:val="auto"/>
              </w:rPr>
            </w:pPr>
          </w:p>
        </w:tc>
        <w:tc>
          <w:tcPr>
            <w:tcW w:w="3300" w:type="dxa"/>
            <w:vAlign w:val="bottom"/>
            <w:shd w:val="clear" w:color="auto" w:fill="24356E"/>
          </w:tcPr>
          <w:p>
            <w:pPr>
              <w:spacing w:after="0"/>
              <w:rPr>
                <w:sz w:val="14"/>
                <w:szCs w:val="14"/>
                <w:color w:val="auto"/>
              </w:rPr>
            </w:pPr>
          </w:p>
        </w:tc>
        <w:tc>
          <w:tcPr>
            <w:tcW w:w="800" w:type="dxa"/>
            <w:vAlign w:val="bottom"/>
            <w:shd w:val="clear" w:color="auto" w:fill="24356E"/>
          </w:tcPr>
          <w:p>
            <w:pPr>
              <w:spacing w:after="0"/>
              <w:rPr>
                <w:sz w:val="14"/>
                <w:szCs w:val="14"/>
                <w:color w:val="auto"/>
              </w:rPr>
            </w:pPr>
          </w:p>
        </w:tc>
        <w:tc>
          <w:tcPr>
            <w:tcW w:w="76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Current</w:t>
            </w:r>
          </w:p>
        </w:tc>
        <w:tc>
          <w:tcPr>
            <w:tcW w:w="1020" w:type="dxa"/>
            <w:vAlign w:val="bottom"/>
            <w:shd w:val="clear" w:color="auto" w:fill="24356E"/>
          </w:tcPr>
          <w:p>
            <w:pPr>
              <w:jc w:val="center"/>
              <w:spacing w:after="0"/>
              <w:rPr>
                <w:sz w:val="20"/>
                <w:szCs w:val="20"/>
                <w:color w:val="auto"/>
              </w:rPr>
            </w:pPr>
            <w:r>
              <w:rPr>
                <w:rFonts w:ascii="Arial" w:cs="Arial" w:eastAsia="Arial" w:hAnsi="Arial"/>
                <w:sz w:val="14"/>
                <w:szCs w:val="14"/>
                <w:color w:val="FFFFFF"/>
                <w:w w:val="99"/>
              </w:rPr>
              <w:t>of Term</w:t>
            </w:r>
          </w:p>
        </w:tc>
      </w:tr>
      <w:tr>
        <w:trPr>
          <w:trHeight w:val="162"/>
        </w:trPr>
        <w:tc>
          <w:tcPr>
            <w:tcW w:w="2200" w:type="dxa"/>
            <w:vAlign w:val="bottom"/>
            <w:shd w:val="clear" w:color="auto" w:fill="24356E"/>
          </w:tcPr>
          <w:p>
            <w:pPr>
              <w:spacing w:after="0"/>
              <w:rPr>
                <w:sz w:val="14"/>
                <w:szCs w:val="14"/>
                <w:color w:val="auto"/>
              </w:rPr>
            </w:pPr>
          </w:p>
        </w:tc>
        <w:tc>
          <w:tcPr>
            <w:tcW w:w="800" w:type="dxa"/>
            <w:vAlign w:val="bottom"/>
            <w:shd w:val="clear" w:color="auto" w:fill="24356E"/>
          </w:tcPr>
          <w:p>
            <w:pPr>
              <w:spacing w:after="0"/>
              <w:rPr>
                <w:sz w:val="14"/>
                <w:szCs w:val="14"/>
                <w:color w:val="auto"/>
              </w:rPr>
            </w:pPr>
          </w:p>
        </w:tc>
        <w:tc>
          <w:tcPr>
            <w:tcW w:w="520" w:type="dxa"/>
            <w:vAlign w:val="bottom"/>
            <w:shd w:val="clear" w:color="auto" w:fill="24356E"/>
          </w:tcPr>
          <w:p>
            <w:pPr>
              <w:spacing w:after="0"/>
              <w:rPr>
                <w:sz w:val="14"/>
                <w:szCs w:val="14"/>
                <w:color w:val="auto"/>
              </w:rPr>
            </w:pPr>
          </w:p>
        </w:tc>
        <w:tc>
          <w:tcPr>
            <w:tcW w:w="3300" w:type="dxa"/>
            <w:vAlign w:val="bottom"/>
            <w:shd w:val="clear" w:color="auto" w:fill="24356E"/>
          </w:tcPr>
          <w:p>
            <w:pPr>
              <w:spacing w:after="0"/>
              <w:rPr>
                <w:sz w:val="14"/>
                <w:szCs w:val="14"/>
                <w:color w:val="auto"/>
              </w:rPr>
            </w:pPr>
          </w:p>
        </w:tc>
        <w:tc>
          <w:tcPr>
            <w:tcW w:w="80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Director</w:t>
            </w:r>
          </w:p>
        </w:tc>
        <w:tc>
          <w:tcPr>
            <w:tcW w:w="760" w:type="dxa"/>
            <w:vAlign w:val="bottom"/>
            <w:shd w:val="clear" w:color="auto" w:fill="24356E"/>
          </w:tcPr>
          <w:p>
            <w:pPr>
              <w:jc w:val="center"/>
              <w:spacing w:after="0"/>
              <w:rPr>
                <w:sz w:val="20"/>
                <w:szCs w:val="20"/>
                <w:color w:val="auto"/>
              </w:rPr>
            </w:pPr>
            <w:r>
              <w:rPr>
                <w:rFonts w:ascii="Arial" w:cs="Arial" w:eastAsia="Arial" w:hAnsi="Arial"/>
                <w:sz w:val="14"/>
                <w:szCs w:val="14"/>
                <w:color w:val="FFFFFF"/>
                <w:w w:val="97"/>
              </w:rPr>
              <w:t>Term</w:t>
            </w:r>
          </w:p>
        </w:tc>
        <w:tc>
          <w:tcPr>
            <w:tcW w:w="102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For Which</w:t>
            </w:r>
          </w:p>
        </w:tc>
      </w:tr>
      <w:tr>
        <w:trPr>
          <w:trHeight w:val="190"/>
        </w:trPr>
        <w:tc>
          <w:tcPr>
            <w:tcW w:w="2200" w:type="dxa"/>
            <w:vAlign w:val="bottom"/>
            <w:shd w:val="clear" w:color="auto" w:fill="24356E"/>
          </w:tcPr>
          <w:p>
            <w:pPr>
              <w:ind w:left="280"/>
              <w:spacing w:after="0"/>
              <w:rPr>
                <w:sz w:val="20"/>
                <w:szCs w:val="20"/>
                <w:color w:val="auto"/>
              </w:rPr>
            </w:pPr>
            <w:r>
              <w:rPr>
                <w:rFonts w:ascii="Arial" w:cs="Arial" w:eastAsia="Arial" w:hAnsi="Arial"/>
                <w:sz w:val="14"/>
                <w:szCs w:val="14"/>
                <w:color w:val="FFFFFF"/>
              </w:rPr>
              <w:t>Name</w:t>
            </w:r>
          </w:p>
        </w:tc>
        <w:tc>
          <w:tcPr>
            <w:tcW w:w="800" w:type="dxa"/>
            <w:vAlign w:val="bottom"/>
            <w:shd w:val="clear" w:color="auto" w:fill="24356E"/>
          </w:tcPr>
          <w:p>
            <w:pPr>
              <w:jc w:val="center"/>
              <w:ind w:left="88"/>
              <w:spacing w:after="0"/>
              <w:rPr>
                <w:sz w:val="20"/>
                <w:szCs w:val="20"/>
                <w:color w:val="auto"/>
              </w:rPr>
            </w:pPr>
            <w:r>
              <w:rPr>
                <w:rFonts w:ascii="Arial" w:cs="Arial" w:eastAsia="Arial" w:hAnsi="Arial"/>
                <w:sz w:val="14"/>
                <w:szCs w:val="14"/>
                <w:color w:val="FFFFFF"/>
              </w:rPr>
              <w:t>Class</w:t>
            </w:r>
          </w:p>
        </w:tc>
        <w:tc>
          <w:tcPr>
            <w:tcW w:w="52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Age</w:t>
            </w:r>
          </w:p>
        </w:tc>
        <w:tc>
          <w:tcPr>
            <w:tcW w:w="3300" w:type="dxa"/>
            <w:vAlign w:val="bottom"/>
            <w:shd w:val="clear" w:color="auto" w:fill="24356E"/>
          </w:tcPr>
          <w:p>
            <w:pPr>
              <w:ind w:left="140"/>
              <w:spacing w:after="0"/>
              <w:rPr>
                <w:sz w:val="20"/>
                <w:szCs w:val="20"/>
                <w:color w:val="auto"/>
              </w:rPr>
            </w:pPr>
            <w:r>
              <w:rPr>
                <w:rFonts w:ascii="Arial" w:cs="Arial" w:eastAsia="Arial" w:hAnsi="Arial"/>
                <w:sz w:val="14"/>
                <w:szCs w:val="14"/>
                <w:color w:val="FFFFFF"/>
              </w:rPr>
              <w:t>Position</w:t>
            </w:r>
          </w:p>
        </w:tc>
        <w:tc>
          <w:tcPr>
            <w:tcW w:w="80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Since</w:t>
            </w:r>
          </w:p>
        </w:tc>
        <w:tc>
          <w:tcPr>
            <w:tcW w:w="76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Expires</w:t>
            </w:r>
          </w:p>
        </w:tc>
        <w:tc>
          <w:tcPr>
            <w:tcW w:w="102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Nominated</w:t>
            </w:r>
          </w:p>
        </w:tc>
      </w:tr>
      <w:tr>
        <w:trPr>
          <w:trHeight w:val="89"/>
        </w:trPr>
        <w:tc>
          <w:tcPr>
            <w:tcW w:w="2200" w:type="dxa"/>
            <w:vAlign w:val="bottom"/>
            <w:shd w:val="clear" w:color="auto" w:fill="24356E"/>
          </w:tcPr>
          <w:p>
            <w:pPr>
              <w:spacing w:after="0"/>
              <w:rPr>
                <w:sz w:val="7"/>
                <w:szCs w:val="7"/>
                <w:color w:val="auto"/>
              </w:rPr>
            </w:pPr>
          </w:p>
        </w:tc>
        <w:tc>
          <w:tcPr>
            <w:tcW w:w="800" w:type="dxa"/>
            <w:vAlign w:val="bottom"/>
            <w:shd w:val="clear" w:color="auto" w:fill="24356E"/>
          </w:tcPr>
          <w:p>
            <w:pPr>
              <w:spacing w:after="0"/>
              <w:rPr>
                <w:sz w:val="7"/>
                <w:szCs w:val="7"/>
                <w:color w:val="auto"/>
              </w:rPr>
            </w:pPr>
          </w:p>
        </w:tc>
        <w:tc>
          <w:tcPr>
            <w:tcW w:w="520" w:type="dxa"/>
            <w:vAlign w:val="bottom"/>
            <w:shd w:val="clear" w:color="auto" w:fill="24356E"/>
          </w:tcPr>
          <w:p>
            <w:pPr>
              <w:spacing w:after="0"/>
              <w:rPr>
                <w:sz w:val="7"/>
                <w:szCs w:val="7"/>
                <w:color w:val="auto"/>
              </w:rPr>
            </w:pPr>
          </w:p>
        </w:tc>
        <w:tc>
          <w:tcPr>
            <w:tcW w:w="3300" w:type="dxa"/>
            <w:vAlign w:val="bottom"/>
            <w:shd w:val="clear" w:color="auto" w:fill="24356E"/>
          </w:tcPr>
          <w:p>
            <w:pPr>
              <w:spacing w:after="0"/>
              <w:rPr>
                <w:sz w:val="7"/>
                <w:szCs w:val="7"/>
                <w:color w:val="auto"/>
              </w:rPr>
            </w:pPr>
          </w:p>
        </w:tc>
        <w:tc>
          <w:tcPr>
            <w:tcW w:w="800" w:type="dxa"/>
            <w:vAlign w:val="bottom"/>
            <w:shd w:val="clear" w:color="auto" w:fill="24356E"/>
          </w:tcPr>
          <w:p>
            <w:pPr>
              <w:spacing w:after="0"/>
              <w:rPr>
                <w:sz w:val="7"/>
                <w:szCs w:val="7"/>
                <w:color w:val="auto"/>
              </w:rPr>
            </w:pPr>
          </w:p>
        </w:tc>
        <w:tc>
          <w:tcPr>
            <w:tcW w:w="760" w:type="dxa"/>
            <w:vAlign w:val="bottom"/>
            <w:shd w:val="clear" w:color="auto" w:fill="24356E"/>
          </w:tcPr>
          <w:p>
            <w:pPr>
              <w:spacing w:after="0"/>
              <w:rPr>
                <w:sz w:val="7"/>
                <w:szCs w:val="7"/>
                <w:color w:val="auto"/>
              </w:rPr>
            </w:pPr>
          </w:p>
        </w:tc>
        <w:tc>
          <w:tcPr>
            <w:tcW w:w="1020" w:type="dxa"/>
            <w:vAlign w:val="bottom"/>
            <w:shd w:val="clear" w:color="auto" w:fill="24356E"/>
          </w:tcPr>
          <w:p>
            <w:pPr>
              <w:spacing w:after="0"/>
              <w:rPr>
                <w:sz w:val="7"/>
                <w:szCs w:val="7"/>
                <w:color w:val="auto"/>
              </w:rPr>
            </w:pPr>
          </w:p>
        </w:tc>
      </w:tr>
      <w:tr>
        <w:trPr>
          <w:trHeight w:val="295"/>
        </w:trPr>
        <w:tc>
          <w:tcPr>
            <w:tcW w:w="2200" w:type="dxa"/>
            <w:vAlign w:val="bottom"/>
          </w:tcPr>
          <w:p>
            <w:pPr>
              <w:ind w:left="280"/>
              <w:spacing w:after="0"/>
              <w:rPr>
                <w:sz w:val="20"/>
                <w:szCs w:val="20"/>
                <w:color w:val="auto"/>
              </w:rPr>
            </w:pPr>
            <w:r>
              <w:rPr>
                <w:rFonts w:ascii="Arial" w:cs="Arial" w:eastAsia="Arial" w:hAnsi="Arial"/>
                <w:sz w:val="14"/>
                <w:szCs w:val="14"/>
                <w:b w:val="1"/>
                <w:bCs w:val="1"/>
                <w:color w:val="auto"/>
              </w:rPr>
              <w:t>Michael Egholm, Ph.D.</w:t>
            </w:r>
          </w:p>
        </w:tc>
        <w:tc>
          <w:tcPr>
            <w:tcW w:w="800" w:type="dxa"/>
            <w:vAlign w:val="bottom"/>
          </w:tcPr>
          <w:p>
            <w:pPr>
              <w:jc w:val="center"/>
              <w:ind w:left="88"/>
              <w:spacing w:after="0"/>
              <w:rPr>
                <w:sz w:val="20"/>
                <w:szCs w:val="20"/>
                <w:color w:val="auto"/>
              </w:rPr>
            </w:pPr>
            <w:r>
              <w:rPr>
                <w:rFonts w:ascii="Arial" w:cs="Arial" w:eastAsia="Arial" w:hAnsi="Arial"/>
                <w:sz w:val="14"/>
                <w:szCs w:val="14"/>
                <w:color w:val="auto"/>
              </w:rPr>
              <w:t>I</w:t>
            </w:r>
          </w:p>
        </w:tc>
        <w:tc>
          <w:tcPr>
            <w:tcW w:w="520" w:type="dxa"/>
            <w:vAlign w:val="bottom"/>
          </w:tcPr>
          <w:p>
            <w:pPr>
              <w:jc w:val="center"/>
              <w:spacing w:after="0"/>
              <w:rPr>
                <w:sz w:val="20"/>
                <w:szCs w:val="20"/>
                <w:color w:val="auto"/>
              </w:rPr>
            </w:pPr>
            <w:r>
              <w:rPr>
                <w:rFonts w:ascii="Arial" w:cs="Arial" w:eastAsia="Arial" w:hAnsi="Arial"/>
                <w:sz w:val="14"/>
                <w:szCs w:val="14"/>
                <w:color w:val="auto"/>
              </w:rPr>
              <w:t>62</w:t>
            </w:r>
          </w:p>
        </w:tc>
        <w:tc>
          <w:tcPr>
            <w:tcW w:w="3300" w:type="dxa"/>
            <w:vAlign w:val="bottom"/>
          </w:tcPr>
          <w:p>
            <w:pPr>
              <w:ind w:left="140"/>
              <w:spacing w:after="0"/>
              <w:rPr>
                <w:sz w:val="20"/>
                <w:szCs w:val="20"/>
                <w:color w:val="auto"/>
              </w:rPr>
            </w:pPr>
            <w:r>
              <w:rPr>
                <w:rFonts w:ascii="Arial" w:cs="Arial" w:eastAsia="Arial" w:hAnsi="Arial"/>
                <w:sz w:val="14"/>
                <w:szCs w:val="14"/>
                <w:color w:val="auto"/>
              </w:rPr>
              <w:t>President, Chief Executive Officer, and Director</w:t>
            </w:r>
          </w:p>
        </w:tc>
        <w:tc>
          <w:tcPr>
            <w:tcW w:w="800" w:type="dxa"/>
            <w:vAlign w:val="bottom"/>
          </w:tcPr>
          <w:p>
            <w:pPr>
              <w:jc w:val="center"/>
              <w:spacing w:after="0"/>
              <w:rPr>
                <w:sz w:val="20"/>
                <w:szCs w:val="20"/>
                <w:color w:val="auto"/>
              </w:rPr>
            </w:pPr>
            <w:r>
              <w:rPr>
                <w:rFonts w:ascii="Arial" w:cs="Arial" w:eastAsia="Arial" w:hAnsi="Arial"/>
                <w:sz w:val="14"/>
                <w:szCs w:val="14"/>
                <w:color w:val="auto"/>
              </w:rPr>
              <w:t>2022</w:t>
            </w:r>
          </w:p>
        </w:tc>
        <w:tc>
          <w:tcPr>
            <w:tcW w:w="760" w:type="dxa"/>
            <w:vAlign w:val="bottom"/>
          </w:tcPr>
          <w:p>
            <w:pPr>
              <w:jc w:val="center"/>
              <w:spacing w:after="0"/>
              <w:rPr>
                <w:sz w:val="20"/>
                <w:szCs w:val="20"/>
                <w:color w:val="auto"/>
              </w:rPr>
            </w:pPr>
            <w:r>
              <w:rPr>
                <w:rFonts w:ascii="Arial" w:cs="Arial" w:eastAsia="Arial" w:hAnsi="Arial"/>
                <w:sz w:val="14"/>
                <w:szCs w:val="14"/>
                <w:color w:val="auto"/>
              </w:rPr>
              <w:t>2026</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83"/>
        </w:trPr>
        <w:tc>
          <w:tcPr>
            <w:tcW w:w="220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520" w:type="dxa"/>
            <w:vAlign w:val="bottom"/>
            <w:tcBorders>
              <w:bottom w:val="single" w:sz="8" w:color="666666"/>
            </w:tcBorders>
          </w:tcPr>
          <w:p>
            <w:pPr>
              <w:spacing w:after="0"/>
              <w:rPr>
                <w:sz w:val="7"/>
                <w:szCs w:val="7"/>
                <w:color w:val="auto"/>
              </w:rPr>
            </w:pPr>
          </w:p>
        </w:tc>
        <w:tc>
          <w:tcPr>
            <w:tcW w:w="330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1020" w:type="dxa"/>
            <w:vAlign w:val="bottom"/>
            <w:tcBorders>
              <w:bottom w:val="single" w:sz="8" w:color="666666"/>
            </w:tcBorders>
          </w:tcPr>
          <w:p>
            <w:pPr>
              <w:spacing w:after="0"/>
              <w:rPr>
                <w:sz w:val="7"/>
                <w:szCs w:val="7"/>
                <w:color w:val="auto"/>
              </w:rPr>
            </w:pPr>
          </w:p>
        </w:tc>
      </w:tr>
      <w:tr>
        <w:trPr>
          <w:trHeight w:val="399"/>
        </w:trPr>
        <w:tc>
          <w:tcPr>
            <w:tcW w:w="2200" w:type="dxa"/>
            <w:vAlign w:val="bottom"/>
            <w:tcBorders>
              <w:bottom w:val="single" w:sz="8" w:color="666666"/>
            </w:tcBorders>
          </w:tcPr>
          <w:p>
            <w:pPr>
              <w:ind w:left="280"/>
              <w:spacing w:after="0"/>
              <w:rPr>
                <w:sz w:val="20"/>
                <w:szCs w:val="20"/>
                <w:color w:val="auto"/>
              </w:rPr>
            </w:pPr>
            <w:r>
              <w:rPr>
                <w:rFonts w:ascii="Arial" w:cs="Arial" w:eastAsia="Arial" w:hAnsi="Arial"/>
                <w:sz w:val="14"/>
                <w:szCs w:val="14"/>
                <w:b w:val="1"/>
                <w:bCs w:val="1"/>
                <w:color w:val="auto"/>
              </w:rPr>
              <w:t>Thomas Carey</w:t>
            </w:r>
            <w:r>
              <w:rPr>
                <w:rFonts w:ascii="Arial" w:cs="Arial" w:eastAsia="Arial" w:hAnsi="Arial"/>
                <w:sz w:val="23"/>
                <w:szCs w:val="23"/>
                <w:b w:val="1"/>
                <w:bCs w:val="1"/>
                <w:color w:val="auto"/>
                <w:vertAlign w:val="superscript"/>
              </w:rPr>
              <w:t>(3)</w:t>
            </w:r>
          </w:p>
        </w:tc>
        <w:tc>
          <w:tcPr>
            <w:tcW w:w="800" w:type="dxa"/>
            <w:vAlign w:val="bottom"/>
            <w:tcBorders>
              <w:bottom w:val="single" w:sz="8" w:color="666666"/>
            </w:tcBorders>
          </w:tcPr>
          <w:p>
            <w:pPr>
              <w:jc w:val="center"/>
              <w:ind w:left="88"/>
              <w:spacing w:after="0"/>
              <w:rPr>
                <w:sz w:val="20"/>
                <w:szCs w:val="20"/>
                <w:color w:val="auto"/>
              </w:rPr>
            </w:pPr>
            <w:r>
              <w:rPr>
                <w:rFonts w:ascii="Arial" w:cs="Arial" w:eastAsia="Arial" w:hAnsi="Arial"/>
                <w:sz w:val="14"/>
                <w:szCs w:val="14"/>
                <w:color w:val="auto"/>
              </w:rPr>
              <w:t>I</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63</w:t>
            </w:r>
          </w:p>
        </w:tc>
        <w:tc>
          <w:tcPr>
            <w:tcW w:w="3300" w:type="dxa"/>
            <w:vAlign w:val="bottom"/>
            <w:tcBorders>
              <w:bottom w:val="single" w:sz="8" w:color="666666"/>
            </w:tcBorders>
          </w:tcPr>
          <w:p>
            <w:pPr>
              <w:ind w:left="140"/>
              <w:spacing w:after="0"/>
              <w:rPr>
                <w:sz w:val="20"/>
                <w:szCs w:val="20"/>
                <w:color w:val="auto"/>
              </w:rPr>
            </w:pPr>
            <w:r>
              <w:rPr>
                <w:rFonts w:ascii="Arial" w:cs="Arial" w:eastAsia="Arial" w:hAnsi="Arial"/>
                <w:sz w:val="14"/>
                <w:szCs w:val="14"/>
                <w:color w:val="auto"/>
              </w:rPr>
              <w:t>Chairperson</w:t>
            </w:r>
          </w:p>
        </w:tc>
        <w:tc>
          <w:tcPr>
            <w:tcW w:w="8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2024</w:t>
            </w:r>
          </w:p>
        </w:tc>
        <w:tc>
          <w:tcPr>
            <w:tcW w:w="7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2026</w:t>
            </w:r>
          </w:p>
        </w:tc>
        <w:tc>
          <w:tcPr>
            <w:tcW w:w="10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9"/>
              </w:rPr>
              <w:t>—</w:t>
            </w:r>
          </w:p>
        </w:tc>
      </w:tr>
      <w:tr>
        <w:trPr>
          <w:trHeight w:val="398"/>
        </w:trPr>
        <w:tc>
          <w:tcPr>
            <w:tcW w:w="2200" w:type="dxa"/>
            <w:vAlign w:val="bottom"/>
            <w:tcBorders>
              <w:bottom w:val="single" w:sz="8" w:color="666666"/>
            </w:tcBorders>
          </w:tcPr>
          <w:p>
            <w:pPr>
              <w:ind w:left="280"/>
              <w:spacing w:after="0"/>
              <w:rPr>
                <w:sz w:val="20"/>
                <w:szCs w:val="20"/>
                <w:color w:val="auto"/>
              </w:rPr>
            </w:pPr>
            <w:r>
              <w:rPr>
                <w:rFonts w:ascii="Arial" w:cs="Arial" w:eastAsia="Arial" w:hAnsi="Arial"/>
                <w:sz w:val="14"/>
                <w:szCs w:val="14"/>
                <w:b w:val="1"/>
                <w:bCs w:val="1"/>
                <w:color w:val="auto"/>
              </w:rPr>
              <w:t>Eli Casdin</w:t>
            </w:r>
            <w:r>
              <w:rPr>
                <w:rFonts w:ascii="Arial" w:cs="Arial" w:eastAsia="Arial" w:hAnsi="Arial"/>
                <w:sz w:val="23"/>
                <w:szCs w:val="23"/>
                <w:b w:val="1"/>
                <w:bCs w:val="1"/>
                <w:color w:val="auto"/>
                <w:vertAlign w:val="superscript"/>
              </w:rPr>
              <w:t>(1)(3)</w:t>
            </w:r>
          </w:p>
        </w:tc>
        <w:tc>
          <w:tcPr>
            <w:tcW w:w="800" w:type="dxa"/>
            <w:vAlign w:val="bottom"/>
            <w:tcBorders>
              <w:bottom w:val="single" w:sz="8" w:color="666666"/>
            </w:tcBorders>
          </w:tcPr>
          <w:p>
            <w:pPr>
              <w:jc w:val="center"/>
              <w:ind w:left="88"/>
              <w:spacing w:after="0"/>
              <w:rPr>
                <w:sz w:val="20"/>
                <w:szCs w:val="20"/>
                <w:color w:val="auto"/>
              </w:rPr>
            </w:pPr>
            <w:r>
              <w:rPr>
                <w:rFonts w:ascii="Arial" w:cs="Arial" w:eastAsia="Arial" w:hAnsi="Arial"/>
                <w:sz w:val="14"/>
                <w:szCs w:val="14"/>
                <w:color w:val="auto"/>
              </w:rPr>
              <w:t>I</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52</w:t>
            </w:r>
          </w:p>
        </w:tc>
        <w:tc>
          <w:tcPr>
            <w:tcW w:w="3300" w:type="dxa"/>
            <w:vAlign w:val="bottom"/>
            <w:tcBorders>
              <w:bottom w:val="single" w:sz="8" w:color="666666"/>
            </w:tcBorders>
          </w:tcPr>
          <w:p>
            <w:pPr>
              <w:ind w:left="140"/>
              <w:spacing w:after="0"/>
              <w:rPr>
                <w:sz w:val="20"/>
                <w:szCs w:val="20"/>
                <w:color w:val="auto"/>
              </w:rPr>
            </w:pPr>
            <w:r>
              <w:rPr>
                <w:rFonts w:ascii="Arial" w:cs="Arial" w:eastAsia="Arial" w:hAnsi="Arial"/>
                <w:sz w:val="14"/>
                <w:szCs w:val="14"/>
                <w:color w:val="auto"/>
              </w:rPr>
              <w:t>Director</w:t>
            </w:r>
          </w:p>
        </w:tc>
        <w:tc>
          <w:tcPr>
            <w:tcW w:w="8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2022</w:t>
            </w:r>
          </w:p>
        </w:tc>
        <w:tc>
          <w:tcPr>
            <w:tcW w:w="7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2026</w:t>
            </w:r>
          </w:p>
        </w:tc>
        <w:tc>
          <w:tcPr>
            <w:tcW w:w="10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9"/>
              </w:rPr>
              <w:t>—</w:t>
            </w:r>
          </w:p>
        </w:tc>
      </w:tr>
      <w:tr>
        <w:trPr>
          <w:trHeight w:val="398"/>
        </w:trPr>
        <w:tc>
          <w:tcPr>
            <w:tcW w:w="2200" w:type="dxa"/>
            <w:vAlign w:val="bottom"/>
            <w:tcBorders>
              <w:bottom w:val="single" w:sz="8" w:color="666666"/>
            </w:tcBorders>
          </w:tcPr>
          <w:p>
            <w:pPr>
              <w:ind w:left="280"/>
              <w:spacing w:after="0"/>
              <w:rPr>
                <w:sz w:val="20"/>
                <w:szCs w:val="20"/>
                <w:color w:val="auto"/>
              </w:rPr>
            </w:pPr>
            <w:r>
              <w:rPr>
                <w:rFonts w:ascii="Arial" w:cs="Arial" w:eastAsia="Arial" w:hAnsi="Arial"/>
                <w:sz w:val="14"/>
                <w:szCs w:val="14"/>
                <w:b w:val="1"/>
                <w:bCs w:val="1"/>
                <w:color w:val="auto"/>
              </w:rPr>
              <w:t>Troy Cox</w:t>
            </w:r>
            <w:r>
              <w:rPr>
                <w:rFonts w:ascii="Arial" w:cs="Arial" w:eastAsia="Arial" w:hAnsi="Arial"/>
                <w:sz w:val="23"/>
                <w:szCs w:val="23"/>
                <w:b w:val="1"/>
                <w:bCs w:val="1"/>
                <w:color w:val="auto"/>
                <w:vertAlign w:val="superscript"/>
              </w:rPr>
              <w:t>(1)(2)</w:t>
            </w:r>
          </w:p>
        </w:tc>
        <w:tc>
          <w:tcPr>
            <w:tcW w:w="800" w:type="dxa"/>
            <w:vAlign w:val="bottom"/>
            <w:tcBorders>
              <w:bottom w:val="single" w:sz="8" w:color="666666"/>
            </w:tcBorders>
          </w:tcPr>
          <w:p>
            <w:pPr>
              <w:jc w:val="center"/>
              <w:ind w:left="88"/>
              <w:spacing w:after="0"/>
              <w:rPr>
                <w:sz w:val="20"/>
                <w:szCs w:val="20"/>
                <w:color w:val="auto"/>
              </w:rPr>
            </w:pPr>
            <w:r>
              <w:rPr>
                <w:rFonts w:ascii="Arial" w:cs="Arial" w:eastAsia="Arial" w:hAnsi="Arial"/>
                <w:sz w:val="14"/>
                <w:szCs w:val="14"/>
                <w:color w:val="auto"/>
              </w:rPr>
              <w:t>II</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60</w:t>
            </w:r>
          </w:p>
        </w:tc>
        <w:tc>
          <w:tcPr>
            <w:tcW w:w="3300" w:type="dxa"/>
            <w:vAlign w:val="bottom"/>
            <w:tcBorders>
              <w:bottom w:val="single" w:sz="8" w:color="666666"/>
            </w:tcBorders>
          </w:tcPr>
          <w:p>
            <w:pPr>
              <w:ind w:left="140"/>
              <w:spacing w:after="0"/>
              <w:rPr>
                <w:sz w:val="20"/>
                <w:szCs w:val="20"/>
                <w:color w:val="auto"/>
              </w:rPr>
            </w:pPr>
            <w:r>
              <w:rPr>
                <w:rFonts w:ascii="Arial" w:cs="Arial" w:eastAsia="Arial" w:hAnsi="Arial"/>
                <w:sz w:val="14"/>
                <w:szCs w:val="14"/>
                <w:color w:val="auto"/>
              </w:rPr>
              <w:t>Director</w:t>
            </w:r>
          </w:p>
        </w:tc>
        <w:tc>
          <w:tcPr>
            <w:tcW w:w="8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2024</w:t>
            </w:r>
          </w:p>
        </w:tc>
        <w:tc>
          <w:tcPr>
            <w:tcW w:w="7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2027</w:t>
            </w:r>
          </w:p>
        </w:tc>
        <w:tc>
          <w:tcPr>
            <w:tcW w:w="10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9"/>
              </w:rPr>
              <w:t>—</w:t>
            </w:r>
          </w:p>
        </w:tc>
      </w:tr>
      <w:tr>
        <w:trPr>
          <w:trHeight w:val="399"/>
        </w:trPr>
        <w:tc>
          <w:tcPr>
            <w:tcW w:w="2200" w:type="dxa"/>
            <w:vAlign w:val="bottom"/>
            <w:tcBorders>
              <w:bottom w:val="single" w:sz="8" w:color="666666"/>
            </w:tcBorders>
          </w:tcPr>
          <w:p>
            <w:pPr>
              <w:ind w:left="280"/>
              <w:spacing w:after="0"/>
              <w:rPr>
                <w:sz w:val="20"/>
                <w:szCs w:val="20"/>
                <w:color w:val="auto"/>
              </w:rPr>
            </w:pPr>
            <w:r>
              <w:rPr>
                <w:rFonts w:ascii="Arial" w:cs="Arial" w:eastAsia="Arial" w:hAnsi="Arial"/>
                <w:sz w:val="14"/>
                <w:szCs w:val="14"/>
                <w:b w:val="1"/>
                <w:bCs w:val="1"/>
                <w:color w:val="auto"/>
              </w:rPr>
              <w:t>Fenel M. Eloi</w:t>
            </w:r>
            <w:r>
              <w:rPr>
                <w:rFonts w:ascii="Arial" w:cs="Arial" w:eastAsia="Arial" w:hAnsi="Arial"/>
                <w:sz w:val="23"/>
                <w:szCs w:val="23"/>
                <w:b w:val="1"/>
                <w:bCs w:val="1"/>
                <w:color w:val="auto"/>
                <w:vertAlign w:val="superscript"/>
              </w:rPr>
              <w:t>(2)</w:t>
            </w:r>
          </w:p>
        </w:tc>
        <w:tc>
          <w:tcPr>
            <w:tcW w:w="800" w:type="dxa"/>
            <w:vAlign w:val="bottom"/>
            <w:tcBorders>
              <w:bottom w:val="single" w:sz="8" w:color="666666"/>
            </w:tcBorders>
          </w:tcPr>
          <w:p>
            <w:pPr>
              <w:jc w:val="center"/>
              <w:ind w:left="88"/>
              <w:spacing w:after="0"/>
              <w:rPr>
                <w:sz w:val="20"/>
                <w:szCs w:val="20"/>
                <w:color w:val="auto"/>
              </w:rPr>
            </w:pPr>
            <w:r>
              <w:rPr>
                <w:rFonts w:ascii="Arial" w:cs="Arial" w:eastAsia="Arial" w:hAnsi="Arial"/>
                <w:sz w:val="14"/>
                <w:szCs w:val="14"/>
                <w:color w:val="auto"/>
              </w:rPr>
              <w:t>II</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67</w:t>
            </w:r>
          </w:p>
        </w:tc>
        <w:tc>
          <w:tcPr>
            <w:tcW w:w="3300" w:type="dxa"/>
            <w:vAlign w:val="bottom"/>
            <w:tcBorders>
              <w:bottom w:val="single" w:sz="8" w:color="666666"/>
            </w:tcBorders>
          </w:tcPr>
          <w:p>
            <w:pPr>
              <w:ind w:left="140"/>
              <w:spacing w:after="0"/>
              <w:rPr>
                <w:sz w:val="20"/>
                <w:szCs w:val="20"/>
                <w:color w:val="auto"/>
              </w:rPr>
            </w:pPr>
            <w:r>
              <w:rPr>
                <w:rFonts w:ascii="Arial" w:cs="Arial" w:eastAsia="Arial" w:hAnsi="Arial"/>
                <w:sz w:val="14"/>
                <w:szCs w:val="14"/>
                <w:color w:val="auto"/>
              </w:rPr>
              <w:t>Director</w:t>
            </w:r>
          </w:p>
        </w:tc>
        <w:tc>
          <w:tcPr>
            <w:tcW w:w="8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2023</w:t>
            </w:r>
          </w:p>
        </w:tc>
        <w:tc>
          <w:tcPr>
            <w:tcW w:w="7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2027</w:t>
            </w:r>
          </w:p>
        </w:tc>
        <w:tc>
          <w:tcPr>
            <w:tcW w:w="10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9"/>
              </w:rPr>
              <w:t>—</w:t>
            </w:r>
          </w:p>
        </w:tc>
      </w:tr>
      <w:tr>
        <w:trPr>
          <w:trHeight w:val="398"/>
        </w:trPr>
        <w:tc>
          <w:tcPr>
            <w:tcW w:w="2200" w:type="dxa"/>
            <w:vAlign w:val="bottom"/>
            <w:tcBorders>
              <w:bottom w:val="single" w:sz="8" w:color="666666"/>
            </w:tcBorders>
          </w:tcPr>
          <w:p>
            <w:pPr>
              <w:ind w:left="280"/>
              <w:spacing w:after="0"/>
              <w:rPr>
                <w:sz w:val="20"/>
                <w:szCs w:val="20"/>
                <w:color w:val="auto"/>
              </w:rPr>
            </w:pPr>
            <w:r>
              <w:rPr>
                <w:rFonts w:ascii="Arial" w:cs="Arial" w:eastAsia="Arial" w:hAnsi="Arial"/>
                <w:sz w:val="14"/>
                <w:szCs w:val="14"/>
                <w:b w:val="1"/>
                <w:bCs w:val="1"/>
                <w:color w:val="auto"/>
              </w:rPr>
              <w:t>Kathy Hibbs</w:t>
            </w:r>
            <w:r>
              <w:rPr>
                <w:rFonts w:ascii="Arial" w:cs="Arial" w:eastAsia="Arial" w:hAnsi="Arial"/>
                <w:sz w:val="23"/>
                <w:szCs w:val="23"/>
                <w:b w:val="1"/>
                <w:bCs w:val="1"/>
                <w:color w:val="auto"/>
                <w:vertAlign w:val="superscript"/>
              </w:rPr>
              <w:t>(2)(3)</w:t>
            </w:r>
          </w:p>
        </w:tc>
        <w:tc>
          <w:tcPr>
            <w:tcW w:w="800" w:type="dxa"/>
            <w:vAlign w:val="bottom"/>
            <w:tcBorders>
              <w:bottom w:val="single" w:sz="8" w:color="666666"/>
            </w:tcBorders>
          </w:tcPr>
          <w:p>
            <w:pPr>
              <w:jc w:val="center"/>
              <w:ind w:left="88"/>
              <w:spacing w:after="0"/>
              <w:rPr>
                <w:sz w:val="20"/>
                <w:szCs w:val="20"/>
                <w:color w:val="auto"/>
              </w:rPr>
            </w:pPr>
            <w:r>
              <w:rPr>
                <w:rFonts w:ascii="Arial" w:cs="Arial" w:eastAsia="Arial" w:hAnsi="Arial"/>
                <w:sz w:val="14"/>
                <w:szCs w:val="14"/>
                <w:color w:val="auto"/>
              </w:rPr>
              <w:t>III</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61</w:t>
            </w:r>
          </w:p>
        </w:tc>
        <w:tc>
          <w:tcPr>
            <w:tcW w:w="3300" w:type="dxa"/>
            <w:vAlign w:val="bottom"/>
            <w:tcBorders>
              <w:bottom w:val="single" w:sz="8" w:color="666666"/>
            </w:tcBorders>
          </w:tcPr>
          <w:p>
            <w:pPr>
              <w:ind w:left="140"/>
              <w:spacing w:after="0"/>
              <w:rPr>
                <w:sz w:val="20"/>
                <w:szCs w:val="20"/>
                <w:color w:val="auto"/>
              </w:rPr>
            </w:pPr>
            <w:r>
              <w:rPr>
                <w:rFonts w:ascii="Arial" w:cs="Arial" w:eastAsia="Arial" w:hAnsi="Arial"/>
                <w:sz w:val="14"/>
                <w:szCs w:val="14"/>
                <w:color w:val="auto"/>
              </w:rPr>
              <w:t>Director</w:t>
            </w:r>
          </w:p>
        </w:tc>
        <w:tc>
          <w:tcPr>
            <w:tcW w:w="8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2024</w:t>
            </w:r>
          </w:p>
        </w:tc>
        <w:tc>
          <w:tcPr>
            <w:tcW w:w="7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2025</w:t>
            </w:r>
          </w:p>
        </w:tc>
        <w:tc>
          <w:tcPr>
            <w:tcW w:w="10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2028</w:t>
            </w:r>
          </w:p>
        </w:tc>
      </w:tr>
      <w:tr>
        <w:trPr>
          <w:trHeight w:val="385"/>
        </w:trPr>
        <w:tc>
          <w:tcPr>
            <w:tcW w:w="2200" w:type="dxa"/>
            <w:vAlign w:val="bottom"/>
            <w:tcBorders>
              <w:bottom w:val="single" w:sz="8" w:color="24356E"/>
            </w:tcBorders>
          </w:tcPr>
          <w:p>
            <w:pPr>
              <w:ind w:left="280"/>
              <w:spacing w:after="0"/>
              <w:rPr>
                <w:sz w:val="20"/>
                <w:szCs w:val="20"/>
                <w:color w:val="auto"/>
              </w:rPr>
            </w:pPr>
            <w:r>
              <w:rPr>
                <w:rFonts w:ascii="Arial" w:cs="Arial" w:eastAsia="Arial" w:hAnsi="Arial"/>
                <w:sz w:val="14"/>
                <w:szCs w:val="14"/>
                <w:b w:val="1"/>
                <w:bCs w:val="1"/>
                <w:color w:val="auto"/>
              </w:rPr>
              <w:t>Frank Witney, Ph.D.</w:t>
            </w:r>
            <w:r>
              <w:rPr>
                <w:rFonts w:ascii="Arial" w:cs="Arial" w:eastAsia="Arial" w:hAnsi="Arial"/>
                <w:sz w:val="23"/>
                <w:szCs w:val="23"/>
                <w:b w:val="1"/>
                <w:bCs w:val="1"/>
                <w:color w:val="auto"/>
                <w:vertAlign w:val="superscript"/>
              </w:rPr>
              <w:t>(1)(2)</w:t>
            </w:r>
          </w:p>
        </w:tc>
        <w:tc>
          <w:tcPr>
            <w:tcW w:w="800" w:type="dxa"/>
            <w:vAlign w:val="bottom"/>
            <w:tcBorders>
              <w:bottom w:val="single" w:sz="8" w:color="24356E"/>
            </w:tcBorders>
          </w:tcPr>
          <w:p>
            <w:pPr>
              <w:jc w:val="center"/>
              <w:ind w:left="88"/>
              <w:spacing w:after="0"/>
              <w:rPr>
                <w:sz w:val="20"/>
                <w:szCs w:val="20"/>
                <w:color w:val="auto"/>
              </w:rPr>
            </w:pPr>
            <w:r>
              <w:rPr>
                <w:rFonts w:ascii="Arial" w:cs="Arial" w:eastAsia="Arial" w:hAnsi="Arial"/>
                <w:sz w:val="14"/>
                <w:szCs w:val="14"/>
                <w:color w:val="auto"/>
              </w:rPr>
              <w:t>III</w:t>
            </w:r>
          </w:p>
        </w:tc>
        <w:tc>
          <w:tcPr>
            <w:tcW w:w="520" w:type="dxa"/>
            <w:vAlign w:val="bottom"/>
            <w:tcBorders>
              <w:bottom w:val="single" w:sz="8" w:color="24356E"/>
            </w:tcBorders>
          </w:tcPr>
          <w:p>
            <w:pPr>
              <w:jc w:val="center"/>
              <w:spacing w:after="0"/>
              <w:rPr>
                <w:sz w:val="20"/>
                <w:szCs w:val="20"/>
                <w:color w:val="auto"/>
              </w:rPr>
            </w:pPr>
            <w:r>
              <w:rPr>
                <w:rFonts w:ascii="Arial" w:cs="Arial" w:eastAsia="Arial" w:hAnsi="Arial"/>
                <w:sz w:val="14"/>
                <w:szCs w:val="14"/>
                <w:color w:val="auto"/>
              </w:rPr>
              <w:t>71</w:t>
            </w:r>
          </w:p>
        </w:tc>
        <w:tc>
          <w:tcPr>
            <w:tcW w:w="3300" w:type="dxa"/>
            <w:vAlign w:val="bottom"/>
            <w:tcBorders>
              <w:bottom w:val="single" w:sz="8" w:color="24356E"/>
            </w:tcBorders>
          </w:tcPr>
          <w:p>
            <w:pPr>
              <w:ind w:left="140"/>
              <w:spacing w:after="0"/>
              <w:rPr>
                <w:sz w:val="20"/>
                <w:szCs w:val="20"/>
                <w:color w:val="auto"/>
              </w:rPr>
            </w:pPr>
            <w:r>
              <w:rPr>
                <w:rFonts w:ascii="Arial" w:cs="Arial" w:eastAsia="Arial" w:hAnsi="Arial"/>
                <w:sz w:val="14"/>
                <w:szCs w:val="14"/>
                <w:color w:val="auto"/>
              </w:rPr>
              <w:t>Director</w:t>
            </w:r>
          </w:p>
        </w:tc>
        <w:tc>
          <w:tcPr>
            <w:tcW w:w="800" w:type="dxa"/>
            <w:vAlign w:val="bottom"/>
            <w:tcBorders>
              <w:bottom w:val="single" w:sz="8" w:color="24356E"/>
            </w:tcBorders>
          </w:tcPr>
          <w:p>
            <w:pPr>
              <w:jc w:val="center"/>
              <w:spacing w:after="0"/>
              <w:rPr>
                <w:sz w:val="20"/>
                <w:szCs w:val="20"/>
                <w:color w:val="auto"/>
              </w:rPr>
            </w:pPr>
            <w:r>
              <w:rPr>
                <w:rFonts w:ascii="Arial" w:cs="Arial" w:eastAsia="Arial" w:hAnsi="Arial"/>
                <w:sz w:val="14"/>
                <w:szCs w:val="14"/>
                <w:color w:val="auto"/>
              </w:rPr>
              <w:t>2022</w:t>
            </w:r>
          </w:p>
        </w:tc>
        <w:tc>
          <w:tcPr>
            <w:tcW w:w="760" w:type="dxa"/>
            <w:vAlign w:val="bottom"/>
            <w:tcBorders>
              <w:bottom w:val="single" w:sz="8" w:color="24356E"/>
            </w:tcBorders>
          </w:tcPr>
          <w:p>
            <w:pPr>
              <w:jc w:val="center"/>
              <w:spacing w:after="0"/>
              <w:rPr>
                <w:sz w:val="20"/>
                <w:szCs w:val="20"/>
                <w:color w:val="auto"/>
              </w:rPr>
            </w:pPr>
            <w:r>
              <w:rPr>
                <w:rFonts w:ascii="Arial" w:cs="Arial" w:eastAsia="Arial" w:hAnsi="Arial"/>
                <w:sz w:val="14"/>
                <w:szCs w:val="14"/>
                <w:color w:val="auto"/>
              </w:rPr>
              <w:t>2025</w:t>
            </w:r>
          </w:p>
        </w:tc>
        <w:tc>
          <w:tcPr>
            <w:tcW w:w="1020" w:type="dxa"/>
            <w:vAlign w:val="bottom"/>
            <w:tcBorders>
              <w:bottom w:val="single" w:sz="8" w:color="24356E"/>
            </w:tcBorders>
          </w:tcPr>
          <w:p>
            <w:pPr>
              <w:jc w:val="center"/>
              <w:spacing w:after="0"/>
              <w:rPr>
                <w:sz w:val="20"/>
                <w:szCs w:val="20"/>
                <w:color w:val="auto"/>
              </w:rPr>
            </w:pPr>
            <w:r>
              <w:rPr>
                <w:rFonts w:ascii="Arial" w:cs="Arial" w:eastAsia="Arial" w:hAnsi="Arial"/>
                <w:sz w:val="14"/>
                <w:szCs w:val="14"/>
                <w:color w:val="auto"/>
              </w:rPr>
              <w:t>2028</w:t>
            </w:r>
          </w:p>
        </w:tc>
      </w:tr>
    </w:tbl>
    <w:p>
      <w:pPr>
        <w:spacing w:after="0" w:line="158" w:lineRule="exact"/>
        <w:rPr>
          <w:sz w:val="20"/>
          <w:szCs w:val="20"/>
          <w:color w:val="auto"/>
        </w:rPr>
      </w:pPr>
    </w:p>
    <w:p>
      <w:pPr>
        <w:ind w:left="360" w:hanging="354"/>
        <w:spacing w:after="0"/>
        <w:tabs>
          <w:tab w:leader="none" w:pos="36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Member of our Human Capital Committee.</w:t>
      </w:r>
    </w:p>
    <w:p>
      <w:pPr>
        <w:spacing w:after="0" w:line="53" w:lineRule="exact"/>
        <w:rPr>
          <w:rFonts w:ascii="Arial" w:cs="Arial" w:eastAsia="Arial" w:hAnsi="Arial"/>
          <w:sz w:val="13"/>
          <w:szCs w:val="13"/>
          <w:b w:val="1"/>
          <w:bCs w:val="1"/>
          <w:color w:val="auto"/>
        </w:rPr>
      </w:pPr>
    </w:p>
    <w:p>
      <w:pPr>
        <w:ind w:left="360" w:hanging="354"/>
        <w:spacing w:after="0"/>
        <w:tabs>
          <w:tab w:leader="none" w:pos="36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Member of our Audit Committee.</w:t>
      </w:r>
    </w:p>
    <w:p>
      <w:pPr>
        <w:spacing w:after="0" w:line="66" w:lineRule="exact"/>
        <w:rPr>
          <w:rFonts w:ascii="Arial" w:cs="Arial" w:eastAsia="Arial" w:hAnsi="Arial"/>
          <w:sz w:val="13"/>
          <w:szCs w:val="13"/>
          <w:b w:val="1"/>
          <w:bCs w:val="1"/>
          <w:color w:val="auto"/>
        </w:rPr>
      </w:pPr>
    </w:p>
    <w:p>
      <w:pPr>
        <w:ind w:left="360" w:hanging="354"/>
        <w:spacing w:after="0"/>
        <w:tabs>
          <w:tab w:leader="none" w:pos="36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Member of our Nominating and Corporate Governance Committee.</w:t>
      </w:r>
    </w:p>
    <w:p>
      <w:pPr>
        <w:spacing w:after="0" w:line="15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i w:val="1"/>
          <w:iCs w:val="1"/>
          <w:color w:val="333333"/>
        </w:rPr>
        <w:t xml:space="preserve">Michael Egholm, Ph.D. </w:t>
      </w:r>
      <w:r>
        <w:rPr>
          <w:rFonts w:ascii="Arial" w:cs="Arial" w:eastAsia="Arial" w:hAnsi="Arial"/>
          <w:sz w:val="16"/>
          <w:szCs w:val="16"/>
          <w:color w:val="333333"/>
        </w:rPr>
        <w:t>has served as our President and CEO, and a member of our Board, since April 2022. Dr. Egholm has more</w:t>
      </w:r>
      <w:r>
        <w:rPr>
          <w:rFonts w:ascii="Arial" w:cs="Arial" w:eastAsia="Arial" w:hAnsi="Arial"/>
          <w:sz w:val="16"/>
          <w:szCs w:val="16"/>
          <w:i w:val="1"/>
          <w:iCs w:val="1"/>
          <w:color w:val="333333"/>
        </w:rPr>
        <w:t xml:space="preserve"> </w:t>
      </w:r>
      <w:r>
        <w:rPr>
          <w:rFonts w:ascii="Arial" w:cs="Arial" w:eastAsia="Arial" w:hAnsi="Arial"/>
          <w:sz w:val="16"/>
          <w:szCs w:val="16"/>
          <w:color w:val="333333"/>
        </w:rPr>
        <w:t>than 25 years of proven leadership in developing and commercializing innovative technologies. Prior to joining the Company, he was Chief Executive Officer of Standard BioTools, LLC from October 2021 until April 2022. Prior to that, Dr. Egholm served as Chief Technology Officer of Danaher Life Sciences (“Danaher”) from 2017 to September 2021, where he also founded and led Danaher’s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245745</wp:posOffset>
            </wp:positionV>
            <wp:extent cx="59664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333333"/>
        </w:rPr>
        <w:t>corporate venture fund, and he served as President, Biopharmaceuticals at Pall Corporation from 2014 to 2017 and as Chief Technology Officer from 2010 to 2014. Prior to that, Dr. Egholm served as Chief Technology Officer of 454 Life Sciences Corporation, a former subsidiary of Roche Holding AG (“Roche”) (OTCM: RHHBY). Dr. Egholm is an elected member of the Royal Danish Academy of Sciences and Letters and the named inventor of 40 U.S. patents. He has published more than 100 research papers, with several in renowned peer reviewed journals, including Science, Nature, and The New England Journal of Medicine. Dr. Egholm earned a Ph.D. and master’s degree in chemistry from the University of Copenhagen. We believe that Dr. Egholm’s extensive industry experience with life sciences companies qualifies him to serve on our Board.</w:t>
      </w:r>
    </w:p>
    <w:p>
      <w:pPr>
        <w:spacing w:after="0" w:line="12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333333"/>
        </w:rPr>
        <w:t xml:space="preserve">Thomas Carey </w:t>
      </w:r>
      <w:r>
        <w:rPr>
          <w:rFonts w:ascii="Arial" w:cs="Arial" w:eastAsia="Arial" w:hAnsi="Arial"/>
          <w:sz w:val="16"/>
          <w:szCs w:val="16"/>
          <w:color w:val="333333"/>
        </w:rPr>
        <w:t>has served as a member and as Chairperson of our Board since January 2024, after previously serving on the</w:t>
      </w:r>
      <w:r>
        <w:rPr>
          <w:rFonts w:ascii="Arial" w:cs="Arial" w:eastAsia="Arial" w:hAnsi="Arial"/>
          <w:sz w:val="16"/>
          <w:szCs w:val="16"/>
          <w:i w:val="1"/>
          <w:iCs w:val="1"/>
          <w:color w:val="333333"/>
        </w:rPr>
        <w:t xml:space="preserve"> </w:t>
      </w:r>
      <w:r>
        <w:rPr>
          <w:rFonts w:ascii="Arial" w:cs="Arial" w:eastAsia="Arial" w:hAnsi="Arial"/>
          <w:sz w:val="16"/>
          <w:szCs w:val="16"/>
          <w:color w:val="333333"/>
        </w:rPr>
        <w:t>board of directors of SomaLogic, Inc. (“SomaLogic”) since March 2023. He has over twenty-five years in executive search and consulting experience in the life sciences sector. He is the Founder and Managing Partner of the Perspective Group, a life sciences consulting firm, and he specializes in broad advisory and recruitment functions. From 2010 through 2015, Mr. Carey served as Global Head of the Healthcare and Life Sciences Practice for Russell Reynolds Associates and led the Life Sciences Board Practice for Spencer Stuart. Prior to entering the search industry, Mr. Carey served as an investment banker and then as Chief Financial Officer of various private and public healthcare and information technology companies. Mr. Carey earned a bachelor’s degree from the College of the Holy Cross and an M.B.A. from the Kellogg Graduate School of Management at Northwestern University. He also previously served as Chairperson of the Board of Directors of Vital Biosciences and held an eight-year tenure on the board of directors of Exact Sciences (Nasdaq: EXAS). Mr. Carey brings more than twenty years of broad life sciences industry expertise. We believe that Mr. Carey’s background in finance and the executive search industry also provides our Board a valuable perspective with respect to financial strategy, key executive hires, and other personnel-related matters.</w:t>
      </w:r>
    </w:p>
    <w:p>
      <w:pPr>
        <w:spacing w:after="0" w:line="13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333333"/>
        </w:rPr>
        <w:t xml:space="preserve">Eli Casdin </w:t>
      </w:r>
      <w:r>
        <w:rPr>
          <w:rFonts w:ascii="Arial" w:cs="Arial" w:eastAsia="Arial" w:hAnsi="Arial"/>
          <w:sz w:val="16"/>
          <w:szCs w:val="16"/>
          <w:color w:val="333333"/>
        </w:rPr>
        <w:t>has served as a member of our Board since April 2022. Mr. Casdin currently serves as Chief Investment Officer of</w:t>
      </w:r>
      <w:r>
        <w:rPr>
          <w:rFonts w:ascii="Arial" w:cs="Arial" w:eastAsia="Arial" w:hAnsi="Arial"/>
          <w:sz w:val="16"/>
          <w:szCs w:val="16"/>
          <w:i w:val="1"/>
          <w:iCs w:val="1"/>
          <w:color w:val="333333"/>
        </w:rPr>
        <w:t xml:space="preserve"> </w:t>
      </w:r>
      <w:r>
        <w:rPr>
          <w:rFonts w:ascii="Arial" w:cs="Arial" w:eastAsia="Arial" w:hAnsi="Arial"/>
          <w:sz w:val="16"/>
          <w:szCs w:val="16"/>
          <w:color w:val="333333"/>
        </w:rPr>
        <w:t>Casdin Capital, an investment firm specializing in life sciences, which he founded in 2011. Prior to founding Casdin Capital, Mr. Casdin was a vice president at Alliance Bernstein’s thematic investment arm from 2007 until 2011, focusing on new technologies for the life sciences and healthcare sectors. Mr. Casdin previously held positions at Bear Stearns, an investment bank, and Cooper Hill Partners, a biotechnology-focused investment firm. Mr. Casdin also previously served on the board of directors of SomaLogic and currently serves on the board of directors of GeneDx (Nasdaq: WGS) and 2Seventy Bio Inc (Nasdaq: TSVT). Mr. Casdin has previously served on the board of directors of Absci Corporation, Century Therapeutics, Inc., EQRx Inc., Exact Sciences Corporation, and Tenaya Therapeutics, Inc. He has also served as a board observer for 4D Molecular Therapeutics, Fulcrum Therapeutics, Invitae, Tango Therapeutics, and Verve Therapeutics, and served as Chief Executive Officer and director of CM Life Sciences, Inc., CM Life Sciences II, Inc., and CM Life Sciences III, Inc., until August 2021, September 2021, and December 2021, respectively. Mr. Casdin also currently serves on the boards of directors of a number of privately held life sciences companies and currently serves as a member of the Columbia University School of General Studies board of visitors, the Rockefeller University board of trustees, and the New York Genome Center board of directors. Mr. Casdin earned his B.S. from Columbia University and an M.B.A. from Columbia Business School. We believe that Mr. Casdin’s extensive experience as both an investor and executive in the biopharmaceutical industry, as well as his extensive service on the boards of directors of numerous life sciences and biotechnology companies, provides him with the qualifications and skills necessary to serve on our Board.</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333333"/>
        </w:rPr>
        <w:t xml:space="preserve">Troy Cox </w:t>
      </w:r>
      <w:r>
        <w:rPr>
          <w:rFonts w:ascii="Arial" w:cs="Arial" w:eastAsia="Arial" w:hAnsi="Arial"/>
          <w:sz w:val="16"/>
          <w:szCs w:val="16"/>
          <w:color w:val="333333"/>
        </w:rPr>
        <w:t>has served as a member of our Board since January 2024, after previously serving as a member of the board of directors</w:t>
      </w:r>
      <w:r>
        <w:rPr>
          <w:rFonts w:ascii="Arial" w:cs="Arial" w:eastAsia="Arial" w:hAnsi="Arial"/>
          <w:sz w:val="16"/>
          <w:szCs w:val="16"/>
          <w:i w:val="1"/>
          <w:iCs w:val="1"/>
          <w:color w:val="333333"/>
        </w:rPr>
        <w:t xml:space="preserve"> </w:t>
      </w:r>
      <w:r>
        <w:rPr>
          <w:rFonts w:ascii="Arial" w:cs="Arial" w:eastAsia="Arial" w:hAnsi="Arial"/>
          <w:sz w:val="16"/>
          <w:szCs w:val="16"/>
          <w:color w:val="333333"/>
        </w:rPr>
        <w:t>of SomaLogic since September 2021 and as Executive Chair of SomaLogic from October 17, 2022 through March 28, 2023 and prior to that, on the board of directors of CM Life Sciences II. Mr. Cox has served as a director of SOPHiA GENETICS SA (Nasdaq: SOPH) since July 2019 and as its Chairperson since February 2020, as a member of the board of directors of LetsGetChecked Inc. since October 2019, Zymeworks Inc. (NYSE: ZYME) since June 2019, and Biosplice Therapeutics since April 2021. Mr. Cox also currently serves on the board of directors of Dream Foundation non-profit and previously of Massachusetts BioTechnology Council. Mr. Cox previously led Foundation Medicine, Inc. (“Foundation Medicine”) as President and Chief Executive Officer from February 2017 to February 2019, including through its acquisition by Roche in July 2018. Prior to Foundation Medicine, Troy served as Senior Vice President and an officer at Genentech, Inc. from February 2010 to February 2017. Prior to that, Mr. Cox held executive and senior roles of increasingly broad accountabilities including president at UCB BioPharmaceuticals, Senior Vice President at Sanofi-Aventis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5966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2"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333333"/>
        </w:rPr>
        <w:t>and diverse foundational roles at Schering-Plough. Mr. Cox received an M.B.A. from the University of Missouri and B.B.A. in Finance from the University of Kentucky. We believe that Mr. Cox’s qualifications to serve on our Board include his extensive operational and strategic experience in the life sciences industry as an executive as well as a board director and in connection with evaluation and execution of business transaction and merger opportunities.</w:t>
      </w:r>
    </w:p>
    <w:p>
      <w:pPr>
        <w:spacing w:after="0" w:line="12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i w:val="1"/>
          <w:iCs w:val="1"/>
          <w:color w:val="333333"/>
        </w:rPr>
        <w:t xml:space="preserve">Fenel M. Eloi </w:t>
      </w:r>
      <w:r>
        <w:rPr>
          <w:rFonts w:ascii="Arial" w:cs="Arial" w:eastAsia="Arial" w:hAnsi="Arial"/>
          <w:sz w:val="16"/>
          <w:szCs w:val="16"/>
          <w:color w:val="333333"/>
        </w:rPr>
        <w:t>has served as a member of our Board since March 2023. Mr. Eloi has served as Managing Partner of P&amp;M Capital</w:t>
      </w:r>
      <w:r>
        <w:rPr>
          <w:rFonts w:ascii="Arial" w:cs="Arial" w:eastAsia="Arial" w:hAnsi="Arial"/>
          <w:sz w:val="16"/>
          <w:szCs w:val="16"/>
          <w:i w:val="1"/>
          <w:iCs w:val="1"/>
          <w:color w:val="333333"/>
        </w:rPr>
        <w:t xml:space="preserve"> </w:t>
      </w:r>
      <w:r>
        <w:rPr>
          <w:rFonts w:ascii="Arial" w:cs="Arial" w:eastAsia="Arial" w:hAnsi="Arial"/>
          <w:sz w:val="16"/>
          <w:szCs w:val="16"/>
          <w:color w:val="333333"/>
        </w:rPr>
        <w:t>Partners, LLC since April 2018. From September 2006 until March 2018, Mr. Eloi served as Chief Operating Officer of Cell Signaling Technology and, prior to that, he served as Chief Financial Officer of Cell Signaling Technology. Mr. Eloi also served as Chief Operating Officer and Chief Financial Officer of Interleukin Genetics and Chief Financial Officer of Genome Therapeutics Corporation. Since February 2021, Mr. Eloi has served on the board of directors of 908 Devices, Inc., where he chairs the audit committee. Mr. Eloi currently serves on the board of directors of several privately held companies, including MitoTherapeutix, Inc., where he also serves as Chairperson of the audit committee, Vaxess Technologies, Inc., and VIC Technology Venture Development. Mr. Eloi earned a B.A. in Business from Lee University and an M.B.A. from Anna Maria College. We believe that Mr. Eloi’s extensive experience as a life sciences operating leader, as well as his extensive financial experience in the life sciences industry qualify him to serve on our Board.</w:t>
      </w:r>
    </w:p>
    <w:p>
      <w:pPr>
        <w:spacing w:after="0" w:line="135"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333333"/>
        </w:rPr>
        <w:t xml:space="preserve">Kathy Hibbs </w:t>
      </w:r>
      <w:r>
        <w:rPr>
          <w:rFonts w:ascii="Arial" w:cs="Arial" w:eastAsia="Arial" w:hAnsi="Arial"/>
          <w:sz w:val="16"/>
          <w:szCs w:val="16"/>
          <w:color w:val="333333"/>
        </w:rPr>
        <w:t>has served as a member of our Board since January 2024, after serving on the board of directors of SomaLogic since</w:t>
      </w:r>
      <w:r>
        <w:rPr>
          <w:rFonts w:ascii="Arial" w:cs="Arial" w:eastAsia="Arial" w:hAnsi="Arial"/>
          <w:sz w:val="16"/>
          <w:szCs w:val="16"/>
          <w:i w:val="1"/>
          <w:iCs w:val="1"/>
          <w:color w:val="333333"/>
        </w:rPr>
        <w:t xml:space="preserve"> </w:t>
      </w:r>
      <w:r>
        <w:rPr>
          <w:rFonts w:ascii="Arial" w:cs="Arial" w:eastAsia="Arial" w:hAnsi="Arial"/>
          <w:sz w:val="16"/>
          <w:szCs w:val="16"/>
          <w:color w:val="333333"/>
        </w:rPr>
        <w:t>March 2023. In May 2024, she retired from her position as Chief Administrative Officer of 23andMe Holding Co. (“23andMe”) (Nasdaq: ME), a global genomics and biotechnology company. She previously served 23andMe as Chief Legal and Regulatory Officer and Secretary from June 2021 to February 2022 and as Chief Legal and Regulatory Officer from 2014 to June 2021. In March 2025, 23andMe and certain of its subsidiaries filed voluntary petitions under Chapter 11 of the U.S. Bankruptcy Code in the U.S. Bankruptcy Court for the Eastern District of Missouri. Previously, Ms. Hibbs served as Senior Vice President and General Counsel of Genomic Health, Inc., a genetic research and cancer diagnostics company, from 2009 to 2014. Prior to that, from 2000 to 2009, Ms. Hibbs served as Senior Vice President and General Counsel of Monogram Biosciences Inc., and from 1995 to 1999, she was the Director of Legal Affairs at Varian Associates, Inc. followed by its successor, Varian Medical Systems, Inc. She serves on the board of directors and as Chairperson of the nominating and corporate governance committee of SOPHiA GENETICS SA (Nasdaq: SOPH) and previously served on the board of directors of Decipher Biosciences (Nasdaq: DECI) until its acquisition. She also serves as a member of the Fast Company Impact Council and as a member of the board of directors of Cadex Genomics, Corp., a private company focused on molecular diagnostics tests to guide cancer treatment. Ms. Hibbs received her B.A. in Political Science from the University of California, Riverside, and her J.D. from the University of California, Hastings College of the Law. We believe Ms. Hibbs’ qualifications to serve on our Board include her more than 20 years of expertise in the clinical laboratory and medical device industries and her experience as a public company executive.</w:t>
      </w:r>
    </w:p>
    <w:p>
      <w:pPr>
        <w:spacing w:after="0" w:line="13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i w:val="1"/>
          <w:iCs w:val="1"/>
          <w:color w:val="333333"/>
        </w:rPr>
        <w:t>Frank Witney, Ph.D</w:t>
      </w:r>
      <w:r>
        <w:rPr>
          <w:rFonts w:ascii="Arial" w:cs="Arial" w:eastAsia="Arial" w:hAnsi="Arial"/>
          <w:sz w:val="16"/>
          <w:szCs w:val="16"/>
          <w:color w:val="333333"/>
        </w:rPr>
        <w:t>. has served as a member of our Board since April 2022. Dr. Witney has served as an operating partner at</w:t>
      </w:r>
      <w:r>
        <w:rPr>
          <w:rFonts w:ascii="Arial" w:cs="Arial" w:eastAsia="Arial" w:hAnsi="Arial"/>
          <w:sz w:val="16"/>
          <w:szCs w:val="16"/>
          <w:i w:val="1"/>
          <w:iCs w:val="1"/>
          <w:color w:val="333333"/>
        </w:rPr>
        <w:t xml:space="preserve"> </w:t>
      </w:r>
      <w:r>
        <w:rPr>
          <w:rFonts w:ascii="Arial" w:cs="Arial" w:eastAsia="Arial" w:hAnsi="Arial"/>
          <w:sz w:val="16"/>
          <w:szCs w:val="16"/>
          <w:color w:val="333333"/>
        </w:rPr>
        <w:t>Ampersand Capital Partners, a private equity firm, since September 2016. From July 2011 to March 2016, Dr. Witney served as President and Chief Executive Officer of Affymetrix, Inc. (“Affymetrix”), a provider of life science products and molecular diagnostic products, until Affymetrix was acquired by Thermo Fisher Scientific Inc. From April 2009 to May 2011, Dr. Witney served as President and Chief Executive Officer of Dionex Corporation, a provider of analytical instrumentation and related accessories and chemicals. From December 2008 to April 2009, Dr. Witney served as Affymetrix’s Executive Vice President and Chief Commercial Officer. From July 2002 to December 2008, Dr. Witney served as President and Chief Executive Officer of Panomics Inc.</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33333"/>
        </w:rPr>
        <w:t>Dr. Witney currently serves on the boards of directors of Revvity Inc. (NYSE: RVTY), Cerus Corporation (Nasdaq: CERS), Leinco Technologies, Inc., and Biologos. He has previously served on the boards of directors of Telesis Bio (Nasdaq: TBIO), Gyros Protein Technologies, RareCyte Inc., GeneOptx, Canopy Bioscience, Emulate, Inc., BioEcho Life Science, JumpCode Genomics, Inc., and Nexcelom Inc. Dr. Witney earned a B.S. in microbiology from the University of Illinois as well as a M.S. in microbiology and a Ph.D. in molecular and cellular biology from Indiana University. We believe that Dr. Witney’s experience in the life sciences industry and his relevant public board experience qualify him to serve on our Board.</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333333"/>
        </w:rPr>
        <w:t>At each annual meeting of stockholders, a class of directors is elected for a term of three years to succeed the class of directors whose terms are then expiring. The terms of the Class I, Class II and Class III Directors will expire upon the election and qualification of successor directors at the annual meeting of stockholders to be held during the year 2026 for the Class I Directors, 2027 for the Class II Directors, and 2028 for the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3"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2024 Board Meetings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During fiscal year 2024, our Board held 12 meetings (including regularly scheduled and special meetings), and the various standing committees of our Board held a total of 20 meetings. All of our directors attended at least 75% of the aggregate number of meetings of the Board and of the committees on which they served during the past fiscal year, in each case during the period that they served as a director, except for Eli Casdin who attended 19 of the 27 meetings of the Board and of the committees on which he served during the past fiscal year.</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Director Attendance at Annual Meeting of Stockholders</w:t>
      </w:r>
    </w:p>
    <w:p>
      <w:pPr>
        <w:spacing w:after="0" w:line="139"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333333"/>
        </w:rPr>
        <w:t>Although we do not have a formal policy regarding attendance by members of our Board at annual meetings of stockholders, we encourage all directors to attend.</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Board Leadership Structure</w:t>
      </w:r>
    </w:p>
    <w:p>
      <w:pPr>
        <w:spacing w:after="0" w:line="139" w:lineRule="exact"/>
        <w:rPr>
          <w:sz w:val="20"/>
          <w:szCs w:val="20"/>
          <w:color w:val="auto"/>
        </w:rPr>
      </w:pPr>
    </w:p>
    <w:p>
      <w:pPr>
        <w:jc w:val="both"/>
        <w:ind w:right="220"/>
        <w:spacing w:after="0" w:line="259" w:lineRule="auto"/>
        <w:rPr>
          <w:sz w:val="20"/>
          <w:szCs w:val="20"/>
          <w:color w:val="auto"/>
        </w:rPr>
      </w:pPr>
      <w:r>
        <w:rPr>
          <w:rFonts w:ascii="Arial" w:cs="Arial" w:eastAsia="Arial" w:hAnsi="Arial"/>
          <w:sz w:val="16"/>
          <w:szCs w:val="16"/>
          <w:color w:val="333333"/>
        </w:rPr>
        <w:t>Our corporate governance principles provide that the Board will fill the Chairperson and CEO positions based upon the Board’s view of what is in our best interests at any point in time. Although our current Chairperson is a non-employee director, the Board has not adopted any policy requiring separation of the Chairperson and CEO positions or requiring allocation of the Chairperson position to a non-employee director.</w:t>
      </w:r>
    </w:p>
    <w:p>
      <w:pPr>
        <w:spacing w:after="0" w:line="12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333333"/>
        </w:rPr>
        <w:t>Thomas Carey, an independent director with substantial public board and Chairperson experience, as well as extensive executive leadership experience, currently serves as our Chairperson. Mr. Carey previously served as a member of the board of directors of Exact Sciences Corporation’s (Nasdaq: EXAS), a publicly traded cancer diagnostics company, a member of the board of directors of SomaLogic (which previously traded under Nasdaq: SLGC) and as Chairperson of the board of directors of Vital Biosciences, Inc., a venture capital backed point-of-care diagnostics company. Our Board believes that Mr. Carey’s qualifications to serve as Chairperson include his more than twenty years of broad life sciences industry expertise and his background in finance.</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333333"/>
        </w:rPr>
        <w:t>Separating the positions of Chairperson and CEO allows our CEO to focus on our day-to-day business, while allowing our Chairperson to lead our Board in its fundamental role providing independent advice to and oversight of management. The Board believes that having an independent director serve as Chairperson is the appropriate leadership structure for Standard BioTools at this time and demonstrates our commitment to good corporate governance.</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Director Independence</w:t>
      </w:r>
    </w:p>
    <w:p>
      <w:pPr>
        <w:spacing w:after="0" w:line="13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333333"/>
        </w:rPr>
        <w:t>As a company listed on The Nasdaq Global Select Market, we are required by the applicable listing requirements of the Nasdaq Stock Market LLC (“Nasdaq”) to maintain a board of directors comprising a majority of “independent directors,” as determined affirmatively by our Board. In addition, applicable Nasdaq rules require that, subject to specified exceptions, each member of our Audit, Human Capital, and Nominating and Corporate Governance Committees be independent. In April, 2025,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more than a majority of our current directors are “independent directors” as defined under applicable Nasdaq rules, including Eli Casdin, Thomas Carey, Troy Cox, Kathy Hibbs, Frank Witney, Ph.D., and Fenel M. Eloi. Michael Egholm, Ph.D. is the only current director who is not considered an independent director because of his positions as our President and CEO. Our Board was composed of a majority of independent directors at all times during 2024 and continues to be so comprised. There are no family relationships among any of our directors and officers nor were there any such relationships during 2024.</w:t>
      </w:r>
    </w:p>
    <w:p>
      <w:pPr>
        <w:spacing w:after="0" w:line="13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333333"/>
        </w:rPr>
        <w:t>There are no legal proceedings to which any of our directors or executive officers is a party adverse to us or our subsidiary or in which any such person has a material interest adverse to us or our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61"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Executive Sessions of Independent Directors</w:t>
      </w:r>
    </w:p>
    <w:p>
      <w:pPr>
        <w:spacing w:after="0" w:line="13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333333"/>
        </w:rPr>
        <w:t>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independent Chairperson. Dr. Egholm does not participate in such sessions.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Board’s Role in Risk Oversight</w:t>
      </w:r>
    </w:p>
    <w:p>
      <w:pPr>
        <w:spacing w:after="0" w:line="13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333333"/>
        </w:rPr>
        <w:t>While our management team is responsible for the day-to-day management of the risks Standard BioTools faces, our Board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conducts annual enterprise risk management assessments, facilitated by the Company’s executive leadership team in collaboration with the internal audit function, which are presented by management annually at a Board meeting. The Company’s information technology team conducts cybersecurity assessments, which are presented at each quarterly Audit Committee meeting. The Company is working toward enhancing its compliance policies, procedures, and practices to continuously improve the Company’s approach to risk management. The Board’s review of our business is an integral aspect of its assessment of management’s tolerance for risk and its determination as to the appropriate level of risk for our Company.</w:t>
      </w:r>
    </w:p>
    <w:p>
      <w:pPr>
        <w:spacing w:after="0" w:line="130" w:lineRule="exact"/>
        <w:rPr>
          <w:sz w:val="20"/>
          <w:szCs w:val="20"/>
          <w:color w:val="auto"/>
        </w:rPr>
      </w:pPr>
    </w:p>
    <w:p>
      <w:pPr>
        <w:spacing w:after="0" w:line="250" w:lineRule="auto"/>
        <w:rPr>
          <w:sz w:val="20"/>
          <w:szCs w:val="20"/>
          <w:color w:val="auto"/>
        </w:rPr>
      </w:pPr>
      <w:r>
        <w:rPr>
          <w:rFonts w:ascii="Arial" w:cs="Arial" w:eastAsia="Arial" w:hAnsi="Arial"/>
          <w:sz w:val="16"/>
          <w:szCs w:val="16"/>
          <w:color w:val="333333"/>
        </w:rPr>
        <w:t>Although the Board has determined that enterprise risk management should be the responsibility of the Board as a whole, it has delegated responsibility to oversee specific areas of risk management to its committees. Our Audit Committee focuses on financial risks, including risks related to the Company’s investment policy and practices, as well as overseeing and reviewing the Company’s cybersecurity, data privacy, and other information technology risks, controls, and procedures, including the Company’s plans to mitigate cybersecurity risks and respond to data breaches. The Audit Committee also monitors the Company’s compliance with laws, regulations, and related Company policies, including our whistleblower policy, anticorruption compliance policy, related person transactions policy, and Code of Ethics and Conduct. Our Nominating and Corporate Governance Committee additionally assists the Board in fulfilling its oversight responsibilities with respect to the management of risk associated with corporate governance and board organization, membership, and structure. Our Human Capital Committee considers risks related to the attraction and retention of talent and risks related to the design of compensation programs and arrangements.</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333333"/>
        </w:rPr>
        <w:t>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periodic reports on our compliance programs and efforts to our Audit Committee and reports with respect to governance to the Nominating and Corporate Governance Committee.</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Board Committees</w:t>
      </w:r>
    </w:p>
    <w:p>
      <w:pPr>
        <w:spacing w:after="0" w:line="139"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333333"/>
        </w:rPr>
        <w:t>Our Board has three standing committees: an Audit Committee, a Human Capital Committee (previously referred to as the Compensation Committee), and a Nominating and Corporate Governance Committee. Each committee operates under a written charter approved by our Board that satisfies the applicable standards of the SEC and Nasdaq. The committee charters are available on our website at https://investors.StandardBio.com by clicking on “Governance — Governance Overview.”</w:t>
      </w:r>
    </w:p>
    <w:p>
      <w:pPr>
        <w:spacing w:after="0" w:line="12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i w:val="1"/>
          <w:iCs w:val="1"/>
          <w:color w:val="333333"/>
        </w:rPr>
        <w:t xml:space="preserve">Audit Committee. </w:t>
      </w:r>
      <w:r>
        <w:rPr>
          <w:rFonts w:ascii="Arial" w:cs="Arial" w:eastAsia="Arial" w:hAnsi="Arial"/>
          <w:sz w:val="16"/>
          <w:szCs w:val="16"/>
          <w:color w:val="333333"/>
        </w:rPr>
        <w:t>Our Audit Committee met six times during the fiscal year ended December 31, 2024. Our Audit Committee is</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currently chaired by Mr. Eloi. The current committee members are Mr. Eloi, Mr. Cox, Ms. Hibbs, and Dr. Witney. Our Board has determined that each member of the Audit Committee is independent and financially literate under the current rules and regulations of the SEC and Nasdaq and that Mr. Eloi qualifies as an “audit committee financial expert” within the meaning of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5"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333333"/>
        </w:rPr>
        <w:t>The Audit Committee oversees our corporate accounting and financial reporting process and the financial and cybersecurity aspects of our enterprise risk management process and assists our Board in monitoring our financial systems and our legal and regulatory compliance. Our Audit Committee is authorized to, among other things:</w:t>
      </w:r>
    </w:p>
    <w:p>
      <w:pPr>
        <w:spacing w:after="0" w:line="131" w:lineRule="exact"/>
        <w:rPr>
          <w:sz w:val="20"/>
          <w:szCs w:val="20"/>
          <w:color w:val="auto"/>
        </w:rPr>
      </w:pPr>
    </w:p>
    <w:p>
      <w:pPr>
        <w:ind w:left="720" w:hanging="354"/>
        <w:spacing w:after="0"/>
        <w:tabs>
          <w:tab w:leader="none" w:pos="72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oversee the work of our independent registered public accounting firm;</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approve the hiring, discharge, and compensation of our independent registered public accounting firm;</w:t>
      </w:r>
    </w:p>
    <w:p>
      <w:pPr>
        <w:spacing w:after="0" w:line="86" w:lineRule="exact"/>
        <w:rPr>
          <w:rFonts w:ascii="Arial" w:cs="Arial" w:eastAsia="Arial" w:hAnsi="Arial"/>
          <w:sz w:val="16"/>
          <w:szCs w:val="16"/>
          <w:color w:val="333333"/>
        </w:rPr>
      </w:pPr>
    </w:p>
    <w:p>
      <w:pPr>
        <w:ind w:left="720" w:right="80" w:hanging="354"/>
        <w:spacing w:after="0" w:line="286" w:lineRule="auto"/>
        <w:tabs>
          <w:tab w:leader="none" w:pos="72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approve engagements of our independent registered public accounting firm to render any audit or permissible non-audit services;</w:t>
      </w:r>
    </w:p>
    <w:p>
      <w:pPr>
        <w:spacing w:after="0" w:line="7" w:lineRule="exact"/>
        <w:rPr>
          <w:rFonts w:ascii="Arial" w:cs="Arial" w:eastAsia="Arial" w:hAnsi="Arial"/>
          <w:sz w:val="16"/>
          <w:szCs w:val="16"/>
          <w:color w:val="333333"/>
        </w:rPr>
      </w:pPr>
    </w:p>
    <w:p>
      <w:pPr>
        <w:ind w:left="720" w:hanging="354"/>
        <w:spacing w:after="0"/>
        <w:tabs>
          <w:tab w:leader="none" w:pos="72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evaluate the qualifications, independence, and performance of our independent registered public accounting firm;</w:t>
      </w:r>
    </w:p>
    <w:p>
      <w:pPr>
        <w:spacing w:after="0" w:line="72" w:lineRule="exact"/>
        <w:rPr>
          <w:rFonts w:ascii="Arial" w:cs="Arial" w:eastAsia="Arial" w:hAnsi="Arial"/>
          <w:sz w:val="16"/>
          <w:szCs w:val="16"/>
          <w:color w:val="333333"/>
        </w:rPr>
      </w:pPr>
    </w:p>
    <w:p>
      <w:pPr>
        <w:ind w:left="720" w:right="60" w:hanging="354"/>
        <w:spacing w:after="0" w:line="286" w:lineRule="auto"/>
        <w:tabs>
          <w:tab w:leader="none" w:pos="72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discuss and, as appropriate, review with management and our independent registered public accounting firm our annual and quarterly financial statements and our major critical accounting policies and practices;</w:t>
      </w:r>
    </w:p>
    <w:p>
      <w:pPr>
        <w:spacing w:after="0" w:line="20" w:lineRule="exact"/>
        <w:rPr>
          <w:rFonts w:ascii="Arial" w:cs="Arial" w:eastAsia="Arial" w:hAnsi="Arial"/>
          <w:sz w:val="16"/>
          <w:szCs w:val="16"/>
          <w:color w:val="333333"/>
        </w:rPr>
      </w:pPr>
    </w:p>
    <w:p>
      <w:pPr>
        <w:ind w:left="720" w:hanging="354"/>
        <w:spacing w:after="0"/>
        <w:tabs>
          <w:tab w:leader="none" w:pos="72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review management’s assessment of our internal controls; and</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review the adequacy and effectiveness of our internal control policies and procedures.</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i w:val="1"/>
          <w:iCs w:val="1"/>
          <w:color w:val="333333"/>
        </w:rPr>
        <w:t xml:space="preserve">Human Capital Committee. </w:t>
      </w:r>
      <w:r>
        <w:rPr>
          <w:rFonts w:ascii="Arial" w:cs="Arial" w:eastAsia="Arial" w:hAnsi="Arial"/>
          <w:sz w:val="16"/>
          <w:szCs w:val="16"/>
          <w:color w:val="333333"/>
        </w:rPr>
        <w:t>Our Human Capital Committee met six times during the fiscal year ended December 31, 2024. Our</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Human Capital Committee is currently chaired by Dr. Witney. The current members of the committee are Dr. Witney, Mr. Casdin and Mr. Cox. Each member of the Human Capital Committee is an independent director under the applicable rules and regulations of the SEC and Nasdaq. Furthermore, if required to ensure compliance with Rule 16b-3 under the Exchange Act, a subcommittee of the Human Capital Committee or the Board considers and approves the grant of equity awards to our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333333"/>
        </w:rPr>
        <w:t>The Human Capital Committee oversees our corporate compensation programs and is authorized to, among other things:</w:t>
      </w:r>
    </w:p>
    <w:p>
      <w:pPr>
        <w:spacing w:after="0" w:line="181" w:lineRule="exact"/>
        <w:rPr>
          <w:sz w:val="20"/>
          <w:szCs w:val="20"/>
          <w:color w:val="auto"/>
        </w:rPr>
      </w:pPr>
    </w:p>
    <w:p>
      <w:pPr>
        <w:ind w:left="720" w:right="20" w:hanging="354"/>
        <w:spacing w:after="0" w:line="286" w:lineRule="auto"/>
        <w:tabs>
          <w:tab w:leader="none" w:pos="720" w:val="left"/>
        </w:tabs>
        <w:numPr>
          <w:ilvl w:val="0"/>
          <w:numId w:val="16"/>
        </w:numPr>
        <w:rPr>
          <w:rFonts w:ascii="Arial" w:cs="Arial" w:eastAsia="Arial" w:hAnsi="Arial"/>
          <w:sz w:val="16"/>
          <w:szCs w:val="16"/>
          <w:color w:val="333333"/>
        </w:rPr>
      </w:pPr>
      <w:r>
        <w:rPr>
          <w:rFonts w:ascii="Arial" w:cs="Arial" w:eastAsia="Arial" w:hAnsi="Arial"/>
          <w:sz w:val="16"/>
          <w:szCs w:val="16"/>
          <w:color w:val="333333"/>
        </w:rPr>
        <w:t>review and approve, or make recommendations to the Board to approve, the compensation and benefits of our CEO and other executive officers;</w:t>
      </w:r>
    </w:p>
    <w:p>
      <w:pPr>
        <w:spacing w:after="0" w:line="20" w:lineRule="exact"/>
        <w:rPr>
          <w:rFonts w:ascii="Arial" w:cs="Arial" w:eastAsia="Arial" w:hAnsi="Arial"/>
          <w:sz w:val="16"/>
          <w:szCs w:val="16"/>
          <w:color w:val="333333"/>
        </w:rPr>
      </w:pPr>
    </w:p>
    <w:p>
      <w:pPr>
        <w:ind w:left="720" w:right="120" w:hanging="354"/>
        <w:spacing w:after="0" w:line="286" w:lineRule="auto"/>
        <w:tabs>
          <w:tab w:leader="none" w:pos="720" w:val="left"/>
        </w:tabs>
        <w:numPr>
          <w:ilvl w:val="0"/>
          <w:numId w:val="16"/>
        </w:numPr>
        <w:rPr>
          <w:rFonts w:ascii="Arial" w:cs="Arial" w:eastAsia="Arial" w:hAnsi="Arial"/>
          <w:sz w:val="16"/>
          <w:szCs w:val="16"/>
          <w:color w:val="333333"/>
        </w:rPr>
      </w:pPr>
      <w:r>
        <w:rPr>
          <w:rFonts w:ascii="Arial" w:cs="Arial" w:eastAsia="Arial" w:hAnsi="Arial"/>
          <w:sz w:val="16"/>
          <w:szCs w:val="16"/>
          <w:color w:val="333333"/>
        </w:rPr>
        <w:t>review and approve, or make recommendations to the Board to approve, our corporate goals and objectives relevant to the compensation of our CEO;</w:t>
      </w:r>
    </w:p>
    <w:p>
      <w:pPr>
        <w:spacing w:after="0" w:line="7" w:lineRule="exact"/>
        <w:rPr>
          <w:rFonts w:ascii="Arial" w:cs="Arial" w:eastAsia="Arial" w:hAnsi="Arial"/>
          <w:sz w:val="16"/>
          <w:szCs w:val="16"/>
          <w:color w:val="333333"/>
        </w:rPr>
      </w:pPr>
    </w:p>
    <w:p>
      <w:pPr>
        <w:ind w:left="720" w:hanging="354"/>
        <w:spacing w:after="0"/>
        <w:tabs>
          <w:tab w:leader="none" w:pos="720" w:val="left"/>
        </w:tabs>
        <w:numPr>
          <w:ilvl w:val="0"/>
          <w:numId w:val="16"/>
        </w:numPr>
        <w:rPr>
          <w:rFonts w:ascii="Arial" w:cs="Arial" w:eastAsia="Arial" w:hAnsi="Arial"/>
          <w:sz w:val="16"/>
          <w:szCs w:val="16"/>
          <w:color w:val="333333"/>
        </w:rPr>
      </w:pPr>
      <w:r>
        <w:rPr>
          <w:rFonts w:ascii="Arial" w:cs="Arial" w:eastAsia="Arial" w:hAnsi="Arial"/>
          <w:sz w:val="16"/>
          <w:szCs w:val="16"/>
          <w:color w:val="333333"/>
        </w:rPr>
        <w:t>provide oversight of the Company’s overall compensation plans and benefits program; and</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16"/>
        </w:numPr>
        <w:rPr>
          <w:rFonts w:ascii="Arial" w:cs="Arial" w:eastAsia="Arial" w:hAnsi="Arial"/>
          <w:sz w:val="16"/>
          <w:szCs w:val="16"/>
          <w:color w:val="333333"/>
        </w:rPr>
      </w:pPr>
      <w:r>
        <w:rPr>
          <w:rFonts w:ascii="Arial" w:cs="Arial" w:eastAsia="Arial" w:hAnsi="Arial"/>
          <w:sz w:val="16"/>
          <w:szCs w:val="16"/>
          <w:color w:val="333333"/>
        </w:rPr>
        <w:t>administer our equity incentive plans.</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i w:val="1"/>
          <w:iCs w:val="1"/>
          <w:color w:val="333333"/>
        </w:rPr>
        <w:t xml:space="preserve">Nominating and Corporate Governance Committee. </w:t>
      </w:r>
      <w:r>
        <w:rPr>
          <w:rFonts w:ascii="Arial" w:cs="Arial" w:eastAsia="Arial" w:hAnsi="Arial"/>
          <w:sz w:val="16"/>
          <w:szCs w:val="16"/>
          <w:color w:val="333333"/>
        </w:rPr>
        <w:t>Our Nominating and Corporate Governance Committee met eight times</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during the fiscal year ended December 31, 2024. Our Nominating and Corporate Governance Committee is currently chaired by Mr. Carey. The current members of the committee are Mr. Carey, Mr. Casdin and Ms. Hibbs. Our Board has determined that each member of our Nominating and Corporate Governance Committee is an independent director under the applicable rules and regulations of the SEC and Nasdaq.</w:t>
      </w:r>
    </w:p>
    <w:p>
      <w:pPr>
        <w:spacing w:after="0" w:line="126" w:lineRule="exact"/>
        <w:rPr>
          <w:sz w:val="20"/>
          <w:szCs w:val="20"/>
          <w:color w:val="auto"/>
        </w:rPr>
      </w:pPr>
    </w:p>
    <w:p>
      <w:pPr>
        <w:spacing w:after="0" w:line="266" w:lineRule="auto"/>
        <w:rPr>
          <w:sz w:val="20"/>
          <w:szCs w:val="20"/>
          <w:color w:val="auto"/>
        </w:rPr>
      </w:pPr>
      <w:r>
        <w:rPr>
          <w:rFonts w:ascii="Arial" w:cs="Arial" w:eastAsia="Arial" w:hAnsi="Arial"/>
          <w:sz w:val="16"/>
          <w:szCs w:val="16"/>
          <w:color w:val="333333"/>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333333"/>
        </w:rPr>
        <w:t>The Nominating and Corporate Governance Committee also reviews our initiatives with respect to sustainability and corporate responsibility, including environmental and social matters.</w:t>
      </w:r>
    </w:p>
    <w:p>
      <w:pPr>
        <w:spacing w:after="0" w:line="129" w:lineRule="exact"/>
        <w:rPr>
          <w:sz w:val="20"/>
          <w:szCs w:val="20"/>
          <w:color w:val="auto"/>
        </w:rPr>
      </w:pPr>
    </w:p>
    <w:p>
      <w:pPr>
        <w:ind w:left="720" w:right="560" w:hanging="354"/>
        <w:spacing w:after="0" w:line="286" w:lineRule="auto"/>
        <w:tabs>
          <w:tab w:leader="none" w:pos="720"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evaluate and make recommendations regarding the composition, organization, and governance of the Board and its committees;</w:t>
      </w:r>
    </w:p>
    <w:p>
      <w:pPr>
        <w:spacing w:after="0" w:line="7" w:lineRule="exact"/>
        <w:rPr>
          <w:rFonts w:ascii="Arial" w:cs="Arial" w:eastAsia="Arial" w:hAnsi="Arial"/>
          <w:sz w:val="16"/>
          <w:szCs w:val="16"/>
          <w:color w:val="333333"/>
        </w:rPr>
      </w:pPr>
    </w:p>
    <w:p>
      <w:pPr>
        <w:ind w:left="720" w:right="1060" w:hanging="354"/>
        <w:spacing w:after="0" w:line="286" w:lineRule="auto"/>
        <w:tabs>
          <w:tab w:leader="none" w:pos="720"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evaluate the performance of members of the Board and make recommendations regarding committee and Chair assignments;</w:t>
      </w:r>
    </w:p>
    <w:p>
      <w:pPr>
        <w:spacing w:after="0" w:line="7" w:lineRule="exact"/>
        <w:rPr>
          <w:rFonts w:ascii="Arial" w:cs="Arial" w:eastAsia="Arial" w:hAnsi="Arial"/>
          <w:sz w:val="16"/>
          <w:szCs w:val="16"/>
          <w:color w:val="333333"/>
        </w:rPr>
      </w:pPr>
    </w:p>
    <w:p>
      <w:pPr>
        <w:ind w:left="720" w:hanging="354"/>
        <w:spacing w:after="0"/>
        <w:tabs>
          <w:tab w:leader="none" w:pos="720"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recommend desired qualifications for Board membership and conduct searches for potential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6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hanging="354"/>
        <w:spacing w:after="0"/>
        <w:tabs>
          <w:tab w:leader="none" w:pos="720" w:val="left"/>
        </w:tabs>
        <w:numPr>
          <w:ilvl w:val="0"/>
          <w:numId w:val="18"/>
        </w:numPr>
        <w:rPr>
          <w:rFonts w:ascii="Arial" w:cs="Arial" w:eastAsia="Arial" w:hAnsi="Arial"/>
          <w:sz w:val="16"/>
          <w:szCs w:val="16"/>
          <w:color w:val="333333"/>
        </w:rPr>
      </w:pPr>
      <w:r>
        <w:rPr>
          <w:rFonts w:ascii="Arial" w:cs="Arial" w:eastAsia="Arial" w:hAnsi="Arial"/>
          <w:sz w:val="16"/>
          <w:szCs w:val="16"/>
          <w:color w:val="333333"/>
        </w:rPr>
        <w:t>oversee the orientation process for new directors and continuing director education;</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18"/>
        </w:numPr>
        <w:rPr>
          <w:rFonts w:ascii="Arial" w:cs="Arial" w:eastAsia="Arial" w:hAnsi="Arial"/>
          <w:sz w:val="16"/>
          <w:szCs w:val="16"/>
          <w:color w:val="333333"/>
        </w:rPr>
      </w:pPr>
      <w:r>
        <w:rPr>
          <w:rFonts w:ascii="Arial" w:cs="Arial" w:eastAsia="Arial" w:hAnsi="Arial"/>
          <w:sz w:val="16"/>
          <w:szCs w:val="16"/>
          <w:color w:val="333333"/>
        </w:rPr>
        <w:t>review and recommend Board compensation programs for outside directors;</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18"/>
        </w:numPr>
        <w:rPr>
          <w:rFonts w:ascii="Arial" w:cs="Arial" w:eastAsia="Arial" w:hAnsi="Arial"/>
          <w:sz w:val="16"/>
          <w:szCs w:val="16"/>
          <w:color w:val="333333"/>
        </w:rPr>
      </w:pPr>
      <w:r>
        <w:rPr>
          <w:rFonts w:ascii="Arial" w:cs="Arial" w:eastAsia="Arial" w:hAnsi="Arial"/>
          <w:sz w:val="16"/>
          <w:szCs w:val="16"/>
          <w:color w:val="333333"/>
        </w:rPr>
        <w:t>review and make recommendations concerning management succession planning; and</w:t>
      </w:r>
    </w:p>
    <w:p>
      <w:pPr>
        <w:spacing w:after="0" w:line="86" w:lineRule="exact"/>
        <w:rPr>
          <w:rFonts w:ascii="Arial" w:cs="Arial" w:eastAsia="Arial" w:hAnsi="Arial"/>
          <w:sz w:val="16"/>
          <w:szCs w:val="16"/>
          <w:color w:val="333333"/>
        </w:rPr>
      </w:pPr>
    </w:p>
    <w:p>
      <w:pPr>
        <w:ind w:left="720" w:hanging="354"/>
        <w:spacing w:after="0"/>
        <w:tabs>
          <w:tab w:leader="none" w:pos="720" w:val="left"/>
        </w:tabs>
        <w:numPr>
          <w:ilvl w:val="0"/>
          <w:numId w:val="18"/>
        </w:numPr>
        <w:rPr>
          <w:rFonts w:ascii="Arial" w:cs="Arial" w:eastAsia="Arial" w:hAnsi="Arial"/>
          <w:sz w:val="16"/>
          <w:szCs w:val="16"/>
          <w:color w:val="333333"/>
        </w:rPr>
      </w:pPr>
      <w:r>
        <w:rPr>
          <w:rFonts w:ascii="Arial" w:cs="Arial" w:eastAsia="Arial" w:hAnsi="Arial"/>
          <w:sz w:val="16"/>
          <w:szCs w:val="16"/>
          <w:color w:val="333333"/>
        </w:rPr>
        <w:t>develop and make recommendations with regard to our corporate governance guidelines.</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Compensation (Human Capital) Committee Interlocks and Insider Participation</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None of the members of our Human Capital Committee during our last fiscal year (which included Dr. Witney, Mr. Casdin, Mr. Cox, and Dr. Madaus) was an officer or employee of our Company. During our last fiscal year, none of our executive officers served as a member of the board of directors or compensation committee of any entity that has one or more executive officers serving on our Board or Human Capital Committee.</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Considerations in Identifying and Evaluating Director Nominees</w:t>
      </w:r>
    </w:p>
    <w:p>
      <w:pPr>
        <w:spacing w:after="0" w:line="153" w:lineRule="exact"/>
        <w:rPr>
          <w:sz w:val="20"/>
          <w:szCs w:val="20"/>
          <w:color w:val="auto"/>
        </w:rPr>
      </w:pPr>
    </w:p>
    <w:p>
      <w:pPr>
        <w:jc w:val="both"/>
        <w:ind w:right="160"/>
        <w:spacing w:after="0" w:line="256" w:lineRule="auto"/>
        <w:rPr>
          <w:sz w:val="20"/>
          <w:szCs w:val="20"/>
          <w:color w:val="auto"/>
        </w:rPr>
      </w:pPr>
      <w:r>
        <w:rPr>
          <w:rFonts w:ascii="Arial" w:cs="Arial" w:eastAsia="Arial" w:hAnsi="Arial"/>
          <w:sz w:val="16"/>
          <w:szCs w:val="16"/>
          <w:color w:val="333333"/>
        </w:rPr>
        <w:t>Our Nominating and Corporate Governance Committee has established policies and procedures relating to the consideration of any individual recommended as a prospective director nominee from stockholders. Please see the section entitled “</w:t>
      </w:r>
      <w:r>
        <w:rPr>
          <w:rFonts w:ascii="Arial" w:cs="Arial" w:eastAsia="Arial" w:hAnsi="Arial"/>
          <w:sz w:val="16"/>
          <w:szCs w:val="16"/>
          <w:i w:val="1"/>
          <w:iCs w:val="1"/>
          <w:color w:val="333333"/>
        </w:rPr>
        <w:t>Process for</w:t>
      </w:r>
      <w:r>
        <w:rPr>
          <w:rFonts w:ascii="Arial" w:cs="Arial" w:eastAsia="Arial" w:hAnsi="Arial"/>
          <w:sz w:val="16"/>
          <w:szCs w:val="16"/>
          <w:color w:val="333333"/>
        </w:rPr>
        <w:t xml:space="preserve"> </w:t>
      </w:r>
      <w:r>
        <w:rPr>
          <w:rFonts w:ascii="Arial" w:cs="Arial" w:eastAsia="Arial" w:hAnsi="Arial"/>
          <w:sz w:val="16"/>
          <w:szCs w:val="16"/>
          <w:i w:val="1"/>
          <w:iCs w:val="1"/>
          <w:color w:val="333333"/>
        </w:rPr>
        <w:t>Recommending Candidates to the Board of Directors</w:t>
      </w:r>
      <w:r>
        <w:rPr>
          <w:rFonts w:ascii="Arial" w:cs="Arial" w:eastAsia="Arial" w:hAnsi="Arial"/>
          <w:sz w:val="16"/>
          <w:szCs w:val="16"/>
          <w:color w:val="333333"/>
        </w:rPr>
        <w:t>” below for details. The Nominating and Corporate Governance Committee</w:t>
      </w:r>
      <w:r>
        <w:rPr>
          <w:rFonts w:ascii="Arial" w:cs="Arial" w:eastAsia="Arial" w:hAnsi="Arial"/>
          <w:sz w:val="16"/>
          <w:szCs w:val="16"/>
          <w:i w:val="1"/>
          <w:iCs w:val="1"/>
          <w:color w:val="333333"/>
        </w:rPr>
        <w:t xml:space="preserve"> </w:t>
      </w:r>
      <w:r>
        <w:rPr>
          <w:rFonts w:ascii="Arial" w:cs="Arial" w:eastAsia="Arial" w:hAnsi="Arial"/>
          <w:sz w:val="16"/>
          <w:szCs w:val="16"/>
          <w:color w:val="333333"/>
        </w:rPr>
        <w:t>will consider candidates recommended by stockholders in the same manner as candidates recommended to the Committee from other sources.</w:t>
      </w:r>
    </w:p>
    <w:p>
      <w:pPr>
        <w:spacing w:after="0" w:line="12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333333"/>
        </w:rPr>
        <w:t>The Nominating and Corporate Governance Committee is responsible for determining the criteria for membership to our Board and recommending candidates for election to the Board. In its evaluation of director candidates, including the members of the Board eligible for reelection, our Nominating and Corporate Governance Committee considers the following:</w:t>
      </w:r>
    </w:p>
    <w:p>
      <w:pPr>
        <w:spacing w:after="0" w:line="131" w:lineRule="exact"/>
        <w:rPr>
          <w:sz w:val="20"/>
          <w:szCs w:val="20"/>
          <w:color w:val="auto"/>
        </w:rPr>
      </w:pPr>
    </w:p>
    <w:p>
      <w:pPr>
        <w:ind w:left="720" w:hanging="354"/>
        <w:spacing w:after="0"/>
        <w:tabs>
          <w:tab w:leader="none" w:pos="720" w:val="left"/>
        </w:tabs>
        <w:numPr>
          <w:ilvl w:val="0"/>
          <w:numId w:val="19"/>
        </w:numPr>
        <w:rPr>
          <w:rFonts w:ascii="Arial" w:cs="Arial" w:eastAsia="Arial" w:hAnsi="Arial"/>
          <w:sz w:val="16"/>
          <w:szCs w:val="16"/>
          <w:color w:val="333333"/>
        </w:rPr>
      </w:pPr>
      <w:r>
        <w:rPr>
          <w:rFonts w:ascii="Arial" w:cs="Arial" w:eastAsia="Arial" w:hAnsi="Arial"/>
          <w:sz w:val="16"/>
          <w:szCs w:val="16"/>
          <w:color w:val="333333"/>
        </w:rPr>
        <w:t>the current size and composition of our Board and the needs of the Board and its respective committees;</w:t>
      </w:r>
    </w:p>
    <w:p>
      <w:pPr>
        <w:spacing w:after="0" w:line="72" w:lineRule="exact"/>
        <w:rPr>
          <w:rFonts w:ascii="Arial" w:cs="Arial" w:eastAsia="Arial" w:hAnsi="Arial"/>
          <w:sz w:val="16"/>
          <w:szCs w:val="16"/>
          <w:color w:val="333333"/>
        </w:rPr>
      </w:pPr>
    </w:p>
    <w:p>
      <w:pPr>
        <w:ind w:left="720" w:right="100" w:hanging="354"/>
        <w:spacing w:after="0" w:line="286" w:lineRule="auto"/>
        <w:tabs>
          <w:tab w:leader="none" w:pos="720" w:val="left"/>
        </w:tabs>
        <w:numPr>
          <w:ilvl w:val="0"/>
          <w:numId w:val="19"/>
        </w:numPr>
        <w:rPr>
          <w:rFonts w:ascii="Arial" w:cs="Arial" w:eastAsia="Arial" w:hAnsi="Arial"/>
          <w:sz w:val="16"/>
          <w:szCs w:val="16"/>
          <w:color w:val="333333"/>
        </w:rPr>
      </w:pPr>
      <w:r>
        <w:rPr>
          <w:rFonts w:ascii="Arial" w:cs="Arial" w:eastAsia="Arial" w:hAnsi="Arial"/>
          <w:sz w:val="16"/>
          <w:szCs w:val="16"/>
          <w:color w:val="333333"/>
        </w:rPr>
        <w:t>factors such as character, integrity, judgment, diversity of background and experience, independence, area of expertise, corporate experience, length of service, potential conflicts of interest, other commitments, and the like; and</w:t>
      </w:r>
    </w:p>
    <w:p>
      <w:pPr>
        <w:spacing w:after="0" w:line="20" w:lineRule="exact"/>
        <w:rPr>
          <w:rFonts w:ascii="Arial" w:cs="Arial" w:eastAsia="Arial" w:hAnsi="Arial"/>
          <w:sz w:val="16"/>
          <w:szCs w:val="16"/>
          <w:color w:val="333333"/>
        </w:rPr>
      </w:pPr>
    </w:p>
    <w:p>
      <w:pPr>
        <w:ind w:left="720" w:hanging="354"/>
        <w:spacing w:after="0"/>
        <w:tabs>
          <w:tab w:leader="none" w:pos="720" w:val="left"/>
        </w:tabs>
        <w:numPr>
          <w:ilvl w:val="0"/>
          <w:numId w:val="19"/>
        </w:numPr>
        <w:rPr>
          <w:rFonts w:ascii="Arial" w:cs="Arial" w:eastAsia="Arial" w:hAnsi="Arial"/>
          <w:sz w:val="16"/>
          <w:szCs w:val="16"/>
          <w:color w:val="333333"/>
        </w:rPr>
      </w:pPr>
      <w:r>
        <w:rPr>
          <w:rFonts w:ascii="Arial" w:cs="Arial" w:eastAsia="Arial" w:hAnsi="Arial"/>
          <w:sz w:val="16"/>
          <w:szCs w:val="16"/>
          <w:color w:val="333333"/>
        </w:rPr>
        <w:t>other factors that our Nominating and Corporate Governance Committee may consider appropriate.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Any nominee for a position on the Board must satisfy the following minimum qualifications:</w:t>
      </w:r>
    </w:p>
    <w:p>
      <w:pPr>
        <w:spacing w:after="0" w:line="181" w:lineRule="exact"/>
        <w:rPr>
          <w:sz w:val="20"/>
          <w:szCs w:val="20"/>
          <w:color w:val="auto"/>
        </w:rPr>
      </w:pPr>
    </w:p>
    <w:p>
      <w:pPr>
        <w:ind w:left="720" w:hanging="354"/>
        <w:spacing w:after="0"/>
        <w:tabs>
          <w:tab w:leader="none" w:pos="720"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the highest personal and professional ethics and integrity;</w:t>
      </w:r>
    </w:p>
    <w:p>
      <w:pPr>
        <w:spacing w:after="0" w:line="86" w:lineRule="exact"/>
        <w:rPr>
          <w:rFonts w:ascii="Arial" w:cs="Arial" w:eastAsia="Arial" w:hAnsi="Arial"/>
          <w:sz w:val="16"/>
          <w:szCs w:val="16"/>
          <w:color w:val="333333"/>
        </w:rPr>
      </w:pPr>
    </w:p>
    <w:p>
      <w:pPr>
        <w:ind w:left="720" w:hanging="354"/>
        <w:spacing w:after="0"/>
        <w:tabs>
          <w:tab w:leader="none" w:pos="720"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proven achievement and competence in the nominee’s field and the ability to exercise sound business judgment;</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skills that are complementary to those of the existing Board;</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the ability to assist and support management and make significant contributions to the Company’s success; and</w:t>
      </w:r>
    </w:p>
    <w:p>
      <w:pPr>
        <w:spacing w:after="0" w:line="86" w:lineRule="exact"/>
        <w:rPr>
          <w:rFonts w:ascii="Arial" w:cs="Arial" w:eastAsia="Arial" w:hAnsi="Arial"/>
          <w:sz w:val="16"/>
          <w:szCs w:val="16"/>
          <w:color w:val="333333"/>
        </w:rPr>
      </w:pPr>
    </w:p>
    <w:p>
      <w:pPr>
        <w:ind w:left="720" w:right="320" w:hanging="354"/>
        <w:spacing w:after="0" w:line="286" w:lineRule="auto"/>
        <w:tabs>
          <w:tab w:leader="none" w:pos="720"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an understanding of the fiduciary responsibilities required of a member of the Board and the commitment of time and energy necessary to diligently carry out those responsibilities.</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6"/>
          <w:szCs w:val="16"/>
          <w:color w:val="333333"/>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Board, or management. We have from time to time retained a third-party search firm to assist with the identification and evaluation of qualified candidates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Process for Recommending Candidates to the Board of Directors</w:t>
      </w:r>
    </w:p>
    <w:p>
      <w:pPr>
        <w:spacing w:after="0" w:line="139" w:lineRule="exact"/>
        <w:rPr>
          <w:sz w:val="20"/>
          <w:szCs w:val="20"/>
          <w:color w:val="auto"/>
        </w:rPr>
      </w:pPr>
    </w:p>
    <w:p>
      <w:pPr>
        <w:spacing w:after="0" w:line="249" w:lineRule="auto"/>
        <w:rPr>
          <w:sz w:val="20"/>
          <w:szCs w:val="20"/>
          <w:color w:val="auto"/>
        </w:rPr>
      </w:pPr>
      <w:r>
        <w:rPr>
          <w:rFonts w:ascii="Arial" w:cs="Arial" w:eastAsia="Arial" w:hAnsi="Arial"/>
          <w:sz w:val="16"/>
          <w:szCs w:val="16"/>
          <w:color w:val="333333"/>
        </w:rPr>
        <w:t xml:space="preserve">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Stockholder recommendations for candidates to the Board must be directed in writing to Standard BioTools Inc., 2 Tower Place, Suite 2000,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Standard BioTools,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background and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item 29 of the </w:t>
      </w:r>
      <w:r>
        <w:rPr>
          <w:rFonts w:ascii="Arial" w:cs="Arial" w:eastAsia="Arial" w:hAnsi="Arial"/>
          <w:sz w:val="16"/>
          <w:szCs w:val="16"/>
          <w:i w:val="1"/>
          <w:iCs w:val="1"/>
          <w:color w:val="333333"/>
        </w:rPr>
        <w:t>General Information</w:t>
      </w:r>
      <w:r>
        <w:rPr>
          <w:rFonts w:ascii="Arial" w:cs="Arial" w:eastAsia="Arial" w:hAnsi="Arial"/>
          <w:sz w:val="16"/>
          <w:szCs w:val="16"/>
          <w:color w:val="333333"/>
        </w:rPr>
        <w:t xml:space="preserve"> section entitled “</w:t>
      </w:r>
      <w:r>
        <w:rPr>
          <w:rFonts w:ascii="Arial" w:cs="Arial" w:eastAsia="Arial" w:hAnsi="Arial"/>
          <w:sz w:val="16"/>
          <w:szCs w:val="16"/>
          <w:i w:val="1"/>
          <w:iCs w:val="1"/>
          <w:color w:val="333333"/>
        </w:rPr>
        <w:t>What is the</w:t>
      </w:r>
      <w:r>
        <w:rPr>
          <w:rFonts w:ascii="Arial" w:cs="Arial" w:eastAsia="Arial" w:hAnsi="Arial"/>
          <w:sz w:val="16"/>
          <w:szCs w:val="16"/>
          <w:color w:val="333333"/>
        </w:rPr>
        <w:t xml:space="preserve"> </w:t>
      </w:r>
      <w:r>
        <w:rPr>
          <w:rFonts w:ascii="Arial" w:cs="Arial" w:eastAsia="Arial" w:hAnsi="Arial"/>
          <w:sz w:val="16"/>
          <w:szCs w:val="16"/>
          <w:i w:val="1"/>
          <w:iCs w:val="1"/>
          <w:color w:val="333333"/>
        </w:rPr>
        <w:t xml:space="preserve">deadline to propose actions for consideration at next year’s annual meeting of stockholders or to nominate individuals to serve as directors? </w:t>
      </w:r>
      <w:r>
        <w:rPr>
          <w:rFonts w:ascii="Arial" w:cs="Arial" w:eastAsia="Arial" w:hAnsi="Arial"/>
          <w:sz w:val="16"/>
          <w:szCs w:val="16"/>
          <w:color w:val="333333"/>
        </w:rPr>
        <w:t>—</w:t>
      </w:r>
      <w:r>
        <w:rPr>
          <w:rFonts w:ascii="Arial" w:cs="Arial" w:eastAsia="Arial" w:hAnsi="Arial"/>
          <w:sz w:val="16"/>
          <w:szCs w:val="16"/>
          <w:i w:val="1"/>
          <w:iCs w:val="1"/>
          <w:color w:val="333333"/>
        </w:rPr>
        <w:t xml:space="preserve"> Nomination of Director Candidates</w:t>
      </w:r>
      <w:r>
        <w:rPr>
          <w:rFonts w:ascii="Arial" w:cs="Arial" w:eastAsia="Arial" w:hAnsi="Arial"/>
          <w:sz w:val="16"/>
          <w:szCs w:val="16"/>
          <w:color w:val="333333"/>
        </w:rPr>
        <w:t>.”</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Board Tenure and Overboarding Policies</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333333"/>
        </w:rPr>
        <w:t>Our Board is committed to good board governance. In addition to the above, our Board, led by the Nominating and Corporate Governance Committee, has adopted a number of other governance principles applicable to our Board, including a principle of limited tenure for directors. Our Board believes that directors should not have “unlimited tenure” and, in general, a Board tenure of nine to 10 years is encouraged for directors. Prior to each annual meeting of stockholders, including the Annual Meeting, the Nominating and Corporate Governance Committee considers whether each director eligible for reelection should stand for reelection based on tenure, among other factors.</w:t>
      </w:r>
    </w:p>
    <w:p>
      <w:pPr>
        <w:spacing w:after="0" w:line="12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333333"/>
        </w:rPr>
        <w:t>Our Board has also adopted principles relating to “overboarding.” Prior to accepting a position to serve on any board of directors or other governing body of a for-profit corporation, for-profit organization, or other for-profit entity, our directors must notify relevant individuals, including the Chairperson of the Board and the Chairperson of the Nominating and Corporate Governance Committee. Unless an exception is specifically approved, directors may not accept additional board commitments that would cause them to be considered “overboarded” by the standards of Institutional Shareowner Services or Glass Lewis, and in no event should our non-employee directors sit on more than four (4) public-company boards.</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Insider Trading Policy and Policy Against Heding and Pledging</w:t>
      </w:r>
    </w:p>
    <w:p>
      <w:pPr>
        <w:spacing w:after="0" w:line="13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33333"/>
        </w:rPr>
        <w:t>We have adopted our Insider Trading Policy governing the purchase, sale, and/or other dispositions of our securities by all Company personnel, including by our directors, officers, employees, and consultants, as well as certain related persons to such individuals. The Insider Trading Policy prohibits, among other things, insider trading and certain speculative transactions in our securities and other companies’ securities (including short sales, transacting in put and call options and other hedging or derivative transactions in our securities) and establishes a regular blackout period schedule during which directors, executive officers, employees and other covered persons may not trade in the Company’s securities, as well as certain pre-clearance procedures that directors and certain officers, employees and other covered persons must observe prior to effecting any transaction in our securities. Our Insider Trading Policy also prohibits tipping and establishes guidelines for the prevention of insider trading by others. We believe the Insider Trading Policy is reasonably designed to promote compliance with applicable insider trading laws, rules, and regulations, as well as the exchange listing standards applicable to us. The foregoing description of our Insider Trading Policy is qualified in its entirety by reference to the full text of the Insider Trading Policy, filed as Exhibit 19.1 to our 2024 Annual Report, filed with the SEC on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59664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0"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Stockholder Engagement</w:t>
      </w:r>
    </w:p>
    <w:p>
      <w:pPr>
        <w:spacing w:after="0" w:line="13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We believe that understanding the perspective of our stockholders is a key component of good corporate governance and we are committed to an active and robust stockholder engagement program. The goals of our stockholder engagement program are to:</w:t>
      </w:r>
    </w:p>
    <w:p>
      <w:pPr>
        <w:spacing w:after="0" w:line="129" w:lineRule="exact"/>
        <w:rPr>
          <w:sz w:val="20"/>
          <w:szCs w:val="20"/>
          <w:color w:val="auto"/>
        </w:rPr>
      </w:pPr>
    </w:p>
    <w:p>
      <w:pPr>
        <w:ind w:left="720" w:right="420" w:hanging="354"/>
        <w:spacing w:after="0" w:line="286" w:lineRule="auto"/>
        <w:tabs>
          <w:tab w:leader="none" w:pos="720"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provide transparency and visibility into our strategy, our financial and operational performance, and our governance practices;</w:t>
      </w:r>
    </w:p>
    <w:p>
      <w:pPr>
        <w:spacing w:after="0" w:line="7" w:lineRule="exact"/>
        <w:rPr>
          <w:rFonts w:ascii="Arial" w:cs="Arial" w:eastAsia="Arial" w:hAnsi="Arial"/>
          <w:sz w:val="16"/>
          <w:szCs w:val="16"/>
          <w:color w:val="333333"/>
        </w:rPr>
      </w:pPr>
    </w:p>
    <w:p>
      <w:pPr>
        <w:ind w:left="720" w:hanging="354"/>
        <w:spacing w:after="0"/>
        <w:tabs>
          <w:tab w:leader="none" w:pos="720"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determine which issues are important to our stockholders and share our views on those issues; and</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discuss and seek feedback on our business, executive compensation, and corporate governance policies and practices.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33333"/>
        </w:rPr>
        <w:t>We engage with stockholders year-round, involving our investor relations team, senior management, and our Chairperson or Board committee Chairs as appropriate and/or requested. This includes participating in investor conferences, industry, and formal events, in person one-on-one meetings, and conference calls throughout the year.</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Communications with the Board</w:t>
      </w:r>
    </w:p>
    <w:p>
      <w:pPr>
        <w:spacing w:after="0" w:line="153"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333333"/>
        </w:rPr>
        <w:t>We have a practice of regularly engaging with our stockholders to seek their feedback, as further described in the section entitled “</w:t>
      </w:r>
      <w:r>
        <w:rPr>
          <w:rFonts w:ascii="Arial" w:cs="Arial" w:eastAsia="Arial" w:hAnsi="Arial"/>
          <w:sz w:val="16"/>
          <w:szCs w:val="16"/>
          <w:i w:val="1"/>
          <w:iCs w:val="1"/>
          <w:color w:val="333333"/>
        </w:rPr>
        <w:t>Stockholder Engagement</w:t>
      </w:r>
      <w:r>
        <w:rPr>
          <w:rFonts w:ascii="Arial" w:cs="Arial" w:eastAsia="Arial" w:hAnsi="Arial"/>
          <w:sz w:val="16"/>
          <w:szCs w:val="16"/>
          <w:color w:val="333333"/>
        </w:rPr>
        <w:t>” above. Stockholders who wish to communicate with our Board or with an individual member of our Board are welcome to do so either (i) in writing, addressed to: Standard BioTools Inc., 2 Tower Place, Suite 2000, South San Francisco, California 94080, Attn: Corporate Secretary, or (ii) by going online to https://investors.StandardBio.com and clicking on “Governance — Contact the Board.” Communications are distributed to our Board, or to any individual directors as appropriate, depending on the facts and circumstances outlined in the communication.</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Corporate Responsibility and Sustainability</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333333"/>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333333"/>
        </w:rPr>
        <w:t>We have previously adopted the following:</w:t>
      </w:r>
    </w:p>
    <w:p>
      <w:pPr>
        <w:spacing w:after="0" w:line="194" w:lineRule="exact"/>
        <w:rPr>
          <w:sz w:val="20"/>
          <w:szCs w:val="20"/>
          <w:color w:val="auto"/>
        </w:rPr>
      </w:pPr>
    </w:p>
    <w:p>
      <w:pPr>
        <w:ind w:left="720" w:hanging="354"/>
        <w:spacing w:after="0"/>
        <w:tabs>
          <w:tab w:leader="none" w:pos="72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an enterprise-level environment, health, and safety policy;</w:t>
      </w:r>
    </w:p>
    <w:p>
      <w:pPr>
        <w:spacing w:after="0" w:line="72" w:lineRule="exact"/>
        <w:rPr>
          <w:rFonts w:ascii="Arial" w:cs="Arial" w:eastAsia="Arial" w:hAnsi="Arial"/>
          <w:sz w:val="16"/>
          <w:szCs w:val="16"/>
          <w:color w:val="333333"/>
        </w:rPr>
      </w:pPr>
    </w:p>
    <w:p>
      <w:pPr>
        <w:jc w:val="both"/>
        <w:ind w:left="720" w:right="480" w:hanging="354"/>
        <w:spacing w:after="0" w:line="266" w:lineRule="auto"/>
        <w:tabs>
          <w:tab w:leader="none" w:pos="72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a statement of commitment to doing business responsibly by aligning our strategies and global operations with the United Nations Global Compact principles on human rights, labor laws, environmental protection, and corruption in business;</w:t>
      </w:r>
    </w:p>
    <w:p>
      <w:pPr>
        <w:spacing w:after="0" w:line="22" w:lineRule="exact"/>
        <w:rPr>
          <w:rFonts w:ascii="Arial" w:cs="Arial" w:eastAsia="Arial" w:hAnsi="Arial"/>
          <w:sz w:val="16"/>
          <w:szCs w:val="16"/>
          <w:color w:val="333333"/>
        </w:rPr>
      </w:pPr>
    </w:p>
    <w:p>
      <w:pPr>
        <w:ind w:left="720" w:hanging="354"/>
        <w:spacing w:after="0"/>
        <w:tabs>
          <w:tab w:leader="none" w:pos="72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a conflict minerals policy;</w:t>
      </w:r>
    </w:p>
    <w:p>
      <w:pPr>
        <w:spacing w:after="0" w:line="86" w:lineRule="exact"/>
        <w:rPr>
          <w:rFonts w:ascii="Arial" w:cs="Arial" w:eastAsia="Arial" w:hAnsi="Arial"/>
          <w:sz w:val="16"/>
          <w:szCs w:val="16"/>
          <w:color w:val="333333"/>
        </w:rPr>
      </w:pPr>
    </w:p>
    <w:p>
      <w:pPr>
        <w:ind w:left="720" w:hanging="354"/>
        <w:spacing w:after="0"/>
        <w:tabs>
          <w:tab w:leader="none" w:pos="72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a supply chain transparency and anti-slavery and human trafficking statement; and</w:t>
      </w:r>
    </w:p>
    <w:p>
      <w:pPr>
        <w:spacing w:after="0" w:line="72" w:lineRule="exact"/>
        <w:rPr>
          <w:rFonts w:ascii="Arial" w:cs="Arial" w:eastAsia="Arial" w:hAnsi="Arial"/>
          <w:sz w:val="16"/>
          <w:szCs w:val="16"/>
          <w:color w:val="333333"/>
        </w:rPr>
      </w:pPr>
    </w:p>
    <w:p>
      <w:pPr>
        <w:ind w:left="720" w:hanging="354"/>
        <w:spacing w:after="0" w:line="286" w:lineRule="auto"/>
        <w:tabs>
          <w:tab w:leader="none" w:pos="72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a business partner code of conduct formally defining our expectations for our distributors, suppliers, vendors, contractors, agents, and all other third parties who provide products or services to us.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333333"/>
        </w:rPr>
        <w:t>These policies and statements can be found on our website at https://investors.StandardBio.com/social-responsibility.</w:t>
      </w:r>
    </w:p>
    <w:p>
      <w:pPr>
        <w:spacing w:after="0" w:line="16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333333"/>
        </w:rPr>
        <w:t>In April 2023, we published an update to our Environmental, Social, and Governance (“ESG”) Report, which was prepared to highlight information regarding our ESG programs. The development of our environmental, health, safety, and social responsibility programs is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19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Executive Officers</w:t>
      </w:r>
    </w:p>
    <w:p>
      <w:pPr>
        <w:spacing w:after="0" w:line="13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333333"/>
        </w:rPr>
        <w:t>The names of our executive officers, their ages, their positions with Standard BioTools, and other biographical information as of April 15, 2025 are set forth below. There are no family relationships among any of our directors or executive officers.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3080" w:type="dxa"/>
            <w:vAlign w:val="bottom"/>
            <w:shd w:val="clear" w:color="auto" w:fill="24356E"/>
          </w:tcPr>
          <w:p>
            <w:pPr>
              <w:ind w:left="240"/>
              <w:spacing w:after="0"/>
              <w:rPr>
                <w:sz w:val="20"/>
                <w:szCs w:val="20"/>
                <w:color w:val="auto"/>
              </w:rPr>
            </w:pPr>
            <w:r>
              <w:rPr>
                <w:rFonts w:ascii="Arial" w:cs="Arial" w:eastAsia="Arial" w:hAnsi="Arial"/>
                <w:sz w:val="14"/>
                <w:szCs w:val="14"/>
                <w:b w:val="1"/>
                <w:bCs w:val="1"/>
                <w:color w:val="FFFFFF"/>
              </w:rPr>
              <w:t>Name</w:t>
            </w:r>
          </w:p>
        </w:tc>
        <w:tc>
          <w:tcPr>
            <w:tcW w:w="1940" w:type="dxa"/>
            <w:vAlign w:val="bottom"/>
            <w:shd w:val="clear" w:color="auto" w:fill="24356E"/>
          </w:tcPr>
          <w:p>
            <w:pPr>
              <w:jc w:val="center"/>
              <w:ind w:left="828"/>
              <w:spacing w:after="0"/>
              <w:rPr>
                <w:sz w:val="20"/>
                <w:szCs w:val="20"/>
                <w:color w:val="auto"/>
              </w:rPr>
            </w:pPr>
            <w:r>
              <w:rPr>
                <w:rFonts w:ascii="Arial" w:cs="Arial" w:eastAsia="Arial" w:hAnsi="Arial"/>
                <w:sz w:val="14"/>
                <w:szCs w:val="14"/>
                <w:b w:val="1"/>
                <w:bCs w:val="1"/>
                <w:color w:val="FFFFFF"/>
              </w:rPr>
              <w:t>Age</w:t>
            </w:r>
          </w:p>
        </w:tc>
        <w:tc>
          <w:tcPr>
            <w:tcW w:w="4380" w:type="dxa"/>
            <w:vAlign w:val="bottom"/>
            <w:shd w:val="clear" w:color="auto" w:fill="24356E"/>
          </w:tcPr>
          <w:p>
            <w:pPr>
              <w:ind w:left="380"/>
              <w:spacing w:after="0"/>
              <w:rPr>
                <w:sz w:val="20"/>
                <w:szCs w:val="20"/>
                <w:color w:val="auto"/>
              </w:rPr>
            </w:pPr>
            <w:r>
              <w:rPr>
                <w:rFonts w:ascii="Arial" w:cs="Arial" w:eastAsia="Arial" w:hAnsi="Arial"/>
                <w:sz w:val="14"/>
                <w:szCs w:val="14"/>
                <w:b w:val="1"/>
                <w:bCs w:val="1"/>
                <w:color w:val="FFFFFF"/>
              </w:rPr>
              <w:t>Position</w:t>
            </w:r>
          </w:p>
        </w:tc>
      </w:tr>
      <w:tr>
        <w:trPr>
          <w:trHeight w:val="83"/>
        </w:trPr>
        <w:tc>
          <w:tcPr>
            <w:tcW w:w="3080" w:type="dxa"/>
            <w:vAlign w:val="bottom"/>
            <w:shd w:val="clear" w:color="auto" w:fill="24356E"/>
          </w:tcPr>
          <w:p>
            <w:pPr>
              <w:spacing w:after="0"/>
              <w:rPr>
                <w:sz w:val="7"/>
                <w:szCs w:val="7"/>
                <w:color w:val="auto"/>
              </w:rPr>
            </w:pPr>
          </w:p>
        </w:tc>
        <w:tc>
          <w:tcPr>
            <w:tcW w:w="1940" w:type="dxa"/>
            <w:vAlign w:val="bottom"/>
            <w:shd w:val="clear" w:color="auto" w:fill="24356E"/>
          </w:tcPr>
          <w:p>
            <w:pPr>
              <w:spacing w:after="0"/>
              <w:rPr>
                <w:sz w:val="7"/>
                <w:szCs w:val="7"/>
                <w:color w:val="auto"/>
              </w:rPr>
            </w:pPr>
          </w:p>
        </w:tc>
        <w:tc>
          <w:tcPr>
            <w:tcW w:w="4380" w:type="dxa"/>
            <w:vAlign w:val="bottom"/>
            <w:shd w:val="clear" w:color="auto" w:fill="24356E"/>
          </w:tcPr>
          <w:p>
            <w:pPr>
              <w:spacing w:after="0"/>
              <w:rPr>
                <w:sz w:val="7"/>
                <w:szCs w:val="7"/>
                <w:color w:val="auto"/>
              </w:rPr>
            </w:pPr>
          </w:p>
        </w:tc>
      </w:tr>
      <w:tr>
        <w:trPr>
          <w:trHeight w:val="295"/>
        </w:trPr>
        <w:tc>
          <w:tcPr>
            <w:tcW w:w="3080" w:type="dxa"/>
            <w:vAlign w:val="bottom"/>
          </w:tcPr>
          <w:p>
            <w:pPr>
              <w:ind w:left="240"/>
              <w:spacing w:after="0"/>
              <w:rPr>
                <w:sz w:val="20"/>
                <w:szCs w:val="20"/>
                <w:color w:val="auto"/>
              </w:rPr>
            </w:pPr>
            <w:r>
              <w:rPr>
                <w:rFonts w:ascii="Arial" w:cs="Arial" w:eastAsia="Arial" w:hAnsi="Arial"/>
                <w:sz w:val="14"/>
                <w:szCs w:val="14"/>
                <w:b w:val="1"/>
                <w:bCs w:val="1"/>
                <w:color w:val="auto"/>
              </w:rPr>
              <w:t>Michael Egholm, Ph.D.</w:t>
            </w:r>
          </w:p>
        </w:tc>
        <w:tc>
          <w:tcPr>
            <w:tcW w:w="1940" w:type="dxa"/>
            <w:vAlign w:val="bottom"/>
          </w:tcPr>
          <w:p>
            <w:pPr>
              <w:jc w:val="center"/>
              <w:ind w:left="828"/>
              <w:spacing w:after="0"/>
              <w:rPr>
                <w:sz w:val="20"/>
                <w:szCs w:val="20"/>
                <w:color w:val="auto"/>
              </w:rPr>
            </w:pPr>
            <w:r>
              <w:rPr>
                <w:rFonts w:ascii="Arial" w:cs="Arial" w:eastAsia="Arial" w:hAnsi="Arial"/>
                <w:sz w:val="14"/>
                <w:szCs w:val="14"/>
                <w:color w:val="auto"/>
              </w:rPr>
              <w:t>62</w:t>
            </w:r>
          </w:p>
        </w:tc>
        <w:tc>
          <w:tcPr>
            <w:tcW w:w="4380" w:type="dxa"/>
            <w:vAlign w:val="bottom"/>
          </w:tcPr>
          <w:p>
            <w:pPr>
              <w:ind w:left="380"/>
              <w:spacing w:after="0"/>
              <w:rPr>
                <w:sz w:val="20"/>
                <w:szCs w:val="20"/>
                <w:color w:val="auto"/>
              </w:rPr>
            </w:pPr>
            <w:r>
              <w:rPr>
                <w:rFonts w:ascii="Arial" w:cs="Arial" w:eastAsia="Arial" w:hAnsi="Arial"/>
                <w:sz w:val="14"/>
                <w:szCs w:val="14"/>
                <w:color w:val="auto"/>
              </w:rPr>
              <w:t>President, Chief Executive Officer, and Director</w:t>
            </w:r>
          </w:p>
        </w:tc>
      </w:tr>
      <w:tr>
        <w:trPr>
          <w:trHeight w:val="83"/>
        </w:trPr>
        <w:tc>
          <w:tcPr>
            <w:tcW w:w="3080" w:type="dxa"/>
            <w:vAlign w:val="bottom"/>
            <w:tcBorders>
              <w:bottom w:val="single" w:sz="8" w:color="666666"/>
            </w:tcBorders>
          </w:tcPr>
          <w:p>
            <w:pPr>
              <w:spacing w:after="0"/>
              <w:rPr>
                <w:sz w:val="7"/>
                <w:szCs w:val="7"/>
                <w:color w:val="auto"/>
              </w:rPr>
            </w:pPr>
          </w:p>
        </w:tc>
        <w:tc>
          <w:tcPr>
            <w:tcW w:w="1940" w:type="dxa"/>
            <w:vAlign w:val="bottom"/>
            <w:tcBorders>
              <w:bottom w:val="single" w:sz="8" w:color="666666"/>
            </w:tcBorders>
          </w:tcPr>
          <w:p>
            <w:pPr>
              <w:spacing w:after="0"/>
              <w:rPr>
                <w:sz w:val="7"/>
                <w:szCs w:val="7"/>
                <w:color w:val="auto"/>
              </w:rPr>
            </w:pPr>
          </w:p>
        </w:tc>
        <w:tc>
          <w:tcPr>
            <w:tcW w:w="4380" w:type="dxa"/>
            <w:vAlign w:val="bottom"/>
            <w:tcBorders>
              <w:bottom w:val="single" w:sz="8" w:color="666666"/>
            </w:tcBorders>
          </w:tcPr>
          <w:p>
            <w:pPr>
              <w:spacing w:after="0"/>
              <w:rPr>
                <w:sz w:val="7"/>
                <w:szCs w:val="7"/>
                <w:color w:val="auto"/>
              </w:rPr>
            </w:pPr>
          </w:p>
        </w:tc>
      </w:tr>
      <w:tr>
        <w:trPr>
          <w:trHeight w:val="288"/>
        </w:trPr>
        <w:tc>
          <w:tcPr>
            <w:tcW w:w="3080" w:type="dxa"/>
            <w:vAlign w:val="bottom"/>
          </w:tcPr>
          <w:p>
            <w:pPr>
              <w:ind w:left="240"/>
              <w:spacing w:after="0"/>
              <w:rPr>
                <w:sz w:val="20"/>
                <w:szCs w:val="20"/>
                <w:color w:val="auto"/>
              </w:rPr>
            </w:pPr>
            <w:r>
              <w:rPr>
                <w:rFonts w:ascii="Arial" w:cs="Arial" w:eastAsia="Arial" w:hAnsi="Arial"/>
                <w:sz w:val="14"/>
                <w:szCs w:val="14"/>
                <w:b w:val="1"/>
                <w:bCs w:val="1"/>
                <w:color w:val="auto"/>
              </w:rPr>
              <w:t>Alex Kim</w:t>
            </w:r>
          </w:p>
        </w:tc>
        <w:tc>
          <w:tcPr>
            <w:tcW w:w="1940" w:type="dxa"/>
            <w:vAlign w:val="bottom"/>
          </w:tcPr>
          <w:p>
            <w:pPr>
              <w:jc w:val="center"/>
              <w:ind w:left="828"/>
              <w:spacing w:after="0"/>
              <w:rPr>
                <w:sz w:val="20"/>
                <w:szCs w:val="20"/>
                <w:color w:val="auto"/>
              </w:rPr>
            </w:pPr>
            <w:r>
              <w:rPr>
                <w:rFonts w:ascii="Arial" w:cs="Arial" w:eastAsia="Arial" w:hAnsi="Arial"/>
                <w:sz w:val="14"/>
                <w:szCs w:val="14"/>
                <w:color w:val="auto"/>
              </w:rPr>
              <w:t>54</w:t>
            </w:r>
          </w:p>
        </w:tc>
        <w:tc>
          <w:tcPr>
            <w:tcW w:w="4380" w:type="dxa"/>
            <w:vAlign w:val="bottom"/>
          </w:tcPr>
          <w:p>
            <w:pPr>
              <w:ind w:left="380"/>
              <w:spacing w:after="0"/>
              <w:rPr>
                <w:sz w:val="20"/>
                <w:szCs w:val="20"/>
                <w:color w:val="auto"/>
              </w:rPr>
            </w:pPr>
            <w:r>
              <w:rPr>
                <w:rFonts w:ascii="Arial" w:cs="Arial" w:eastAsia="Arial" w:hAnsi="Arial"/>
                <w:sz w:val="14"/>
                <w:szCs w:val="14"/>
                <w:color w:val="auto"/>
              </w:rPr>
              <w:t>Chief Financial Officer</w:t>
            </w:r>
          </w:p>
        </w:tc>
      </w:tr>
      <w:tr>
        <w:trPr>
          <w:trHeight w:val="83"/>
        </w:trPr>
        <w:tc>
          <w:tcPr>
            <w:tcW w:w="3080" w:type="dxa"/>
            <w:vAlign w:val="bottom"/>
            <w:tcBorders>
              <w:bottom w:val="single" w:sz="8" w:color="666666"/>
            </w:tcBorders>
          </w:tcPr>
          <w:p>
            <w:pPr>
              <w:spacing w:after="0"/>
              <w:rPr>
                <w:sz w:val="7"/>
                <w:szCs w:val="7"/>
                <w:color w:val="auto"/>
              </w:rPr>
            </w:pPr>
          </w:p>
        </w:tc>
        <w:tc>
          <w:tcPr>
            <w:tcW w:w="1940" w:type="dxa"/>
            <w:vAlign w:val="bottom"/>
            <w:tcBorders>
              <w:bottom w:val="single" w:sz="8" w:color="666666"/>
            </w:tcBorders>
          </w:tcPr>
          <w:p>
            <w:pPr>
              <w:spacing w:after="0"/>
              <w:rPr>
                <w:sz w:val="7"/>
                <w:szCs w:val="7"/>
                <w:color w:val="auto"/>
              </w:rPr>
            </w:pPr>
          </w:p>
        </w:tc>
        <w:tc>
          <w:tcPr>
            <w:tcW w:w="4380" w:type="dxa"/>
            <w:vAlign w:val="bottom"/>
            <w:tcBorders>
              <w:bottom w:val="single" w:sz="8" w:color="666666"/>
            </w:tcBorders>
          </w:tcPr>
          <w:p>
            <w:pPr>
              <w:spacing w:after="0"/>
              <w:rPr>
                <w:sz w:val="7"/>
                <w:szCs w:val="7"/>
                <w:color w:val="auto"/>
              </w:rPr>
            </w:pPr>
          </w:p>
        </w:tc>
      </w:tr>
      <w:tr>
        <w:trPr>
          <w:trHeight w:val="288"/>
        </w:trPr>
        <w:tc>
          <w:tcPr>
            <w:tcW w:w="3080" w:type="dxa"/>
            <w:vAlign w:val="bottom"/>
          </w:tcPr>
          <w:p>
            <w:pPr>
              <w:ind w:left="240"/>
              <w:spacing w:after="0"/>
              <w:rPr>
                <w:sz w:val="20"/>
                <w:szCs w:val="20"/>
                <w:color w:val="auto"/>
              </w:rPr>
            </w:pPr>
            <w:r>
              <w:rPr>
                <w:rFonts w:ascii="Arial" w:cs="Arial" w:eastAsia="Arial" w:hAnsi="Arial"/>
                <w:sz w:val="14"/>
                <w:szCs w:val="14"/>
                <w:b w:val="1"/>
                <w:bCs w:val="1"/>
                <w:color w:val="auto"/>
              </w:rPr>
              <w:t>Sean Mackay</w:t>
            </w:r>
          </w:p>
        </w:tc>
        <w:tc>
          <w:tcPr>
            <w:tcW w:w="1940" w:type="dxa"/>
            <w:vAlign w:val="bottom"/>
          </w:tcPr>
          <w:p>
            <w:pPr>
              <w:jc w:val="center"/>
              <w:ind w:left="828"/>
              <w:spacing w:after="0"/>
              <w:rPr>
                <w:sz w:val="20"/>
                <w:szCs w:val="20"/>
                <w:color w:val="auto"/>
              </w:rPr>
            </w:pPr>
            <w:r>
              <w:rPr>
                <w:rFonts w:ascii="Arial" w:cs="Arial" w:eastAsia="Arial" w:hAnsi="Arial"/>
                <w:sz w:val="14"/>
                <w:szCs w:val="14"/>
                <w:color w:val="auto"/>
              </w:rPr>
              <w:t>42</w:t>
            </w:r>
          </w:p>
        </w:tc>
        <w:tc>
          <w:tcPr>
            <w:tcW w:w="4380" w:type="dxa"/>
            <w:vAlign w:val="bottom"/>
          </w:tcPr>
          <w:p>
            <w:pPr>
              <w:ind w:left="380"/>
              <w:spacing w:after="0"/>
              <w:rPr>
                <w:sz w:val="20"/>
                <w:szCs w:val="20"/>
                <w:color w:val="auto"/>
              </w:rPr>
            </w:pPr>
            <w:r>
              <w:rPr>
                <w:rFonts w:ascii="Arial" w:cs="Arial" w:eastAsia="Arial" w:hAnsi="Arial"/>
                <w:sz w:val="14"/>
                <w:szCs w:val="14"/>
                <w:color w:val="auto"/>
              </w:rPr>
              <w:t>Chief Business Officer</w:t>
            </w:r>
          </w:p>
        </w:tc>
      </w:tr>
      <w:tr>
        <w:trPr>
          <w:trHeight w:val="70"/>
        </w:trPr>
        <w:tc>
          <w:tcPr>
            <w:tcW w:w="3080" w:type="dxa"/>
            <w:vAlign w:val="bottom"/>
            <w:tcBorders>
              <w:bottom w:val="single" w:sz="8" w:color="24356E"/>
            </w:tcBorders>
          </w:tcPr>
          <w:p>
            <w:pPr>
              <w:spacing w:after="0"/>
              <w:rPr>
                <w:sz w:val="6"/>
                <w:szCs w:val="6"/>
                <w:color w:val="auto"/>
              </w:rPr>
            </w:pPr>
          </w:p>
        </w:tc>
        <w:tc>
          <w:tcPr>
            <w:tcW w:w="1940" w:type="dxa"/>
            <w:vAlign w:val="bottom"/>
            <w:tcBorders>
              <w:bottom w:val="single" w:sz="8" w:color="24356E"/>
            </w:tcBorders>
          </w:tcPr>
          <w:p>
            <w:pPr>
              <w:spacing w:after="0"/>
              <w:rPr>
                <w:sz w:val="6"/>
                <w:szCs w:val="6"/>
                <w:color w:val="auto"/>
              </w:rPr>
            </w:pPr>
          </w:p>
        </w:tc>
        <w:tc>
          <w:tcPr>
            <w:tcW w:w="4380" w:type="dxa"/>
            <w:vAlign w:val="bottom"/>
            <w:tcBorders>
              <w:bottom w:val="single" w:sz="8" w:color="24356E"/>
            </w:tcBorders>
          </w:tcPr>
          <w:p>
            <w:pPr>
              <w:spacing w:after="0"/>
              <w:rPr>
                <w:sz w:val="6"/>
                <w:szCs w:val="6"/>
                <w:color w:val="auto"/>
              </w:rPr>
            </w:pP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333333"/>
        </w:rPr>
        <w:t xml:space="preserve">Michael Egholm, Ph.D. </w:t>
      </w:r>
      <w:r>
        <w:rPr>
          <w:rFonts w:ascii="Arial" w:cs="Arial" w:eastAsia="Arial" w:hAnsi="Arial"/>
          <w:sz w:val="16"/>
          <w:szCs w:val="16"/>
          <w:color w:val="333333"/>
        </w:rPr>
        <w:t>Please see the biographical information provided above in the section entitled “</w:t>
      </w:r>
      <w:r>
        <w:rPr>
          <w:rFonts w:ascii="Arial" w:cs="Arial" w:eastAsia="Arial" w:hAnsi="Arial"/>
          <w:sz w:val="16"/>
          <w:szCs w:val="16"/>
          <w:i w:val="1"/>
          <w:iCs w:val="1"/>
          <w:color w:val="333333"/>
        </w:rPr>
        <w:t>Role and Composition of the Board</w:t>
      </w:r>
      <w:r>
        <w:rPr>
          <w:rFonts w:ascii="Arial" w:cs="Arial" w:eastAsia="Arial" w:hAnsi="Arial"/>
          <w:sz w:val="16"/>
          <w:szCs w:val="16"/>
          <w:color w:val="333333"/>
        </w:rPr>
        <w:t>.”</w:t>
      </w:r>
    </w:p>
    <w:p>
      <w:pPr>
        <w:spacing w:after="0" w:line="10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333333"/>
        </w:rPr>
        <w:t xml:space="preserve">Alex Kim </w:t>
      </w:r>
      <w:r>
        <w:rPr>
          <w:rFonts w:ascii="Arial" w:cs="Arial" w:eastAsia="Arial" w:hAnsi="Arial"/>
          <w:sz w:val="16"/>
          <w:szCs w:val="16"/>
          <w:color w:val="333333"/>
        </w:rPr>
        <w:t>joined the Company as Chief Operating Officer on April 4, 2022 and has served as Chief Financial Officer since</w:t>
      </w:r>
      <w:r>
        <w:rPr>
          <w:rFonts w:ascii="Arial" w:cs="Arial" w:eastAsia="Arial" w:hAnsi="Arial"/>
          <w:sz w:val="16"/>
          <w:szCs w:val="16"/>
          <w:i w:val="1"/>
          <w:iCs w:val="1"/>
          <w:color w:val="333333"/>
        </w:rPr>
        <w:t xml:space="preserve"> </w:t>
      </w:r>
      <w:r>
        <w:rPr>
          <w:rFonts w:ascii="Arial" w:cs="Arial" w:eastAsia="Arial" w:hAnsi="Arial"/>
          <w:sz w:val="16"/>
          <w:szCs w:val="16"/>
          <w:color w:val="333333"/>
        </w:rPr>
        <w:t>November 11, 2024, after previously serving as Interim Chief Financial Officer since September 1, 2024. Prior to joining the Company, Mr. Kim served as Chief Business Officer of Standard BioTools, LLC since October 2021. Previously, he served in various roles at Milliken &amp; Company (“Milliken”) from October 2015 to May 2021, including Executive Vice President and President of the Healthcare Division of Milliken from June 2019 to May 2021, Executive Vice President of the Growth Ventures Group from April 2017 to June 2019, and as Executive Vice President of Corporate Strategy and Corporate Development from October 2015 to June 2019. Prior to that, Mr. Kim served in various leadership roles at the Pall Corporation, the Water Quality Group, and the Motion Group at the Danaher Corporation. Mr. Kim received an M.B.A. from the Stanford Graduate School of Business, an M.S. in Mechanical Engineering from the University of Pittsburgh, and a B.S. in Mechanical Engineering from Carnegie Mellon University.</w:t>
      </w:r>
    </w:p>
    <w:p>
      <w:pPr>
        <w:spacing w:after="0" w:line="13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i w:val="1"/>
          <w:iCs w:val="1"/>
          <w:color w:val="333333"/>
        </w:rPr>
        <w:t xml:space="preserve">Sean Mackay </w:t>
      </w:r>
      <w:r>
        <w:rPr>
          <w:rFonts w:ascii="Arial" w:cs="Arial" w:eastAsia="Arial" w:hAnsi="Arial"/>
          <w:sz w:val="16"/>
          <w:szCs w:val="16"/>
          <w:color w:val="333333"/>
        </w:rPr>
        <w:t>joined the Company as Chief Business Officer on May 20, 2024. Mr. Mackay has a multidisciplinary background as</w:t>
      </w:r>
      <w:r>
        <w:rPr>
          <w:rFonts w:ascii="Arial" w:cs="Arial" w:eastAsia="Arial" w:hAnsi="Arial"/>
          <w:sz w:val="16"/>
          <w:szCs w:val="16"/>
          <w:i w:val="1"/>
          <w:iCs w:val="1"/>
          <w:color w:val="333333"/>
        </w:rPr>
        <w:t xml:space="preserve"> </w:t>
      </w:r>
      <w:r>
        <w:rPr>
          <w:rFonts w:ascii="Arial" w:cs="Arial" w:eastAsia="Arial" w:hAnsi="Arial"/>
          <w:sz w:val="16"/>
          <w:szCs w:val="16"/>
          <w:color w:val="333333"/>
        </w:rPr>
        <w:t>an executive, investor, and investment banker, driving impact in the life sciences tools and therapeutics industries. Mr. Mackay has served on the board of directors of Abbratech Inc., a therapeutic development company, since co-founding the company in</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333333"/>
        </w:rPr>
        <w:t>June 2021. Prior to joining the Company, Mr. Mackay served as an operating partner at Casdin Capital, LLC from August 2023 to April 2024. Prior to that, Mr. Mackay co-founded and served as Chief Executive Officer of IsoPlexis Corporation (Nasdaq: ISO), a life science tools company, where he led the company through building a team in November 2012, product development, commercialization, its initial public offering, and its eventual sale in March 2023. In March 2008, he founded Lazard Freres (NYSE: LAZ), a debt advisory practice focused on partnering with public companies for debt restructuring, capital structuring, investments, and financing in the context of acquisitions and divestitures, where he served as a co-founder and senior associate until April 2012. Mr. Mackay received an M.B.A. from Yale School of Management and has a B.S. in Economics from the Wharton School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59664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1"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Compensation Discussion and Analysis</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Overview</w:t>
      </w:r>
    </w:p>
    <w:p>
      <w:pPr>
        <w:spacing w:after="0" w:line="153"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333333"/>
        </w:rPr>
        <w:t>This Compensation Discussion and Analysis (“CD&amp;A”), explains our executive compensation program for our named executive officers (“NEOs”) listed below. This CD&amp;A also describes the process our Human Capital Committee undertakes for making compensation decisions, as well as its rationale for specific decisions related to the fiscal year ended December 31, 2024. For fiscal year 2024, our NEOs were: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3240" w:type="dxa"/>
            <w:vAlign w:val="bottom"/>
            <w:shd w:val="clear" w:color="auto" w:fill="24356E"/>
          </w:tcPr>
          <w:p>
            <w:pPr>
              <w:ind w:left="240"/>
              <w:spacing w:after="0"/>
              <w:rPr>
                <w:sz w:val="20"/>
                <w:szCs w:val="20"/>
                <w:color w:val="auto"/>
              </w:rPr>
            </w:pPr>
            <w:r>
              <w:rPr>
                <w:rFonts w:ascii="Arial" w:cs="Arial" w:eastAsia="Arial" w:hAnsi="Arial"/>
                <w:sz w:val="14"/>
                <w:szCs w:val="14"/>
                <w:b w:val="1"/>
                <w:bCs w:val="1"/>
                <w:color w:val="FFFFFF"/>
              </w:rPr>
              <w:t>Name</w:t>
            </w:r>
          </w:p>
        </w:tc>
        <w:tc>
          <w:tcPr>
            <w:tcW w:w="6160" w:type="dxa"/>
            <w:vAlign w:val="bottom"/>
            <w:shd w:val="clear" w:color="auto" w:fill="24356E"/>
          </w:tcPr>
          <w:p>
            <w:pPr>
              <w:ind w:left="1460"/>
              <w:spacing w:after="0"/>
              <w:rPr>
                <w:sz w:val="20"/>
                <w:szCs w:val="20"/>
                <w:color w:val="auto"/>
              </w:rPr>
            </w:pPr>
            <w:r>
              <w:rPr>
                <w:rFonts w:ascii="Arial" w:cs="Arial" w:eastAsia="Arial" w:hAnsi="Arial"/>
                <w:sz w:val="14"/>
                <w:szCs w:val="14"/>
                <w:b w:val="1"/>
                <w:bCs w:val="1"/>
                <w:color w:val="FFFFFF"/>
              </w:rPr>
              <w:t>Principal Position</w:t>
            </w:r>
          </w:p>
        </w:tc>
      </w:tr>
      <w:tr>
        <w:trPr>
          <w:trHeight w:val="83"/>
        </w:trPr>
        <w:tc>
          <w:tcPr>
            <w:tcW w:w="3240" w:type="dxa"/>
            <w:vAlign w:val="bottom"/>
            <w:shd w:val="clear" w:color="auto" w:fill="24356E"/>
          </w:tcPr>
          <w:p>
            <w:pPr>
              <w:spacing w:after="0"/>
              <w:rPr>
                <w:sz w:val="7"/>
                <w:szCs w:val="7"/>
                <w:color w:val="auto"/>
              </w:rPr>
            </w:pPr>
          </w:p>
        </w:tc>
        <w:tc>
          <w:tcPr>
            <w:tcW w:w="6160" w:type="dxa"/>
            <w:vAlign w:val="bottom"/>
            <w:shd w:val="clear" w:color="auto" w:fill="24356E"/>
          </w:tcPr>
          <w:p>
            <w:pPr>
              <w:spacing w:after="0"/>
              <w:rPr>
                <w:sz w:val="7"/>
                <w:szCs w:val="7"/>
                <w:color w:val="auto"/>
              </w:rPr>
            </w:pPr>
          </w:p>
        </w:tc>
      </w:tr>
      <w:tr>
        <w:trPr>
          <w:trHeight w:val="295"/>
        </w:trPr>
        <w:tc>
          <w:tcPr>
            <w:tcW w:w="3240" w:type="dxa"/>
            <w:vAlign w:val="bottom"/>
          </w:tcPr>
          <w:p>
            <w:pPr>
              <w:ind w:left="240"/>
              <w:spacing w:after="0"/>
              <w:rPr>
                <w:sz w:val="20"/>
                <w:szCs w:val="20"/>
                <w:color w:val="auto"/>
              </w:rPr>
            </w:pPr>
            <w:r>
              <w:rPr>
                <w:rFonts w:ascii="Arial" w:cs="Arial" w:eastAsia="Arial" w:hAnsi="Arial"/>
                <w:sz w:val="14"/>
                <w:szCs w:val="14"/>
                <w:b w:val="1"/>
                <w:bCs w:val="1"/>
                <w:color w:val="auto"/>
              </w:rPr>
              <w:t>Michael Egholm, Ph.D.</w:t>
            </w:r>
          </w:p>
        </w:tc>
        <w:tc>
          <w:tcPr>
            <w:tcW w:w="6160" w:type="dxa"/>
            <w:vAlign w:val="bottom"/>
          </w:tcPr>
          <w:p>
            <w:pPr>
              <w:ind w:left="1460"/>
              <w:spacing w:after="0"/>
              <w:rPr>
                <w:sz w:val="20"/>
                <w:szCs w:val="20"/>
                <w:color w:val="auto"/>
              </w:rPr>
            </w:pPr>
            <w:r>
              <w:rPr>
                <w:rFonts w:ascii="Arial" w:cs="Arial" w:eastAsia="Arial" w:hAnsi="Arial"/>
                <w:sz w:val="14"/>
                <w:szCs w:val="14"/>
                <w:color w:val="auto"/>
              </w:rPr>
              <w:t>President, Chief Executive Officer and Director</w:t>
            </w:r>
          </w:p>
        </w:tc>
      </w:tr>
      <w:tr>
        <w:trPr>
          <w:trHeight w:val="83"/>
        </w:trPr>
        <w:tc>
          <w:tcPr>
            <w:tcW w:w="3240" w:type="dxa"/>
            <w:vAlign w:val="bottom"/>
            <w:tcBorders>
              <w:bottom w:val="single" w:sz="8" w:color="666666"/>
            </w:tcBorders>
          </w:tcPr>
          <w:p>
            <w:pPr>
              <w:spacing w:after="0"/>
              <w:rPr>
                <w:sz w:val="7"/>
                <w:szCs w:val="7"/>
                <w:color w:val="auto"/>
              </w:rPr>
            </w:pPr>
          </w:p>
        </w:tc>
        <w:tc>
          <w:tcPr>
            <w:tcW w:w="6160" w:type="dxa"/>
            <w:vAlign w:val="bottom"/>
            <w:tcBorders>
              <w:bottom w:val="single" w:sz="8" w:color="666666"/>
            </w:tcBorders>
          </w:tcPr>
          <w:p>
            <w:pPr>
              <w:spacing w:after="0"/>
              <w:rPr>
                <w:sz w:val="7"/>
                <w:szCs w:val="7"/>
                <w:color w:val="auto"/>
              </w:rPr>
            </w:pPr>
          </w:p>
        </w:tc>
      </w:tr>
      <w:tr>
        <w:trPr>
          <w:trHeight w:val="398"/>
        </w:trPr>
        <w:tc>
          <w:tcPr>
            <w:tcW w:w="3240" w:type="dxa"/>
            <w:vAlign w:val="bottom"/>
            <w:tcBorders>
              <w:bottom w:val="single" w:sz="8" w:color="666666"/>
            </w:tcBorders>
          </w:tcPr>
          <w:p>
            <w:pPr>
              <w:ind w:left="240"/>
              <w:spacing w:after="0"/>
              <w:rPr>
                <w:sz w:val="20"/>
                <w:szCs w:val="20"/>
                <w:color w:val="auto"/>
              </w:rPr>
            </w:pPr>
            <w:r>
              <w:rPr>
                <w:rFonts w:ascii="Arial" w:cs="Arial" w:eastAsia="Arial" w:hAnsi="Arial"/>
                <w:sz w:val="14"/>
                <w:szCs w:val="14"/>
                <w:b w:val="1"/>
                <w:bCs w:val="1"/>
                <w:color w:val="auto"/>
              </w:rPr>
              <w:t>Alex Kim</w:t>
            </w:r>
            <w:r>
              <w:rPr>
                <w:rFonts w:ascii="Arial" w:cs="Arial" w:eastAsia="Arial" w:hAnsi="Arial"/>
                <w:sz w:val="23"/>
                <w:szCs w:val="23"/>
                <w:b w:val="1"/>
                <w:bCs w:val="1"/>
                <w:color w:val="auto"/>
                <w:vertAlign w:val="superscript"/>
              </w:rPr>
              <w:t>(1)</w:t>
            </w:r>
          </w:p>
        </w:tc>
        <w:tc>
          <w:tcPr>
            <w:tcW w:w="6160" w:type="dxa"/>
            <w:vAlign w:val="bottom"/>
            <w:tcBorders>
              <w:bottom w:val="single" w:sz="8" w:color="666666"/>
            </w:tcBorders>
          </w:tcPr>
          <w:p>
            <w:pPr>
              <w:ind w:left="1460"/>
              <w:spacing w:after="0"/>
              <w:rPr>
                <w:sz w:val="20"/>
                <w:szCs w:val="20"/>
                <w:color w:val="auto"/>
              </w:rPr>
            </w:pPr>
            <w:r>
              <w:rPr>
                <w:rFonts w:ascii="Arial" w:cs="Arial" w:eastAsia="Arial" w:hAnsi="Arial"/>
                <w:sz w:val="14"/>
                <w:szCs w:val="14"/>
                <w:color w:val="auto"/>
              </w:rPr>
              <w:t>Chief Financial Officer</w:t>
            </w:r>
          </w:p>
        </w:tc>
      </w:tr>
      <w:tr>
        <w:trPr>
          <w:trHeight w:val="398"/>
        </w:trPr>
        <w:tc>
          <w:tcPr>
            <w:tcW w:w="3240" w:type="dxa"/>
            <w:vAlign w:val="bottom"/>
            <w:tcBorders>
              <w:bottom w:val="single" w:sz="8" w:color="666666"/>
            </w:tcBorders>
          </w:tcPr>
          <w:p>
            <w:pPr>
              <w:ind w:left="240"/>
              <w:spacing w:after="0"/>
              <w:rPr>
                <w:sz w:val="20"/>
                <w:szCs w:val="20"/>
                <w:color w:val="auto"/>
              </w:rPr>
            </w:pPr>
            <w:r>
              <w:rPr>
                <w:rFonts w:ascii="Arial" w:cs="Arial" w:eastAsia="Arial" w:hAnsi="Arial"/>
                <w:sz w:val="14"/>
                <w:szCs w:val="14"/>
                <w:b w:val="1"/>
                <w:bCs w:val="1"/>
                <w:color w:val="auto"/>
              </w:rPr>
              <w:t>Sean Mackay</w:t>
            </w:r>
            <w:r>
              <w:rPr>
                <w:rFonts w:ascii="Arial" w:cs="Arial" w:eastAsia="Arial" w:hAnsi="Arial"/>
                <w:sz w:val="23"/>
                <w:szCs w:val="23"/>
                <w:b w:val="1"/>
                <w:bCs w:val="1"/>
                <w:color w:val="auto"/>
                <w:vertAlign w:val="superscript"/>
              </w:rPr>
              <w:t>(2)</w:t>
            </w:r>
          </w:p>
        </w:tc>
        <w:tc>
          <w:tcPr>
            <w:tcW w:w="6160" w:type="dxa"/>
            <w:vAlign w:val="bottom"/>
            <w:tcBorders>
              <w:bottom w:val="single" w:sz="8" w:color="666666"/>
            </w:tcBorders>
          </w:tcPr>
          <w:p>
            <w:pPr>
              <w:ind w:left="1460"/>
              <w:spacing w:after="0"/>
              <w:rPr>
                <w:sz w:val="20"/>
                <w:szCs w:val="20"/>
                <w:color w:val="auto"/>
              </w:rPr>
            </w:pPr>
            <w:r>
              <w:rPr>
                <w:rFonts w:ascii="Arial" w:cs="Arial" w:eastAsia="Arial" w:hAnsi="Arial"/>
                <w:sz w:val="14"/>
                <w:szCs w:val="14"/>
                <w:color w:val="auto"/>
              </w:rPr>
              <w:t>Chief Business Officer</w:t>
            </w:r>
          </w:p>
        </w:tc>
      </w:tr>
      <w:tr>
        <w:trPr>
          <w:trHeight w:val="385"/>
        </w:trPr>
        <w:tc>
          <w:tcPr>
            <w:tcW w:w="3240" w:type="dxa"/>
            <w:vAlign w:val="bottom"/>
            <w:tcBorders>
              <w:bottom w:val="single" w:sz="8" w:color="24356E"/>
            </w:tcBorders>
          </w:tcPr>
          <w:p>
            <w:pPr>
              <w:ind w:left="240"/>
              <w:spacing w:after="0"/>
              <w:rPr>
                <w:sz w:val="20"/>
                <w:szCs w:val="20"/>
                <w:color w:val="auto"/>
              </w:rPr>
            </w:pPr>
            <w:r>
              <w:rPr>
                <w:rFonts w:ascii="Arial" w:cs="Arial" w:eastAsia="Arial" w:hAnsi="Arial"/>
                <w:sz w:val="14"/>
                <w:szCs w:val="14"/>
                <w:b w:val="1"/>
                <w:bCs w:val="1"/>
                <w:color w:val="auto"/>
              </w:rPr>
              <w:t>Jeffrey Black</w:t>
            </w:r>
            <w:r>
              <w:rPr>
                <w:rFonts w:ascii="Arial" w:cs="Arial" w:eastAsia="Arial" w:hAnsi="Arial"/>
                <w:sz w:val="23"/>
                <w:szCs w:val="23"/>
                <w:b w:val="1"/>
                <w:bCs w:val="1"/>
                <w:color w:val="auto"/>
                <w:vertAlign w:val="superscript"/>
              </w:rPr>
              <w:t>(3)</w:t>
            </w:r>
          </w:p>
        </w:tc>
        <w:tc>
          <w:tcPr>
            <w:tcW w:w="6160" w:type="dxa"/>
            <w:vAlign w:val="bottom"/>
            <w:tcBorders>
              <w:bottom w:val="single" w:sz="8" w:color="24356E"/>
            </w:tcBorders>
          </w:tcPr>
          <w:p>
            <w:pPr>
              <w:ind w:left="1460"/>
              <w:spacing w:after="0"/>
              <w:rPr>
                <w:sz w:val="20"/>
                <w:szCs w:val="20"/>
                <w:color w:val="auto"/>
              </w:rPr>
            </w:pPr>
            <w:r>
              <w:rPr>
                <w:rFonts w:ascii="Arial" w:cs="Arial" w:eastAsia="Arial" w:hAnsi="Arial"/>
                <w:sz w:val="14"/>
                <w:szCs w:val="14"/>
                <w:color w:val="auto"/>
              </w:rPr>
              <w:t>Former Chief Financial Officer</w:t>
            </w:r>
          </w:p>
        </w:tc>
      </w:tr>
    </w:tbl>
    <w:p>
      <w:pPr>
        <w:spacing w:after="0" w:line="144" w:lineRule="exact"/>
        <w:rPr>
          <w:sz w:val="20"/>
          <w:szCs w:val="20"/>
          <w:color w:val="auto"/>
        </w:rPr>
      </w:pPr>
    </w:p>
    <w:p>
      <w:pPr>
        <w:ind w:left="360" w:right="420" w:hanging="354"/>
        <w:spacing w:after="0" w:line="252" w:lineRule="auto"/>
        <w:tabs>
          <w:tab w:leader="none" w:pos="36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Mr. Kim was appointed Interim Chief Financial Officer effective September 1, 2024, and later appointed as the Company’s fulltime Chief Financial Officer, effective November 11, 2024.</w:t>
      </w:r>
    </w:p>
    <w:p>
      <w:pPr>
        <w:spacing w:after="0" w:line="10" w:lineRule="exact"/>
        <w:rPr>
          <w:rFonts w:ascii="Arial" w:cs="Arial" w:eastAsia="Arial" w:hAnsi="Arial"/>
          <w:sz w:val="13"/>
          <w:szCs w:val="13"/>
          <w:b w:val="1"/>
          <w:bCs w:val="1"/>
          <w:color w:val="auto"/>
        </w:rPr>
      </w:pPr>
    </w:p>
    <w:p>
      <w:pPr>
        <w:ind w:left="360" w:hanging="354"/>
        <w:spacing w:after="0"/>
        <w:tabs>
          <w:tab w:leader="none" w:pos="36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Mr. Mackay joined the Company as its Chief Business Officer on May 20, 2024.</w:t>
      </w:r>
    </w:p>
    <w:p>
      <w:pPr>
        <w:spacing w:after="0" w:line="39" w:lineRule="exact"/>
        <w:rPr>
          <w:rFonts w:ascii="Arial" w:cs="Arial" w:eastAsia="Arial" w:hAnsi="Arial"/>
          <w:sz w:val="13"/>
          <w:szCs w:val="13"/>
          <w:b w:val="1"/>
          <w:bCs w:val="1"/>
          <w:color w:val="auto"/>
        </w:rPr>
      </w:pPr>
    </w:p>
    <w:p>
      <w:pPr>
        <w:ind w:left="360" w:hanging="354"/>
        <w:spacing w:after="0"/>
        <w:tabs>
          <w:tab w:leader="none" w:pos="36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Mr. Black resigned from the Company as its Chief Financial Officer, effective August 31, 2024.</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Executive Summary</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Business Overview</w:t>
      </w:r>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16"/>
          <w:szCs w:val="16"/>
          <w:color w:val="333333"/>
        </w:rPr>
        <w:t>In 2024, the Company’s performance was marked by solid operational execution amid a dynamic macroeconomic backdrop. With the SomaLogic merger complete in early 2024, the Company ​closed its second transaction in November 2024 and made significant progress integrating the two new businesses. By leveraging the companies’ combined expertise and complementary technologies, the Company aims to improve operational efficiency, realize cost synergies, and capitalize on expanded revenue opportunities in this growing market. The Company achieved full-year pro forma combined revenue of $175.1 million while improving non-GAAP (as defined below) operating expenses by 22% and adjusted EBITDA by 33%. With $295 million in cash, cash equivalents, restricted cash, and short-term investments, and no material debt as of December 31, 2024, we believe the Company is well positioned to continue to scale the business, both organically and inorganically, with disciplined execution and continued margin expansion to deliver profitable growth and long-term stockholder value.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Advisory Vote on Executive Compensation</w:t>
      </w:r>
    </w:p>
    <w:p>
      <w:pPr>
        <w:spacing w:after="0" w:line="235"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333333"/>
        </w:rPr>
        <w:t>At our 2024 annual meeting of stockholders, approximately 87.15% of the voting power of the shares present or represented by proxy at the meeting and entitled to vote on the subject were in favor of our 2023 executive compensation program. Our Human Capital Committee reviewed the advisory vote results and, based on the strong level of support, determined that no significant changes to our executive compensation program were necessary for 2024. We continue to seek active engagement with stockholders on our executive compensation program and remain committed to employing compensation governance best practices and to achieving pay-for-performance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7"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Compensation Highlights</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16"/>
          <w:szCs w:val="16"/>
          <w:color w:val="333333"/>
        </w:rPr>
        <w:t>Our executive compensation program has three primary elements: base salary, annual incentives, and long-term equity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stockholder value creation. Based on our performance and consistent with the design of our program, the Human Capital Committee made the following executive compensation decisions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59664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ind w:left="240"/>
              <w:spacing w:after="0"/>
              <w:rPr>
                <w:sz w:val="20"/>
                <w:szCs w:val="20"/>
                <w:color w:val="auto"/>
              </w:rPr>
            </w:pPr>
            <w:r>
              <w:rPr>
                <w:rFonts w:ascii="Arial" w:cs="Arial" w:eastAsia="Arial" w:hAnsi="Arial"/>
                <w:sz w:val="14"/>
                <w:szCs w:val="14"/>
                <w:color w:val="auto"/>
              </w:rPr>
              <w:t>Base Salaries</w:t>
            </w:r>
          </w:p>
        </w:tc>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6720" w:type="dxa"/>
            <w:vAlign w:val="bottom"/>
          </w:tcPr>
          <w:p>
            <w:pPr>
              <w:ind w:left="60"/>
              <w:spacing w:after="0"/>
              <w:rPr>
                <w:sz w:val="20"/>
                <w:szCs w:val="20"/>
                <w:color w:val="auto"/>
              </w:rPr>
            </w:pPr>
            <w:r>
              <w:rPr>
                <w:rFonts w:ascii="Arial" w:cs="Arial" w:eastAsia="Arial" w:hAnsi="Arial"/>
                <w:sz w:val="14"/>
                <w:szCs w:val="14"/>
                <w:color w:val="auto"/>
              </w:rPr>
              <w:t>Approved base salary increases ranging from 8.4% to 13.6%, to improve competitive positioning and</w:t>
            </w: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auto"/>
              </w:rPr>
              <w:t>ensure market alignment for each of the NEO’s respective roles.</w:t>
            </w:r>
          </w:p>
        </w:tc>
        <w:tc>
          <w:tcPr>
            <w:tcW w:w="0" w:type="dxa"/>
            <w:vAlign w:val="bottom"/>
          </w:tcPr>
          <w:p>
            <w:pPr>
              <w:spacing w:after="0"/>
              <w:rPr>
                <w:sz w:val="1"/>
                <w:szCs w:val="1"/>
                <w:color w:val="auto"/>
              </w:rPr>
            </w:pPr>
          </w:p>
        </w:tc>
      </w:tr>
      <w:tr>
        <w:trPr>
          <w:trHeight w:val="89"/>
        </w:trPr>
        <w:tc>
          <w:tcPr>
            <w:tcW w:w="2220" w:type="dxa"/>
            <w:vAlign w:val="bottom"/>
            <w:tcBorders>
              <w:bottom w:val="single" w:sz="8" w:color="666666"/>
            </w:tcBorders>
          </w:tcPr>
          <w:p>
            <w:pPr>
              <w:spacing w:after="0"/>
              <w:rPr>
                <w:sz w:val="7"/>
                <w:szCs w:val="7"/>
                <w:color w:val="auto"/>
              </w:rPr>
            </w:pPr>
          </w:p>
        </w:tc>
        <w:tc>
          <w:tcPr>
            <w:tcW w:w="460" w:type="dxa"/>
            <w:vAlign w:val="bottom"/>
            <w:tcBorders>
              <w:bottom w:val="single" w:sz="8" w:color="666666"/>
            </w:tcBorders>
          </w:tcPr>
          <w:p>
            <w:pPr>
              <w:spacing w:after="0"/>
              <w:rPr>
                <w:sz w:val="7"/>
                <w:szCs w:val="7"/>
                <w:color w:val="auto"/>
              </w:rPr>
            </w:pPr>
          </w:p>
        </w:tc>
        <w:tc>
          <w:tcPr>
            <w:tcW w:w="67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220" w:type="dxa"/>
            <w:vAlign w:val="bottom"/>
          </w:tcPr>
          <w:p>
            <w:pPr>
              <w:ind w:left="240"/>
              <w:spacing w:after="0"/>
              <w:rPr>
                <w:sz w:val="20"/>
                <w:szCs w:val="20"/>
                <w:color w:val="auto"/>
              </w:rPr>
            </w:pPr>
            <w:r>
              <w:rPr>
                <w:rFonts w:ascii="Arial" w:cs="Arial" w:eastAsia="Arial" w:hAnsi="Arial"/>
                <w:sz w:val="14"/>
                <w:szCs w:val="14"/>
                <w:color w:val="auto"/>
              </w:rPr>
              <w:t>Annual Incentives</w:t>
            </w:r>
          </w:p>
        </w:tc>
        <w:tc>
          <w:tcPr>
            <w:tcW w:w="460" w:type="dxa"/>
            <w:vAlign w:val="bottom"/>
            <w:vMerge w:val="restart"/>
          </w:tcPr>
          <w:p>
            <w:pPr>
              <w:ind w:left="320"/>
              <w:spacing w:after="0"/>
              <w:rPr>
                <w:sz w:val="20"/>
                <w:szCs w:val="20"/>
                <w:color w:val="auto"/>
              </w:rPr>
            </w:pPr>
            <w:r>
              <w:rPr>
                <w:rFonts w:ascii="Arial" w:cs="Arial" w:eastAsia="Arial" w:hAnsi="Arial"/>
                <w:sz w:val="12"/>
                <w:szCs w:val="12"/>
                <w:color w:val="auto"/>
                <w:w w:val="73"/>
              </w:rPr>
              <w:t>• </w:t>
            </w:r>
          </w:p>
        </w:tc>
        <w:tc>
          <w:tcPr>
            <w:tcW w:w="6720" w:type="dxa"/>
            <w:vAlign w:val="bottom"/>
            <w:vMerge w:val="restart"/>
          </w:tcPr>
          <w:p>
            <w:pPr>
              <w:ind w:left="60"/>
              <w:spacing w:after="0"/>
              <w:rPr>
                <w:sz w:val="20"/>
                <w:szCs w:val="20"/>
                <w:color w:val="auto"/>
              </w:rPr>
            </w:pPr>
            <w:r>
              <w:rPr>
                <w:rFonts w:ascii="Arial" w:cs="Arial" w:eastAsia="Arial" w:hAnsi="Arial"/>
                <w:sz w:val="14"/>
                <w:szCs w:val="14"/>
                <w:color w:val="auto"/>
              </w:rPr>
              <w:t>Approved cash incentive program awards—based on performance—at 70% of target.</w:t>
            </w:r>
          </w:p>
        </w:tc>
        <w:tc>
          <w:tcPr>
            <w:tcW w:w="0" w:type="dxa"/>
            <w:vAlign w:val="bottom"/>
          </w:tcPr>
          <w:p>
            <w:pPr>
              <w:spacing w:after="0"/>
              <w:rPr>
                <w:sz w:val="1"/>
                <w:szCs w:val="1"/>
                <w:color w:val="auto"/>
              </w:rPr>
            </w:pPr>
          </w:p>
        </w:tc>
      </w:tr>
      <w:tr>
        <w:trPr>
          <w:trHeight w:val="109"/>
        </w:trPr>
        <w:tc>
          <w:tcPr>
            <w:tcW w:w="2220" w:type="dxa"/>
            <w:vAlign w:val="bottom"/>
            <w:vMerge w:val="restart"/>
          </w:tcPr>
          <w:p>
            <w:pPr>
              <w:ind w:left="240"/>
              <w:spacing w:after="0"/>
              <w:rPr>
                <w:sz w:val="20"/>
                <w:szCs w:val="20"/>
                <w:color w:val="auto"/>
              </w:rPr>
            </w:pPr>
            <w:r>
              <w:rPr>
                <w:rFonts w:ascii="Arial" w:cs="Arial" w:eastAsia="Arial" w:hAnsi="Arial"/>
                <w:sz w:val="14"/>
                <w:szCs w:val="14"/>
                <w:color w:val="auto"/>
              </w:rPr>
              <w:t>(Cash Incentive Program)</w:t>
            </w:r>
          </w:p>
        </w:tc>
        <w:tc>
          <w:tcPr>
            <w:tcW w:w="460" w:type="dxa"/>
            <w:vAlign w:val="bottom"/>
            <w:vMerge w:val="continue"/>
          </w:tcPr>
          <w:p>
            <w:pPr>
              <w:spacing w:after="0"/>
              <w:rPr>
                <w:sz w:val="9"/>
                <w:szCs w:val="9"/>
                <w:color w:val="auto"/>
              </w:rPr>
            </w:pPr>
          </w:p>
        </w:tc>
        <w:tc>
          <w:tcPr>
            <w:tcW w:w="6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220" w:type="dxa"/>
            <w:vAlign w:val="bottom"/>
            <w:tcBorders>
              <w:bottom w:val="single" w:sz="8" w:color="666666"/>
            </w:tcBorders>
          </w:tcPr>
          <w:p>
            <w:pPr>
              <w:spacing w:after="0"/>
              <w:rPr>
                <w:sz w:val="7"/>
                <w:szCs w:val="7"/>
                <w:color w:val="auto"/>
              </w:rPr>
            </w:pPr>
          </w:p>
        </w:tc>
        <w:tc>
          <w:tcPr>
            <w:tcW w:w="460" w:type="dxa"/>
            <w:vAlign w:val="bottom"/>
            <w:tcBorders>
              <w:bottom w:val="single" w:sz="8" w:color="666666"/>
            </w:tcBorders>
          </w:tcPr>
          <w:p>
            <w:pPr>
              <w:spacing w:after="0"/>
              <w:rPr>
                <w:sz w:val="7"/>
                <w:szCs w:val="7"/>
                <w:color w:val="auto"/>
              </w:rPr>
            </w:pPr>
          </w:p>
        </w:tc>
        <w:tc>
          <w:tcPr>
            <w:tcW w:w="67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220" w:type="dxa"/>
            <w:vAlign w:val="bottom"/>
          </w:tcPr>
          <w:p>
            <w:pPr>
              <w:ind w:left="240"/>
              <w:spacing w:after="0"/>
              <w:rPr>
                <w:sz w:val="20"/>
                <w:szCs w:val="20"/>
                <w:color w:val="auto"/>
              </w:rPr>
            </w:pPr>
            <w:r>
              <w:rPr>
                <w:rFonts w:ascii="Arial" w:cs="Arial" w:eastAsia="Arial" w:hAnsi="Arial"/>
                <w:sz w:val="14"/>
                <w:szCs w:val="14"/>
                <w:color w:val="auto"/>
              </w:rPr>
              <w:t>Long-Term Equity-Based</w:t>
            </w:r>
          </w:p>
        </w:tc>
        <w:tc>
          <w:tcPr>
            <w:tcW w:w="460" w:type="dxa"/>
            <w:vAlign w:val="bottom"/>
          </w:tcPr>
          <w:p>
            <w:pPr>
              <w:ind w:left="320"/>
              <w:spacing w:after="0"/>
              <w:rPr>
                <w:sz w:val="20"/>
                <w:szCs w:val="20"/>
                <w:color w:val="auto"/>
              </w:rPr>
            </w:pPr>
            <w:r>
              <w:rPr>
                <w:rFonts w:ascii="Arial" w:cs="Arial" w:eastAsia="Arial" w:hAnsi="Arial"/>
                <w:sz w:val="12"/>
                <w:szCs w:val="12"/>
                <w:color w:val="auto"/>
                <w:w w:val="73"/>
              </w:rPr>
              <w:t>• </w:t>
            </w:r>
          </w:p>
        </w:tc>
        <w:tc>
          <w:tcPr>
            <w:tcW w:w="6720" w:type="dxa"/>
            <w:vAlign w:val="bottom"/>
          </w:tcPr>
          <w:p>
            <w:pPr>
              <w:ind w:left="60"/>
              <w:spacing w:after="0"/>
              <w:rPr>
                <w:sz w:val="20"/>
                <w:szCs w:val="20"/>
                <w:color w:val="auto"/>
              </w:rPr>
            </w:pPr>
            <w:r>
              <w:rPr>
                <w:rFonts w:ascii="Arial" w:cs="Arial" w:eastAsia="Arial" w:hAnsi="Arial"/>
                <w:sz w:val="14"/>
                <w:szCs w:val="14"/>
                <w:color w:val="auto"/>
              </w:rPr>
              <w:t>Granted annual long-term equity awards using a mix of stock options and time-based restricted stock</w:t>
            </w:r>
          </w:p>
        </w:tc>
        <w:tc>
          <w:tcPr>
            <w:tcW w:w="0" w:type="dxa"/>
            <w:vAlign w:val="bottom"/>
          </w:tcPr>
          <w:p>
            <w:pPr>
              <w:spacing w:after="0"/>
              <w:rPr>
                <w:sz w:val="1"/>
                <w:szCs w:val="1"/>
                <w:color w:val="auto"/>
              </w:rPr>
            </w:pPr>
          </w:p>
        </w:tc>
      </w:tr>
      <w:tr>
        <w:trPr>
          <w:trHeight w:val="190"/>
        </w:trPr>
        <w:tc>
          <w:tcPr>
            <w:tcW w:w="2220" w:type="dxa"/>
            <w:vAlign w:val="bottom"/>
          </w:tcPr>
          <w:p>
            <w:pPr>
              <w:ind w:left="240"/>
              <w:spacing w:after="0"/>
              <w:rPr>
                <w:sz w:val="20"/>
                <w:szCs w:val="20"/>
                <w:color w:val="auto"/>
              </w:rPr>
            </w:pPr>
            <w:r>
              <w:rPr>
                <w:rFonts w:ascii="Arial" w:cs="Arial" w:eastAsia="Arial" w:hAnsi="Arial"/>
                <w:sz w:val="14"/>
                <w:szCs w:val="14"/>
                <w:color w:val="auto"/>
              </w:rPr>
              <w:t>Incentives</w:t>
            </w:r>
          </w:p>
        </w:tc>
        <w:tc>
          <w:tcPr>
            <w:tcW w:w="46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auto"/>
              </w:rPr>
              <w:t>units (“RSUs”).</w:t>
            </w:r>
          </w:p>
        </w:tc>
        <w:tc>
          <w:tcPr>
            <w:tcW w:w="0" w:type="dxa"/>
            <w:vAlign w:val="bottom"/>
          </w:tcPr>
          <w:p>
            <w:pPr>
              <w:spacing w:after="0"/>
              <w:rPr>
                <w:sz w:val="1"/>
                <w:szCs w:val="1"/>
                <w:color w:val="auto"/>
              </w:rPr>
            </w:pPr>
          </w:p>
        </w:tc>
      </w:tr>
      <w:tr>
        <w:trPr>
          <w:trHeight w:val="75"/>
        </w:trPr>
        <w:tc>
          <w:tcPr>
            <w:tcW w:w="2220" w:type="dxa"/>
            <w:vAlign w:val="bottom"/>
            <w:tcBorders>
              <w:bottom w:val="single" w:sz="8" w:color="24356E"/>
            </w:tcBorders>
          </w:tcPr>
          <w:p>
            <w:pPr>
              <w:spacing w:after="0"/>
              <w:rPr>
                <w:sz w:val="6"/>
                <w:szCs w:val="6"/>
                <w:color w:val="auto"/>
              </w:rPr>
            </w:pPr>
          </w:p>
        </w:tc>
        <w:tc>
          <w:tcPr>
            <w:tcW w:w="460" w:type="dxa"/>
            <w:vAlign w:val="bottom"/>
            <w:tcBorders>
              <w:bottom w:val="single" w:sz="8" w:color="24356E"/>
            </w:tcBorders>
          </w:tcPr>
          <w:p>
            <w:pPr>
              <w:spacing w:after="0"/>
              <w:rPr>
                <w:sz w:val="6"/>
                <w:szCs w:val="6"/>
                <w:color w:val="auto"/>
              </w:rPr>
            </w:pPr>
          </w:p>
        </w:tc>
        <w:tc>
          <w:tcPr>
            <w:tcW w:w="6720" w:type="dxa"/>
            <w:vAlign w:val="bottom"/>
            <w:tcBorders>
              <w:bottom w:val="single" w:sz="8" w:color="24356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Best Compensation Practices &amp; Policies</w:t>
      </w:r>
    </w:p>
    <w:p>
      <w:pPr>
        <w:spacing w:after="0" w:line="23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333333"/>
        </w:rPr>
        <w:t>We believe the following practices and policies within our program promote strong compensation governance and are in the best interests of our stockholders and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5966460" cy="282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28257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18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What We Do</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4"/>
          <w:szCs w:val="14"/>
          <w:color w:val="auto"/>
        </w:rPr>
        <w:t>Emphasize variable pay over fixed pay,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-95885</wp:posOffset>
            </wp:positionV>
            <wp:extent cx="111760" cy="111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ind w:left="600" w:hanging="342"/>
        <w:spacing w:after="0" w:line="264"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significant portion tied to our financial results and stock performance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What We Don’t Do</w:t>
      </w:r>
    </w:p>
    <w:p>
      <w:pPr>
        <w:spacing w:after="0" w:line="217" w:lineRule="exact"/>
        <w:rPr>
          <w:sz w:val="20"/>
          <w:szCs w:val="20"/>
          <w:color w:val="auto"/>
        </w:rPr>
      </w:pPr>
    </w:p>
    <w:p>
      <w:pPr>
        <w:jc w:val="right"/>
        <w:ind w:right="3840"/>
        <w:spacing w:after="0"/>
        <w:rPr>
          <w:sz w:val="20"/>
          <w:szCs w:val="20"/>
          <w:color w:val="auto"/>
        </w:rPr>
      </w:pPr>
      <w:r>
        <w:rPr>
          <w:rFonts w:ascii="Arial" w:cs="Arial" w:eastAsia="Arial" w:hAnsi="Arial"/>
          <w:sz w:val="14"/>
          <w:szCs w:val="14"/>
          <w:color w:val="auto"/>
        </w:rPr>
        <w:t>No tax gross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16319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118110</wp:posOffset>
            </wp:positionV>
            <wp:extent cx="59664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97" w:lineRule="exact"/>
        <w:rPr>
          <w:sz w:val="20"/>
          <w:szCs w:val="20"/>
          <w:color w:val="auto"/>
        </w:rPr>
      </w:pPr>
    </w:p>
    <w:p>
      <w:pPr>
        <w:sectPr>
          <w:pgSz w:w="11900" w:h="16838" w:orient="portrait"/>
          <w:cols w:equalWidth="0" w:num="2">
            <w:col w:w="3720" w:space="300"/>
            <w:col w:w="5380"/>
          </w:cols>
          <w:pgMar w:left="1240" w:top="114" w:right="12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440" w:type="dxa"/>
            <w:vAlign w:val="bottom"/>
            <w:vMerge w:val="restart"/>
          </w:tcPr>
          <w:p>
            <w:pPr>
              <w:ind w:left="260"/>
              <w:spacing w:after="0"/>
              <w:rPr>
                <w:sz w:val="20"/>
                <w:szCs w:val="20"/>
                <w:color w:val="auto"/>
              </w:rPr>
            </w:pPr>
            <w:r>
              <w:rPr>
                <w:rFonts w:ascii="Arial" w:cs="Arial" w:eastAsia="Arial" w:hAnsi="Arial"/>
                <w:sz w:val="14"/>
                <w:szCs w:val="14"/>
                <w:color w:val="auto"/>
              </w:rPr>
              <w:t> </w:t>
            </w:r>
          </w:p>
        </w:tc>
        <w:tc>
          <w:tcPr>
            <w:tcW w:w="3480" w:type="dxa"/>
            <w:vAlign w:val="bottom"/>
          </w:tcPr>
          <w:p>
            <w:pPr>
              <w:ind w:left="160"/>
              <w:spacing w:after="0"/>
              <w:rPr>
                <w:sz w:val="20"/>
                <w:szCs w:val="20"/>
                <w:color w:val="auto"/>
              </w:rPr>
            </w:pPr>
            <w:r>
              <w:rPr>
                <w:rFonts w:ascii="Arial" w:cs="Arial" w:eastAsia="Arial" w:hAnsi="Arial"/>
                <w:sz w:val="14"/>
                <w:szCs w:val="14"/>
                <w:color w:val="auto"/>
              </w:rPr>
              <w:t>Maintain a clawback policy</w:t>
            </w:r>
          </w:p>
        </w:tc>
        <w:tc>
          <w:tcPr>
            <w:tcW w:w="5480" w:type="dxa"/>
            <w:vAlign w:val="bottom"/>
          </w:tcPr>
          <w:p>
            <w:pPr>
              <w:ind w:left="560"/>
              <w:spacing w:after="0"/>
              <w:rPr>
                <w:sz w:val="20"/>
                <w:szCs w:val="20"/>
                <w:color w:val="auto"/>
              </w:rPr>
            </w:pPr>
            <w:r>
              <w:rPr>
                <w:rFonts w:ascii="Arial" w:cs="Arial" w:eastAsia="Arial" w:hAnsi="Arial"/>
                <w:sz w:val="14"/>
                <w:szCs w:val="14"/>
                <w:color w:val="auto"/>
              </w:rPr>
              <w:t>No repricing or exchange of underwater options without stockholder approval</w:t>
            </w:r>
          </w:p>
        </w:tc>
        <w:tc>
          <w:tcPr>
            <w:tcW w:w="0" w:type="dxa"/>
            <w:vAlign w:val="bottom"/>
          </w:tcPr>
          <w:p>
            <w:pPr>
              <w:spacing w:after="0"/>
              <w:rPr>
                <w:sz w:val="1"/>
                <w:szCs w:val="1"/>
                <w:color w:val="auto"/>
              </w:rPr>
            </w:pPr>
          </w:p>
        </w:tc>
      </w:tr>
      <w:tr>
        <w:trPr>
          <w:trHeight w:val="176"/>
        </w:trPr>
        <w:tc>
          <w:tcPr>
            <w:tcW w:w="440" w:type="dxa"/>
            <w:vAlign w:val="bottom"/>
            <w:vMerge w:val="continue"/>
          </w:tcPr>
          <w:p>
            <w:pPr>
              <w:spacing w:after="0"/>
              <w:rPr>
                <w:sz w:val="15"/>
                <w:szCs w:val="15"/>
                <w:color w:val="auto"/>
              </w:rPr>
            </w:pPr>
          </w:p>
        </w:tc>
        <w:tc>
          <w:tcPr>
            <w:tcW w:w="3480" w:type="dxa"/>
            <w:vAlign w:val="bottom"/>
          </w:tcPr>
          <w:p>
            <w:pPr>
              <w:spacing w:after="0"/>
              <w:rPr>
                <w:sz w:val="15"/>
                <w:szCs w:val="15"/>
                <w:color w:val="auto"/>
              </w:rPr>
            </w:pPr>
          </w:p>
        </w:tc>
        <w:tc>
          <w:tcPr>
            <w:tcW w:w="5480" w:type="dxa"/>
            <w:vAlign w:val="bottom"/>
            <w:vMerge w:val="restart"/>
          </w:tcPr>
          <w:p>
            <w:pPr>
              <w:ind w:left="20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666666"/>
            </w:tcBorders>
          </w:tcPr>
          <w:p>
            <w:pPr>
              <w:spacing w:after="0"/>
              <w:rPr>
                <w:sz w:val="7"/>
                <w:szCs w:val="7"/>
                <w:color w:val="auto"/>
              </w:rPr>
            </w:pPr>
          </w:p>
        </w:tc>
        <w:tc>
          <w:tcPr>
            <w:tcW w:w="3480" w:type="dxa"/>
            <w:vAlign w:val="bottom"/>
            <w:tcBorders>
              <w:bottom w:val="single" w:sz="8" w:color="666666"/>
            </w:tcBorders>
          </w:tcPr>
          <w:p>
            <w:pPr>
              <w:spacing w:after="0"/>
              <w:rPr>
                <w:sz w:val="7"/>
                <w:szCs w:val="7"/>
                <w:color w:val="auto"/>
              </w:rPr>
            </w:pPr>
          </w:p>
        </w:tc>
        <w:tc>
          <w:tcPr>
            <w:tcW w:w="548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40" w:type="dxa"/>
            <w:vAlign w:val="bottom"/>
            <w:vMerge w:val="restart"/>
          </w:tcPr>
          <w:p>
            <w:pPr>
              <w:ind w:left="260"/>
              <w:spacing w:after="0"/>
              <w:rPr>
                <w:sz w:val="20"/>
                <w:szCs w:val="20"/>
                <w:color w:val="auto"/>
              </w:rPr>
            </w:pPr>
            <w:r>
              <w:rPr>
                <w:rFonts w:ascii="Arial" w:cs="Arial" w:eastAsia="Arial" w:hAnsi="Arial"/>
                <w:sz w:val="14"/>
                <w:szCs w:val="14"/>
                <w:color w:val="auto"/>
              </w:rPr>
              <w:t> </w:t>
            </w:r>
          </w:p>
        </w:tc>
        <w:tc>
          <w:tcPr>
            <w:tcW w:w="3480" w:type="dxa"/>
            <w:vAlign w:val="bottom"/>
          </w:tcPr>
          <w:p>
            <w:pPr>
              <w:ind w:left="160"/>
              <w:spacing w:after="0"/>
              <w:rPr>
                <w:sz w:val="20"/>
                <w:szCs w:val="20"/>
                <w:color w:val="auto"/>
              </w:rPr>
            </w:pPr>
            <w:r>
              <w:rPr>
                <w:rFonts w:ascii="Arial" w:cs="Arial" w:eastAsia="Arial" w:hAnsi="Arial"/>
                <w:sz w:val="14"/>
                <w:szCs w:val="14"/>
                <w:color w:val="auto"/>
              </w:rPr>
              <w:t>Maintain anti-hedging and anti-pledging policies</w:t>
            </w:r>
          </w:p>
        </w:tc>
        <w:tc>
          <w:tcPr>
            <w:tcW w:w="5480" w:type="dxa"/>
            <w:vAlign w:val="bottom"/>
          </w:tcPr>
          <w:p>
            <w:pPr>
              <w:ind w:left="560"/>
              <w:spacing w:after="0"/>
              <w:rPr>
                <w:sz w:val="20"/>
                <w:szCs w:val="20"/>
                <w:color w:val="auto"/>
              </w:rPr>
            </w:pPr>
            <w:r>
              <w:rPr>
                <w:rFonts w:ascii="Arial" w:cs="Arial" w:eastAsia="Arial" w:hAnsi="Arial"/>
                <w:sz w:val="14"/>
                <w:szCs w:val="14"/>
                <w:color w:val="auto"/>
              </w:rPr>
              <w:t>No option or stock appreciation rights granted below fair market value</w:t>
            </w:r>
          </w:p>
        </w:tc>
        <w:tc>
          <w:tcPr>
            <w:tcW w:w="0" w:type="dxa"/>
            <w:vAlign w:val="bottom"/>
          </w:tcPr>
          <w:p>
            <w:pPr>
              <w:spacing w:after="0"/>
              <w:rPr>
                <w:sz w:val="1"/>
                <w:szCs w:val="1"/>
                <w:color w:val="auto"/>
              </w:rPr>
            </w:pPr>
          </w:p>
        </w:tc>
      </w:tr>
      <w:tr>
        <w:trPr>
          <w:trHeight w:val="175"/>
        </w:trPr>
        <w:tc>
          <w:tcPr>
            <w:tcW w:w="440" w:type="dxa"/>
            <w:vAlign w:val="bottom"/>
            <w:vMerge w:val="continue"/>
          </w:tcPr>
          <w:p>
            <w:pPr>
              <w:spacing w:after="0"/>
              <w:rPr>
                <w:sz w:val="15"/>
                <w:szCs w:val="15"/>
                <w:color w:val="auto"/>
              </w:rPr>
            </w:pPr>
          </w:p>
        </w:tc>
        <w:tc>
          <w:tcPr>
            <w:tcW w:w="3480" w:type="dxa"/>
            <w:vAlign w:val="bottom"/>
          </w:tcPr>
          <w:p>
            <w:pPr>
              <w:spacing w:after="0"/>
              <w:rPr>
                <w:sz w:val="15"/>
                <w:szCs w:val="15"/>
                <w:color w:val="auto"/>
              </w:rPr>
            </w:pPr>
          </w:p>
        </w:tc>
        <w:tc>
          <w:tcPr>
            <w:tcW w:w="5480" w:type="dxa"/>
            <w:vAlign w:val="bottom"/>
            <w:vMerge w:val="restart"/>
          </w:tcPr>
          <w:p>
            <w:pPr>
              <w:ind w:left="20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666666"/>
            </w:tcBorders>
          </w:tcPr>
          <w:p>
            <w:pPr>
              <w:spacing w:after="0"/>
              <w:rPr>
                <w:sz w:val="7"/>
                <w:szCs w:val="7"/>
                <w:color w:val="auto"/>
              </w:rPr>
            </w:pPr>
          </w:p>
        </w:tc>
        <w:tc>
          <w:tcPr>
            <w:tcW w:w="3480" w:type="dxa"/>
            <w:vAlign w:val="bottom"/>
            <w:tcBorders>
              <w:bottom w:val="single" w:sz="8" w:color="666666"/>
            </w:tcBorders>
          </w:tcPr>
          <w:p>
            <w:pPr>
              <w:spacing w:after="0"/>
              <w:rPr>
                <w:sz w:val="7"/>
                <w:szCs w:val="7"/>
                <w:color w:val="auto"/>
              </w:rPr>
            </w:pPr>
          </w:p>
        </w:tc>
        <w:tc>
          <w:tcPr>
            <w:tcW w:w="548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440" w:type="dxa"/>
            <w:vAlign w:val="bottom"/>
          </w:tcPr>
          <w:p>
            <w:pPr>
              <w:spacing w:after="0"/>
              <w:rPr>
                <w:sz w:val="22"/>
                <w:szCs w:val="22"/>
                <w:color w:val="auto"/>
              </w:rPr>
            </w:pPr>
          </w:p>
        </w:tc>
        <w:tc>
          <w:tcPr>
            <w:tcW w:w="3480" w:type="dxa"/>
            <w:vAlign w:val="bottom"/>
          </w:tcPr>
          <w:p>
            <w:pPr>
              <w:ind w:left="160"/>
              <w:spacing w:after="0"/>
              <w:rPr>
                <w:sz w:val="20"/>
                <w:szCs w:val="20"/>
                <w:color w:val="auto"/>
              </w:rPr>
            </w:pPr>
            <w:r>
              <w:rPr>
                <w:rFonts w:ascii="Arial" w:cs="Arial" w:eastAsia="Arial" w:hAnsi="Arial"/>
                <w:sz w:val="14"/>
                <w:szCs w:val="14"/>
                <w:color w:val="auto"/>
              </w:rPr>
              <w:t>Provide for “double-trigger” equity award vesting</w:t>
            </w:r>
          </w:p>
        </w:tc>
        <w:tc>
          <w:tcPr>
            <w:tcW w:w="5480" w:type="dxa"/>
            <w:vAlign w:val="bottom"/>
          </w:tcPr>
          <w:p>
            <w:pPr>
              <w:ind w:left="560"/>
              <w:spacing w:after="0"/>
              <w:rPr>
                <w:sz w:val="20"/>
                <w:szCs w:val="20"/>
                <w:color w:val="auto"/>
              </w:rPr>
            </w:pPr>
            <w:r>
              <w:rPr>
                <w:rFonts w:ascii="Arial" w:cs="Arial" w:eastAsia="Arial" w:hAnsi="Arial"/>
                <w:sz w:val="14"/>
                <w:szCs w:val="14"/>
                <w:color w:val="auto"/>
              </w:rPr>
              <w:t>No supplemental executive retirement plans</w:t>
            </w:r>
          </w:p>
        </w:tc>
        <w:tc>
          <w:tcPr>
            <w:tcW w:w="0" w:type="dxa"/>
            <w:vAlign w:val="bottom"/>
          </w:tcPr>
          <w:p>
            <w:pPr>
              <w:spacing w:after="0"/>
              <w:rPr>
                <w:sz w:val="1"/>
                <w:szCs w:val="1"/>
                <w:color w:val="auto"/>
              </w:rPr>
            </w:pPr>
          </w:p>
        </w:tc>
      </w:tr>
      <w:tr>
        <w:trPr>
          <w:trHeight w:val="204"/>
        </w:trPr>
        <w:tc>
          <w:tcPr>
            <w:tcW w:w="440" w:type="dxa"/>
            <w:vAlign w:val="bottom"/>
          </w:tcPr>
          <w:p>
            <w:pPr>
              <w:ind w:left="260"/>
              <w:spacing w:after="0"/>
              <w:rPr>
                <w:sz w:val="20"/>
                <w:szCs w:val="20"/>
                <w:color w:val="auto"/>
              </w:rPr>
            </w:pPr>
            <w:r>
              <w:rPr>
                <w:rFonts w:ascii="Arial" w:cs="Arial" w:eastAsia="Arial" w:hAnsi="Arial"/>
                <w:sz w:val="14"/>
                <w:szCs w:val="14"/>
                <w:color w:val="auto"/>
              </w:rPr>
              <w:t> </w:t>
            </w:r>
          </w:p>
        </w:tc>
        <w:tc>
          <w:tcPr>
            <w:tcW w:w="3480" w:type="dxa"/>
            <w:vAlign w:val="bottom"/>
          </w:tcPr>
          <w:p>
            <w:pPr>
              <w:ind w:left="160"/>
              <w:spacing w:after="0"/>
              <w:rPr>
                <w:sz w:val="20"/>
                <w:szCs w:val="20"/>
                <w:color w:val="auto"/>
              </w:rPr>
            </w:pPr>
            <w:r>
              <w:rPr>
                <w:rFonts w:ascii="Arial" w:cs="Arial" w:eastAsia="Arial" w:hAnsi="Arial"/>
                <w:sz w:val="14"/>
                <w:szCs w:val="14"/>
                <w:color w:val="auto"/>
              </w:rPr>
              <w:t>and severance benefits upon a change in control</w:t>
            </w:r>
          </w:p>
        </w:tc>
        <w:tc>
          <w:tcPr>
            <w:tcW w:w="5480" w:type="dxa"/>
            <w:vAlign w:val="bottom"/>
            <w:vMerge w:val="restart"/>
          </w:tcPr>
          <w:p>
            <w:pPr>
              <w:ind w:left="20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666666"/>
            </w:tcBorders>
          </w:tcPr>
          <w:p>
            <w:pPr>
              <w:spacing w:after="0"/>
              <w:rPr>
                <w:sz w:val="7"/>
                <w:szCs w:val="7"/>
                <w:color w:val="auto"/>
              </w:rPr>
            </w:pPr>
          </w:p>
        </w:tc>
        <w:tc>
          <w:tcPr>
            <w:tcW w:w="3480" w:type="dxa"/>
            <w:vAlign w:val="bottom"/>
            <w:tcBorders>
              <w:bottom w:val="single" w:sz="8" w:color="666666"/>
            </w:tcBorders>
          </w:tcPr>
          <w:p>
            <w:pPr>
              <w:spacing w:after="0"/>
              <w:rPr>
                <w:sz w:val="7"/>
                <w:szCs w:val="7"/>
                <w:color w:val="auto"/>
              </w:rPr>
            </w:pPr>
          </w:p>
        </w:tc>
        <w:tc>
          <w:tcPr>
            <w:tcW w:w="548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440" w:type="dxa"/>
            <w:vAlign w:val="bottom"/>
            <w:vMerge w:val="restart"/>
          </w:tcPr>
          <w:p>
            <w:pPr>
              <w:ind w:left="260"/>
              <w:spacing w:after="0"/>
              <w:rPr>
                <w:sz w:val="20"/>
                <w:szCs w:val="20"/>
                <w:color w:val="auto"/>
              </w:rPr>
            </w:pPr>
            <w:r>
              <w:rPr>
                <w:rFonts w:ascii="Arial" w:cs="Arial" w:eastAsia="Arial" w:hAnsi="Arial"/>
                <w:sz w:val="14"/>
                <w:szCs w:val="14"/>
                <w:color w:val="auto"/>
              </w:rPr>
              <w:t> </w:t>
            </w:r>
          </w:p>
        </w:tc>
        <w:tc>
          <w:tcPr>
            <w:tcW w:w="3480" w:type="dxa"/>
            <w:vAlign w:val="bottom"/>
          </w:tcPr>
          <w:p>
            <w:pPr>
              <w:ind w:left="160"/>
              <w:spacing w:after="0"/>
              <w:rPr>
                <w:sz w:val="20"/>
                <w:szCs w:val="20"/>
                <w:color w:val="auto"/>
              </w:rPr>
            </w:pPr>
            <w:r>
              <w:rPr>
                <w:rFonts w:ascii="Arial" w:cs="Arial" w:eastAsia="Arial" w:hAnsi="Arial"/>
                <w:sz w:val="14"/>
                <w:szCs w:val="14"/>
                <w:color w:val="auto"/>
              </w:rPr>
              <w:t>Use an independent compensation consultant</w:t>
            </w:r>
          </w:p>
        </w:tc>
        <w:tc>
          <w:tcPr>
            <w:tcW w:w="5480" w:type="dxa"/>
            <w:vAlign w:val="bottom"/>
          </w:tcPr>
          <w:p>
            <w:pPr>
              <w:ind w:left="560"/>
              <w:spacing w:after="0"/>
              <w:rPr>
                <w:sz w:val="20"/>
                <w:szCs w:val="20"/>
                <w:color w:val="auto"/>
              </w:rPr>
            </w:pPr>
            <w:r>
              <w:rPr>
                <w:rFonts w:ascii="Arial" w:cs="Arial" w:eastAsia="Arial" w:hAnsi="Arial"/>
                <w:sz w:val="14"/>
                <w:szCs w:val="14"/>
                <w:color w:val="auto"/>
              </w:rPr>
              <w:t>No significant perquisites</w:t>
            </w:r>
          </w:p>
        </w:tc>
        <w:tc>
          <w:tcPr>
            <w:tcW w:w="0" w:type="dxa"/>
            <w:vAlign w:val="bottom"/>
          </w:tcPr>
          <w:p>
            <w:pPr>
              <w:spacing w:after="0"/>
              <w:rPr>
                <w:sz w:val="1"/>
                <w:szCs w:val="1"/>
                <w:color w:val="auto"/>
              </w:rPr>
            </w:pPr>
          </w:p>
        </w:tc>
      </w:tr>
      <w:tr>
        <w:trPr>
          <w:trHeight w:val="175"/>
        </w:trPr>
        <w:tc>
          <w:tcPr>
            <w:tcW w:w="440" w:type="dxa"/>
            <w:vAlign w:val="bottom"/>
            <w:vMerge w:val="continue"/>
          </w:tcPr>
          <w:p>
            <w:pPr>
              <w:spacing w:after="0"/>
              <w:rPr>
                <w:sz w:val="15"/>
                <w:szCs w:val="15"/>
                <w:color w:val="auto"/>
              </w:rPr>
            </w:pPr>
          </w:p>
        </w:tc>
        <w:tc>
          <w:tcPr>
            <w:tcW w:w="3480" w:type="dxa"/>
            <w:vAlign w:val="bottom"/>
          </w:tcPr>
          <w:p>
            <w:pPr>
              <w:spacing w:after="0"/>
              <w:rPr>
                <w:sz w:val="15"/>
                <w:szCs w:val="15"/>
                <w:color w:val="auto"/>
              </w:rPr>
            </w:pPr>
          </w:p>
        </w:tc>
        <w:tc>
          <w:tcPr>
            <w:tcW w:w="5480" w:type="dxa"/>
            <w:vAlign w:val="bottom"/>
            <w:vMerge w:val="restart"/>
          </w:tcPr>
          <w:p>
            <w:pPr>
              <w:ind w:left="20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40" w:type="dxa"/>
            <w:vAlign w:val="bottom"/>
            <w:tcBorders>
              <w:bottom w:val="single" w:sz="8" w:color="24356E"/>
            </w:tcBorders>
          </w:tcPr>
          <w:p>
            <w:pPr>
              <w:spacing w:after="0"/>
              <w:rPr>
                <w:sz w:val="6"/>
                <w:szCs w:val="6"/>
                <w:color w:val="auto"/>
              </w:rPr>
            </w:pPr>
          </w:p>
        </w:tc>
        <w:tc>
          <w:tcPr>
            <w:tcW w:w="3480" w:type="dxa"/>
            <w:vAlign w:val="bottom"/>
            <w:tcBorders>
              <w:bottom w:val="single" w:sz="8" w:color="24356E"/>
            </w:tcBorders>
          </w:tcPr>
          <w:p>
            <w:pPr>
              <w:spacing w:after="0"/>
              <w:rPr>
                <w:sz w:val="6"/>
                <w:szCs w:val="6"/>
                <w:color w:val="auto"/>
              </w:rPr>
            </w:pPr>
          </w:p>
        </w:tc>
        <w:tc>
          <w:tcPr>
            <w:tcW w:w="5480" w:type="dxa"/>
            <w:vAlign w:val="bottom"/>
            <w:tcBorders>
              <w:bottom w:val="single" w:sz="8" w:color="24356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-1568450</wp:posOffset>
            </wp:positionV>
            <wp:extent cx="111760"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-1568450</wp:posOffset>
            </wp:positionV>
            <wp:extent cx="163195"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3195" cy="162560"/>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-1156970</wp:posOffset>
            </wp:positionV>
            <wp:extent cx="111760" cy="111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-1156970</wp:posOffset>
            </wp:positionV>
            <wp:extent cx="16319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-745490</wp:posOffset>
            </wp:positionV>
            <wp:extent cx="111760" cy="111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-745490</wp:posOffset>
            </wp:positionV>
            <wp:extent cx="163195"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195" cy="162560"/>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-334010</wp:posOffset>
            </wp:positionV>
            <wp:extent cx="111760" cy="111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-334010</wp:posOffset>
            </wp:positionV>
            <wp:extent cx="16319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What Guides Our Program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Philosophy</w:t>
      </w:r>
    </w:p>
    <w:p>
      <w:pPr>
        <w:spacing w:after="0" w:line="23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333333"/>
        </w:rPr>
        <w:t>The primary goals of our executive compensation program are to hire and retain talented and experienced executive officers who are motivated to achieve or exceed our short-term and long-term corporate goals. Our executive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 In determining the form and amount of compensation payable to our executive officers, we are guided by the following objectives and principles:</w:t>
      </w:r>
    </w:p>
    <w:p>
      <w:pPr>
        <w:spacing w:after="0" w:line="141" w:lineRule="exact"/>
        <w:rPr>
          <w:sz w:val="20"/>
          <w:szCs w:val="20"/>
          <w:color w:val="auto"/>
        </w:rPr>
      </w:pPr>
    </w:p>
    <w:p>
      <w:pPr>
        <w:ind w:left="720" w:hanging="354"/>
        <w:spacing w:after="0"/>
        <w:tabs>
          <w:tab w:leader="none" w:pos="72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Team-oriented approach to establishing compensation levels;</w:t>
      </w:r>
    </w:p>
    <w:p>
      <w:pPr>
        <w:spacing w:after="0" w:line="194" w:lineRule="exact"/>
        <w:rPr>
          <w:rFonts w:ascii="Arial" w:cs="Arial" w:eastAsia="Arial" w:hAnsi="Arial"/>
          <w:sz w:val="16"/>
          <w:szCs w:val="16"/>
          <w:color w:val="333333"/>
        </w:rPr>
      </w:pPr>
    </w:p>
    <w:p>
      <w:pPr>
        <w:ind w:left="720" w:hanging="354"/>
        <w:spacing w:after="0"/>
        <w:tabs>
          <w:tab w:leader="none" w:pos="720"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Compensation should relate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hanging="354"/>
        <w:spacing w:after="0"/>
        <w:tabs>
          <w:tab w:leader="none" w:pos="720" w:val="left"/>
        </w:tabs>
        <w:numPr>
          <w:ilvl w:val="0"/>
          <w:numId w:val="26"/>
        </w:numPr>
        <w:rPr>
          <w:rFonts w:ascii="Arial" w:cs="Arial" w:eastAsia="Arial" w:hAnsi="Arial"/>
          <w:sz w:val="16"/>
          <w:szCs w:val="16"/>
          <w:color w:val="333333"/>
        </w:rPr>
      </w:pPr>
      <w:r>
        <w:rPr>
          <w:rFonts w:ascii="Arial" w:cs="Arial" w:eastAsia="Arial" w:hAnsi="Arial"/>
          <w:sz w:val="16"/>
          <w:szCs w:val="16"/>
          <w:color w:val="333333"/>
        </w:rPr>
        <w:t>Equity awards help executive officers think like stockholders; and</w:t>
      </w:r>
    </w:p>
    <w:p>
      <w:pPr>
        <w:spacing w:after="0" w:line="180" w:lineRule="exact"/>
        <w:rPr>
          <w:rFonts w:ascii="Arial" w:cs="Arial" w:eastAsia="Arial" w:hAnsi="Arial"/>
          <w:sz w:val="16"/>
          <w:szCs w:val="16"/>
          <w:color w:val="333333"/>
        </w:rPr>
      </w:pPr>
    </w:p>
    <w:p>
      <w:pPr>
        <w:ind w:left="720" w:hanging="354"/>
        <w:spacing w:after="0"/>
        <w:tabs>
          <w:tab w:leader="none" w:pos="720" w:val="left"/>
        </w:tabs>
        <w:numPr>
          <w:ilvl w:val="0"/>
          <w:numId w:val="26"/>
        </w:numPr>
        <w:rPr>
          <w:rFonts w:ascii="Arial" w:cs="Arial" w:eastAsia="Arial" w:hAnsi="Arial"/>
          <w:sz w:val="16"/>
          <w:szCs w:val="16"/>
          <w:color w:val="333333"/>
        </w:rPr>
      </w:pPr>
      <w:r>
        <w:rPr>
          <w:rFonts w:ascii="Arial" w:cs="Arial" w:eastAsia="Arial" w:hAnsi="Arial"/>
          <w:sz w:val="16"/>
          <w:szCs w:val="16"/>
          <w:color w:val="333333"/>
        </w:rPr>
        <w:t>Total compensation opportunities should be competitive.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Elements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333333"/>
        </w:rPr>
        <w:t>Our compensation philosophy is supported by the following total direct compensation elements: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1980" w:type="dxa"/>
            <w:vAlign w:val="bottom"/>
            <w:shd w:val="clear" w:color="auto" w:fill="24356E"/>
          </w:tcPr>
          <w:p>
            <w:pPr>
              <w:ind w:left="240"/>
              <w:spacing w:after="0"/>
              <w:rPr>
                <w:sz w:val="20"/>
                <w:szCs w:val="20"/>
                <w:color w:val="auto"/>
              </w:rPr>
            </w:pPr>
            <w:r>
              <w:rPr>
                <w:rFonts w:ascii="Arial" w:cs="Arial" w:eastAsia="Arial" w:hAnsi="Arial"/>
                <w:sz w:val="14"/>
                <w:szCs w:val="14"/>
                <w:b w:val="1"/>
                <w:bCs w:val="1"/>
                <w:color w:val="FFFFFF"/>
              </w:rPr>
              <w:t>Compensation Element</w:t>
            </w:r>
          </w:p>
        </w:tc>
        <w:tc>
          <w:tcPr>
            <w:tcW w:w="1220" w:type="dxa"/>
            <w:vAlign w:val="bottom"/>
            <w:shd w:val="clear" w:color="auto" w:fill="24356E"/>
          </w:tcPr>
          <w:p>
            <w:pPr>
              <w:ind w:left="140"/>
              <w:spacing w:after="0"/>
              <w:rPr>
                <w:sz w:val="20"/>
                <w:szCs w:val="20"/>
                <w:color w:val="auto"/>
              </w:rPr>
            </w:pPr>
            <w:r>
              <w:rPr>
                <w:rFonts w:ascii="Arial" w:cs="Arial" w:eastAsia="Arial" w:hAnsi="Arial"/>
                <w:sz w:val="14"/>
                <w:szCs w:val="14"/>
                <w:b w:val="1"/>
                <w:bCs w:val="1"/>
                <w:color w:val="FFFFFF"/>
              </w:rPr>
              <w:t>How It’s Paid</w:t>
            </w:r>
          </w:p>
        </w:tc>
        <w:tc>
          <w:tcPr>
            <w:tcW w:w="6200" w:type="dxa"/>
            <w:vAlign w:val="bottom"/>
            <w:shd w:val="clear" w:color="auto" w:fill="24356E"/>
          </w:tcPr>
          <w:p>
            <w:pPr>
              <w:ind w:left="200"/>
              <w:spacing w:after="0"/>
              <w:rPr>
                <w:sz w:val="20"/>
                <w:szCs w:val="20"/>
                <w:color w:val="auto"/>
              </w:rPr>
            </w:pPr>
            <w:r>
              <w:rPr>
                <w:rFonts w:ascii="Arial" w:cs="Arial" w:eastAsia="Arial" w:hAnsi="Arial"/>
                <w:sz w:val="14"/>
                <w:szCs w:val="14"/>
                <w:b w:val="1"/>
                <w:bCs w:val="1"/>
                <w:color w:val="FFFFFF"/>
              </w:rPr>
              <w:t>Purpose</w:t>
            </w:r>
          </w:p>
        </w:tc>
      </w:tr>
      <w:tr>
        <w:trPr>
          <w:trHeight w:val="83"/>
        </w:trPr>
        <w:tc>
          <w:tcPr>
            <w:tcW w:w="1980" w:type="dxa"/>
            <w:vAlign w:val="bottom"/>
            <w:shd w:val="clear" w:color="auto" w:fill="24356E"/>
          </w:tcPr>
          <w:p>
            <w:pPr>
              <w:spacing w:after="0"/>
              <w:rPr>
                <w:sz w:val="7"/>
                <w:szCs w:val="7"/>
                <w:color w:val="auto"/>
              </w:rPr>
            </w:pPr>
          </w:p>
        </w:tc>
        <w:tc>
          <w:tcPr>
            <w:tcW w:w="1220" w:type="dxa"/>
            <w:vAlign w:val="bottom"/>
            <w:shd w:val="clear" w:color="auto" w:fill="24356E"/>
          </w:tcPr>
          <w:p>
            <w:pPr>
              <w:spacing w:after="0"/>
              <w:rPr>
                <w:sz w:val="7"/>
                <w:szCs w:val="7"/>
                <w:color w:val="auto"/>
              </w:rPr>
            </w:pPr>
          </w:p>
        </w:tc>
        <w:tc>
          <w:tcPr>
            <w:tcW w:w="6200" w:type="dxa"/>
            <w:vAlign w:val="bottom"/>
            <w:shd w:val="clear" w:color="auto" w:fill="24356E"/>
          </w:tcPr>
          <w:p>
            <w:pPr>
              <w:spacing w:after="0"/>
              <w:rPr>
                <w:sz w:val="7"/>
                <w:szCs w:val="7"/>
                <w:color w:val="auto"/>
              </w:rPr>
            </w:pPr>
          </w:p>
        </w:tc>
      </w:tr>
      <w:tr>
        <w:trPr>
          <w:trHeight w:val="261"/>
        </w:trPr>
        <w:tc>
          <w:tcPr>
            <w:tcW w:w="1980" w:type="dxa"/>
            <w:vAlign w:val="bottom"/>
          </w:tcPr>
          <w:p>
            <w:pPr>
              <w:ind w:left="240"/>
              <w:spacing w:after="0"/>
              <w:rPr>
                <w:sz w:val="20"/>
                <w:szCs w:val="20"/>
                <w:color w:val="auto"/>
              </w:rPr>
            </w:pPr>
            <w:r>
              <w:rPr>
                <w:rFonts w:ascii="Arial" w:cs="Arial" w:eastAsia="Arial" w:hAnsi="Arial"/>
                <w:sz w:val="14"/>
                <w:szCs w:val="14"/>
                <w:color w:val="auto"/>
              </w:rPr>
              <w:t>Base Salary</w:t>
            </w:r>
          </w:p>
        </w:tc>
        <w:tc>
          <w:tcPr>
            <w:tcW w:w="1220" w:type="dxa"/>
            <w:vAlign w:val="bottom"/>
          </w:tcPr>
          <w:p>
            <w:pPr>
              <w:ind w:left="140"/>
              <w:spacing w:after="0"/>
              <w:rPr>
                <w:sz w:val="20"/>
                <w:szCs w:val="20"/>
                <w:color w:val="auto"/>
              </w:rPr>
            </w:pPr>
            <w:r>
              <w:rPr>
                <w:rFonts w:ascii="Arial" w:cs="Arial" w:eastAsia="Arial" w:hAnsi="Arial"/>
                <w:sz w:val="14"/>
                <w:szCs w:val="14"/>
                <w:color w:val="auto"/>
              </w:rPr>
              <w:t>Cash</w:t>
            </w:r>
          </w:p>
        </w:tc>
        <w:tc>
          <w:tcPr>
            <w:tcW w:w="6200" w:type="dxa"/>
            <w:vAlign w:val="bottom"/>
          </w:tcPr>
          <w:p>
            <w:pPr>
              <w:ind w:left="200"/>
              <w:spacing w:after="0"/>
              <w:rPr>
                <w:sz w:val="20"/>
                <w:szCs w:val="20"/>
                <w:color w:val="auto"/>
              </w:rPr>
            </w:pPr>
            <w:r>
              <w:rPr>
                <w:rFonts w:ascii="Arial" w:cs="Arial" w:eastAsia="Arial" w:hAnsi="Arial"/>
                <w:sz w:val="14"/>
                <w:szCs w:val="14"/>
                <w:color w:val="auto"/>
              </w:rPr>
              <w:t>Provide a competitive base salary rate relative to similar positions in the market and enable</w:t>
            </w:r>
          </w:p>
        </w:tc>
      </w:tr>
      <w:tr>
        <w:trPr>
          <w:trHeight w:val="190"/>
        </w:trPr>
        <w:tc>
          <w:tcPr>
            <w:tcW w:w="1980" w:type="dxa"/>
            <w:vAlign w:val="bottom"/>
          </w:tcPr>
          <w:p>
            <w:pPr>
              <w:spacing w:after="0"/>
              <w:rPr>
                <w:sz w:val="16"/>
                <w:szCs w:val="16"/>
                <w:color w:val="auto"/>
              </w:rPr>
            </w:pPr>
          </w:p>
        </w:tc>
        <w:tc>
          <w:tcPr>
            <w:tcW w:w="1220" w:type="dxa"/>
            <w:vAlign w:val="bottom"/>
          </w:tcPr>
          <w:p>
            <w:pPr>
              <w:ind w:left="140"/>
              <w:spacing w:after="0"/>
              <w:rPr>
                <w:sz w:val="20"/>
                <w:szCs w:val="20"/>
                <w:color w:val="auto"/>
              </w:rPr>
            </w:pPr>
            <w:r>
              <w:rPr>
                <w:rFonts w:ascii="Arial" w:cs="Arial" w:eastAsia="Arial" w:hAnsi="Arial"/>
                <w:sz w:val="14"/>
                <w:szCs w:val="14"/>
                <w:color w:val="auto"/>
              </w:rPr>
              <w:t>(Fixed)</w:t>
            </w:r>
          </w:p>
        </w:tc>
        <w:tc>
          <w:tcPr>
            <w:tcW w:w="6200" w:type="dxa"/>
            <w:vAlign w:val="bottom"/>
          </w:tcPr>
          <w:p>
            <w:pPr>
              <w:ind w:left="200"/>
              <w:spacing w:after="0"/>
              <w:rPr>
                <w:sz w:val="20"/>
                <w:szCs w:val="20"/>
                <w:color w:val="auto"/>
              </w:rPr>
            </w:pPr>
            <w:r>
              <w:rPr>
                <w:rFonts w:ascii="Arial" w:cs="Arial" w:eastAsia="Arial" w:hAnsi="Arial"/>
                <w:sz w:val="14"/>
                <w:szCs w:val="14"/>
                <w:color w:val="auto"/>
              </w:rPr>
              <w:t>the Company to attract and retain executive talent.</w:t>
            </w:r>
          </w:p>
        </w:tc>
      </w:tr>
      <w:tr>
        <w:trPr>
          <w:trHeight w:val="89"/>
        </w:trPr>
        <w:tc>
          <w:tcPr>
            <w:tcW w:w="198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c>
          <w:tcPr>
            <w:tcW w:w="6200" w:type="dxa"/>
            <w:vAlign w:val="bottom"/>
            <w:tcBorders>
              <w:bottom w:val="single" w:sz="8" w:color="666666"/>
            </w:tcBorders>
          </w:tcPr>
          <w:p>
            <w:pPr>
              <w:spacing w:after="0"/>
              <w:rPr>
                <w:sz w:val="7"/>
                <w:szCs w:val="7"/>
                <w:color w:val="auto"/>
              </w:rPr>
            </w:pPr>
          </w:p>
        </w:tc>
      </w:tr>
      <w:tr>
        <w:trPr>
          <w:trHeight w:val="254"/>
        </w:trPr>
        <w:tc>
          <w:tcPr>
            <w:tcW w:w="1980" w:type="dxa"/>
            <w:vAlign w:val="bottom"/>
          </w:tcPr>
          <w:p>
            <w:pPr>
              <w:ind w:left="240"/>
              <w:spacing w:after="0"/>
              <w:rPr>
                <w:sz w:val="20"/>
                <w:szCs w:val="20"/>
                <w:color w:val="auto"/>
              </w:rPr>
            </w:pPr>
            <w:r>
              <w:rPr>
                <w:rFonts w:ascii="Arial" w:cs="Arial" w:eastAsia="Arial" w:hAnsi="Arial"/>
                <w:sz w:val="14"/>
                <w:szCs w:val="14"/>
                <w:color w:val="auto"/>
              </w:rPr>
              <w:t>Annual Incentives (Cash</w:t>
            </w:r>
          </w:p>
        </w:tc>
        <w:tc>
          <w:tcPr>
            <w:tcW w:w="1220" w:type="dxa"/>
            <w:vAlign w:val="bottom"/>
          </w:tcPr>
          <w:p>
            <w:pPr>
              <w:ind w:left="140"/>
              <w:spacing w:after="0"/>
              <w:rPr>
                <w:sz w:val="20"/>
                <w:szCs w:val="20"/>
                <w:color w:val="auto"/>
              </w:rPr>
            </w:pPr>
            <w:r>
              <w:rPr>
                <w:rFonts w:ascii="Arial" w:cs="Arial" w:eastAsia="Arial" w:hAnsi="Arial"/>
                <w:sz w:val="14"/>
                <w:szCs w:val="14"/>
                <w:color w:val="auto"/>
              </w:rPr>
              <w:t>Cash</w:t>
            </w:r>
          </w:p>
        </w:tc>
        <w:tc>
          <w:tcPr>
            <w:tcW w:w="6200" w:type="dxa"/>
            <w:vAlign w:val="bottom"/>
          </w:tcPr>
          <w:p>
            <w:pPr>
              <w:ind w:left="200"/>
              <w:spacing w:after="0"/>
              <w:rPr>
                <w:sz w:val="20"/>
                <w:szCs w:val="20"/>
                <w:color w:val="auto"/>
              </w:rPr>
            </w:pPr>
            <w:r>
              <w:rPr>
                <w:rFonts w:ascii="Arial" w:cs="Arial" w:eastAsia="Arial" w:hAnsi="Arial"/>
                <w:sz w:val="14"/>
                <w:szCs w:val="14"/>
                <w:color w:val="auto"/>
              </w:rPr>
              <w:t>Reward executives for delivering on annual financial performance objectives that contribute</w:t>
            </w:r>
          </w:p>
        </w:tc>
      </w:tr>
      <w:tr>
        <w:trPr>
          <w:trHeight w:val="190"/>
        </w:trPr>
        <w:tc>
          <w:tcPr>
            <w:tcW w:w="1980" w:type="dxa"/>
            <w:vAlign w:val="bottom"/>
          </w:tcPr>
          <w:p>
            <w:pPr>
              <w:ind w:left="240"/>
              <w:spacing w:after="0"/>
              <w:rPr>
                <w:sz w:val="20"/>
                <w:szCs w:val="20"/>
                <w:color w:val="auto"/>
              </w:rPr>
            </w:pPr>
            <w:r>
              <w:rPr>
                <w:rFonts w:ascii="Arial" w:cs="Arial" w:eastAsia="Arial" w:hAnsi="Arial"/>
                <w:sz w:val="14"/>
                <w:szCs w:val="14"/>
                <w:color w:val="auto"/>
              </w:rPr>
              <w:t>Incentive Program)</w:t>
            </w:r>
          </w:p>
        </w:tc>
        <w:tc>
          <w:tcPr>
            <w:tcW w:w="1220" w:type="dxa"/>
            <w:vAlign w:val="bottom"/>
          </w:tcPr>
          <w:p>
            <w:pPr>
              <w:ind w:left="140"/>
              <w:spacing w:after="0"/>
              <w:rPr>
                <w:sz w:val="20"/>
                <w:szCs w:val="20"/>
                <w:color w:val="auto"/>
              </w:rPr>
            </w:pPr>
            <w:r>
              <w:rPr>
                <w:rFonts w:ascii="Arial" w:cs="Arial" w:eastAsia="Arial" w:hAnsi="Arial"/>
                <w:sz w:val="14"/>
                <w:szCs w:val="14"/>
                <w:color w:val="auto"/>
              </w:rPr>
              <w:t>(Variable)</w:t>
            </w:r>
          </w:p>
        </w:tc>
        <w:tc>
          <w:tcPr>
            <w:tcW w:w="6200" w:type="dxa"/>
            <w:vAlign w:val="bottom"/>
          </w:tcPr>
          <w:p>
            <w:pPr>
              <w:ind w:left="200"/>
              <w:spacing w:after="0"/>
              <w:rPr>
                <w:sz w:val="20"/>
                <w:szCs w:val="20"/>
                <w:color w:val="auto"/>
              </w:rPr>
            </w:pPr>
            <w:r>
              <w:rPr>
                <w:rFonts w:ascii="Arial" w:cs="Arial" w:eastAsia="Arial" w:hAnsi="Arial"/>
                <w:sz w:val="14"/>
                <w:szCs w:val="14"/>
                <w:color w:val="auto"/>
              </w:rPr>
              <w:t>to the creation of stockholder value.</w:t>
            </w:r>
          </w:p>
        </w:tc>
      </w:tr>
      <w:tr>
        <w:trPr>
          <w:trHeight w:val="89"/>
        </w:trPr>
        <w:tc>
          <w:tcPr>
            <w:tcW w:w="198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c>
          <w:tcPr>
            <w:tcW w:w="6200" w:type="dxa"/>
            <w:vAlign w:val="bottom"/>
            <w:tcBorders>
              <w:bottom w:val="single" w:sz="8" w:color="666666"/>
            </w:tcBorders>
          </w:tcPr>
          <w:p>
            <w:pPr>
              <w:spacing w:after="0"/>
              <w:rPr>
                <w:sz w:val="7"/>
                <w:szCs w:val="7"/>
                <w:color w:val="auto"/>
              </w:rPr>
            </w:pPr>
          </w:p>
        </w:tc>
      </w:tr>
      <w:tr>
        <w:trPr>
          <w:trHeight w:val="254"/>
        </w:trPr>
        <w:tc>
          <w:tcPr>
            <w:tcW w:w="1980" w:type="dxa"/>
            <w:vAlign w:val="bottom"/>
          </w:tcPr>
          <w:p>
            <w:pPr>
              <w:ind w:left="240"/>
              <w:spacing w:after="0"/>
              <w:rPr>
                <w:sz w:val="20"/>
                <w:szCs w:val="20"/>
                <w:color w:val="auto"/>
              </w:rPr>
            </w:pPr>
            <w:r>
              <w:rPr>
                <w:rFonts w:ascii="Arial" w:cs="Arial" w:eastAsia="Arial" w:hAnsi="Arial"/>
                <w:sz w:val="14"/>
                <w:szCs w:val="14"/>
                <w:color w:val="auto"/>
              </w:rPr>
              <w:t>Long-Term Incentives</w:t>
            </w:r>
          </w:p>
        </w:tc>
        <w:tc>
          <w:tcPr>
            <w:tcW w:w="1220" w:type="dxa"/>
            <w:vAlign w:val="bottom"/>
          </w:tcPr>
          <w:p>
            <w:pPr>
              <w:ind w:left="140"/>
              <w:spacing w:after="0"/>
              <w:rPr>
                <w:sz w:val="20"/>
                <w:szCs w:val="20"/>
                <w:color w:val="auto"/>
              </w:rPr>
            </w:pPr>
            <w:r>
              <w:rPr>
                <w:rFonts w:ascii="Arial" w:cs="Arial" w:eastAsia="Arial" w:hAnsi="Arial"/>
                <w:sz w:val="14"/>
                <w:szCs w:val="14"/>
                <w:color w:val="auto"/>
              </w:rPr>
              <w:t>Equity</w:t>
            </w:r>
          </w:p>
        </w:tc>
        <w:tc>
          <w:tcPr>
            <w:tcW w:w="6200" w:type="dxa"/>
            <w:vAlign w:val="bottom"/>
          </w:tcPr>
          <w:p>
            <w:pPr>
              <w:ind w:left="200"/>
              <w:spacing w:after="0"/>
              <w:rPr>
                <w:sz w:val="20"/>
                <w:szCs w:val="20"/>
                <w:color w:val="auto"/>
              </w:rPr>
            </w:pPr>
            <w:r>
              <w:rPr>
                <w:rFonts w:ascii="Arial" w:cs="Arial" w:eastAsia="Arial" w:hAnsi="Arial"/>
                <w:sz w:val="14"/>
                <w:szCs w:val="14"/>
                <w:color w:val="auto"/>
              </w:rPr>
              <w:t>Provide incentives for executives to execute on longer-term financial goals that drive the</w:t>
            </w:r>
          </w:p>
        </w:tc>
      </w:tr>
      <w:tr>
        <w:trPr>
          <w:trHeight w:val="190"/>
        </w:trPr>
        <w:tc>
          <w:tcPr>
            <w:tcW w:w="1980" w:type="dxa"/>
            <w:vAlign w:val="bottom"/>
          </w:tcPr>
          <w:p>
            <w:pPr>
              <w:spacing w:after="0"/>
              <w:rPr>
                <w:sz w:val="16"/>
                <w:szCs w:val="16"/>
                <w:color w:val="auto"/>
              </w:rPr>
            </w:pPr>
          </w:p>
        </w:tc>
        <w:tc>
          <w:tcPr>
            <w:tcW w:w="1220" w:type="dxa"/>
            <w:vAlign w:val="bottom"/>
          </w:tcPr>
          <w:p>
            <w:pPr>
              <w:ind w:left="140"/>
              <w:spacing w:after="0"/>
              <w:rPr>
                <w:sz w:val="20"/>
                <w:szCs w:val="20"/>
                <w:color w:val="auto"/>
              </w:rPr>
            </w:pPr>
            <w:r>
              <w:rPr>
                <w:rFonts w:ascii="Arial" w:cs="Arial" w:eastAsia="Arial" w:hAnsi="Arial"/>
                <w:sz w:val="14"/>
                <w:szCs w:val="14"/>
                <w:color w:val="auto"/>
              </w:rPr>
              <w:t>(Variable)</w:t>
            </w:r>
          </w:p>
        </w:tc>
        <w:tc>
          <w:tcPr>
            <w:tcW w:w="6200" w:type="dxa"/>
            <w:vAlign w:val="bottom"/>
          </w:tcPr>
          <w:p>
            <w:pPr>
              <w:ind w:left="200"/>
              <w:spacing w:after="0"/>
              <w:rPr>
                <w:sz w:val="20"/>
                <w:szCs w:val="20"/>
                <w:color w:val="auto"/>
              </w:rPr>
            </w:pPr>
            <w:r>
              <w:rPr>
                <w:rFonts w:ascii="Arial" w:cs="Arial" w:eastAsia="Arial" w:hAnsi="Arial"/>
                <w:sz w:val="14"/>
                <w:szCs w:val="14"/>
                <w:color w:val="auto"/>
              </w:rPr>
              <w:t>creation of stockholder value and support the Company’s retention strategy.</w:t>
            </w:r>
          </w:p>
        </w:tc>
      </w:tr>
      <w:tr>
        <w:trPr>
          <w:trHeight w:val="76"/>
        </w:trPr>
        <w:tc>
          <w:tcPr>
            <w:tcW w:w="1980" w:type="dxa"/>
            <w:vAlign w:val="bottom"/>
            <w:tcBorders>
              <w:bottom w:val="single" w:sz="8" w:color="24356E"/>
            </w:tcBorders>
          </w:tcPr>
          <w:p>
            <w:pPr>
              <w:spacing w:after="0"/>
              <w:rPr>
                <w:sz w:val="6"/>
                <w:szCs w:val="6"/>
                <w:color w:val="auto"/>
              </w:rPr>
            </w:pPr>
          </w:p>
        </w:tc>
        <w:tc>
          <w:tcPr>
            <w:tcW w:w="1220" w:type="dxa"/>
            <w:vAlign w:val="bottom"/>
            <w:tcBorders>
              <w:bottom w:val="single" w:sz="8" w:color="24356E"/>
            </w:tcBorders>
          </w:tcPr>
          <w:p>
            <w:pPr>
              <w:spacing w:after="0"/>
              <w:rPr>
                <w:sz w:val="6"/>
                <w:szCs w:val="6"/>
                <w:color w:val="auto"/>
              </w:rPr>
            </w:pPr>
          </w:p>
        </w:tc>
        <w:tc>
          <w:tcPr>
            <w:tcW w:w="6200" w:type="dxa"/>
            <w:vAlign w:val="bottom"/>
            <w:tcBorders>
              <w:bottom w:val="single" w:sz="8" w:color="24356E"/>
            </w:tcBorders>
          </w:tcPr>
          <w:p>
            <w:pPr>
              <w:spacing w:after="0"/>
              <w:rPr>
                <w:sz w:val="6"/>
                <w:szCs w:val="6"/>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Decision-Making Process</w:t>
      </w: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u w:val="single" w:color="auto"/>
          <w:color w:val="auto"/>
        </w:rPr>
        <w:t>The Role of the Human Capital Committee</w:t>
      </w:r>
      <w:r>
        <w:rPr>
          <w:rFonts w:ascii="Arial" w:cs="Arial" w:eastAsia="Arial" w:hAnsi="Arial"/>
          <w:sz w:val="16"/>
          <w:szCs w:val="16"/>
          <w:color w:val="333333"/>
        </w:rPr>
        <w:t>. The Human Capital Committee, composed entirely of independent, non-employee</w:t>
      </w:r>
      <w:r>
        <w:rPr>
          <w:rFonts w:ascii="Arial" w:cs="Arial" w:eastAsia="Arial" w:hAnsi="Arial"/>
          <w:sz w:val="16"/>
          <w:szCs w:val="16"/>
          <w:color w:val="auto"/>
        </w:rPr>
        <w:t xml:space="preserve"> </w:t>
      </w:r>
      <w:r>
        <w:rPr>
          <w:rFonts w:ascii="Arial" w:cs="Arial" w:eastAsia="Arial" w:hAnsi="Arial"/>
          <w:sz w:val="16"/>
          <w:szCs w:val="16"/>
          <w:color w:val="333333"/>
        </w:rPr>
        <w:t>members of the Board, is responsible for overseeing the executive compensation program for our NEOs. Working closely with its independent consultant and management, the Human Capital Committee evaluates the effectiveness of the Company’s executive compensation program throughout the year.</w:t>
      </w:r>
    </w:p>
    <w:p>
      <w:pPr>
        <w:spacing w:after="0" w:line="12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33333"/>
        </w:rPr>
        <w:t>As part of its mandate, the Human Capital Committee has broad oversight of corporate compensation programs, including reviewing and approving—or making recommendations to the Board regarding—the compensation and benefits of the CEO and other executive officers. The Human Capital Committee also evaluates and approves corporate goals and objectives related to CEO compensation, provides oversight of the Company’s overall compensation plans and benefits programs, and administers the Company’s equity incentive plans. While the Human Capital Committee makes all final compensation and equity award decisions for NEOs, the compensation of the CEO is determined by the independent members of the full Board based on the Human Capital Committee’s recommendations.</w:t>
      </w:r>
    </w:p>
    <w:p>
      <w:pPr>
        <w:spacing w:after="0" w:line="12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u w:val="single" w:color="auto"/>
          <w:color w:val="auto"/>
        </w:rPr>
        <w:t>The Role of Management</w:t>
      </w:r>
      <w:r>
        <w:rPr>
          <w:rFonts w:ascii="Arial" w:cs="Arial" w:eastAsia="Arial" w:hAnsi="Arial"/>
          <w:sz w:val="16"/>
          <w:szCs w:val="16"/>
          <w:color w:val="333333"/>
        </w:rPr>
        <w:t>. Members of our senior management team attend regular Human Capital Committee meetings where</w:t>
      </w:r>
      <w:r>
        <w:rPr>
          <w:rFonts w:ascii="Arial" w:cs="Arial" w:eastAsia="Arial" w:hAnsi="Arial"/>
          <w:sz w:val="16"/>
          <w:szCs w:val="16"/>
          <w:color w:val="auto"/>
        </w:rPr>
        <w:t xml:space="preserve"> </w:t>
      </w:r>
      <w:r>
        <w:rPr>
          <w:rFonts w:ascii="Arial" w:cs="Arial" w:eastAsia="Arial" w:hAnsi="Arial"/>
          <w:sz w:val="16"/>
          <w:szCs w:val="16"/>
          <w:color w:val="333333"/>
        </w:rPr>
        <w:t>executive compensation, Company and individual performance, and competitive compensation levels and practices are discussed and evaluated. Only Human Capital Committee members can vote on decisions regarding NEO compensation.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33333"/>
        </w:rPr>
        <w:t>The CEO reviews his recommendations pertaining to the compensation of the other NEOs with the Human Capital Committee providing management input, transparency, and oversight. Approvals of NEO compensation other than CEO compensation are made by the Human Capital Committee. The CEO does not participate in the deliberations of the Human Capital Committee regarding his own compensation. Independent members of the Board make all final determinations regarding CEO compensation.</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u w:val="single" w:color="auto"/>
          <w:color w:val="auto"/>
        </w:rPr>
        <w:t>The Role of the Independent Compensation Consultant</w:t>
      </w:r>
      <w:r>
        <w:rPr>
          <w:rFonts w:ascii="Arial" w:cs="Arial" w:eastAsia="Arial" w:hAnsi="Arial"/>
          <w:sz w:val="16"/>
          <w:szCs w:val="16"/>
          <w:color w:val="auto"/>
        </w:rPr>
        <w:t xml:space="preserve"> </w:t>
      </w:r>
      <w:r>
        <w:rPr>
          <w:rFonts w:ascii="Arial" w:cs="Arial" w:eastAsia="Arial" w:hAnsi="Arial"/>
          <w:sz w:val="16"/>
          <w:szCs w:val="16"/>
          <w:color w:val="333333"/>
        </w:rPr>
        <w:t>. Pursuant to the authority granted to it under its charter, the Human Capital</w:t>
      </w:r>
      <w:r>
        <w:rPr>
          <w:rFonts w:ascii="Arial" w:cs="Arial" w:eastAsia="Arial" w:hAnsi="Arial"/>
          <w:sz w:val="16"/>
          <w:szCs w:val="16"/>
          <w:color w:val="auto"/>
        </w:rPr>
        <w:t xml:space="preserve"> </w:t>
      </w:r>
      <w:r>
        <w:rPr>
          <w:rFonts w:ascii="Arial" w:cs="Arial" w:eastAsia="Arial" w:hAnsi="Arial"/>
          <w:sz w:val="16"/>
          <w:szCs w:val="16"/>
          <w:color w:val="333333"/>
        </w:rPr>
        <w:t>Committee may engage an independent compensation consultant to provide expertise on competitive pay practices, program design, and an objective assessment of any inherent risks of any programs. For 2024, the Human Capital Committee retained Pearl Meyer as its independent consultant. Pearl Meyer reports directly to the Human Capital Committee and does not provide any additional services to management. The Human Capital Committee has conducted an independence assessment of Pearl Meyer in accordance with SEC and Nasdaq rules and concluded that Pearl Meyer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87"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0" w:name="page31"/>
    <w:bookmarkEnd w:id="30"/>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800" w:right="820"/>
        <w:spacing w:after="0" w:line="259" w:lineRule="auto"/>
        <w:rPr>
          <w:sz w:val="20"/>
          <w:szCs w:val="20"/>
          <w:color w:val="auto"/>
        </w:rPr>
      </w:pPr>
      <w:r>
        <w:rPr>
          <w:rFonts w:ascii="Arial" w:cs="Arial" w:eastAsia="Arial" w:hAnsi="Arial"/>
          <w:sz w:val="16"/>
          <w:szCs w:val="16"/>
          <w:u w:val="single" w:color="auto"/>
          <w:color w:val="333333"/>
        </w:rPr>
        <w:t>The Role of the Peer Group</w:t>
      </w:r>
      <w:r>
        <w:rPr>
          <w:rFonts w:ascii="Arial" w:cs="Arial" w:eastAsia="Arial" w:hAnsi="Arial"/>
          <w:sz w:val="16"/>
          <w:szCs w:val="16"/>
          <w:color w:val="333333"/>
        </w:rPr>
        <w:t>. The Human Capital Committee is committed to establishing competitive total compensation for each NEO, ensuring alignment with market practices and industry standards. To set 2024 target compensation levels, the Human Capital Committee, in consultation with Pearl Meyer, reviewed publicly available data from a carefully selected group of comparable companies with executives in similar roles as well as industry-specific survey data where applicable.</w:t>
      </w:r>
    </w:p>
    <w:p>
      <w:pPr>
        <w:spacing w:after="0" w:line="124" w:lineRule="exact"/>
        <w:rPr>
          <w:sz w:val="20"/>
          <w:szCs w:val="20"/>
          <w:color w:val="auto"/>
        </w:rPr>
      </w:pPr>
    </w:p>
    <w:p>
      <w:pPr>
        <w:ind w:left="800" w:right="980"/>
        <w:spacing w:after="0" w:line="256" w:lineRule="auto"/>
        <w:rPr>
          <w:sz w:val="20"/>
          <w:szCs w:val="20"/>
          <w:color w:val="auto"/>
        </w:rPr>
      </w:pPr>
      <w:r>
        <w:rPr>
          <w:rFonts w:ascii="Arial" w:cs="Arial" w:eastAsia="Arial" w:hAnsi="Arial"/>
          <w:sz w:val="16"/>
          <w:szCs w:val="16"/>
          <w:color w:val="333333"/>
        </w:rPr>
        <w:t>For the purposes of setting 2024 compensation and considering the completed merger with SomaLogic in early 2024, the Human Capital Committee conducted an in-depth assessment of potential comparators to evaluate the degree to which the current peer group has kept pace with our growth and evolution. The Human Capital Committee also took into consideration the broader marketplace to identify appropriate and relevant additions and removals from the current peer group, based on the following criteria:</w:t>
      </w:r>
    </w:p>
    <w:p>
      <w:pPr>
        <w:spacing w:after="0" w:line="139" w:lineRule="exact"/>
        <w:rPr>
          <w:sz w:val="20"/>
          <w:szCs w:val="20"/>
          <w:color w:val="auto"/>
        </w:rPr>
      </w:pPr>
    </w:p>
    <w:p>
      <w:pPr>
        <w:ind w:left="1520" w:right="1220" w:hanging="354"/>
        <w:spacing w:after="0" w:line="286" w:lineRule="auto"/>
        <w:tabs>
          <w:tab w:leader="none" w:pos="1520" w:val="left"/>
        </w:tabs>
        <w:numPr>
          <w:ilvl w:val="0"/>
          <w:numId w:val="27"/>
        </w:numPr>
        <w:rPr>
          <w:rFonts w:ascii="Arial" w:cs="Arial" w:eastAsia="Arial" w:hAnsi="Arial"/>
          <w:sz w:val="16"/>
          <w:szCs w:val="16"/>
          <w:color w:val="333333"/>
        </w:rPr>
      </w:pPr>
      <w:r>
        <w:rPr>
          <w:rFonts w:ascii="Arial" w:cs="Arial" w:eastAsia="Arial" w:hAnsi="Arial"/>
          <w:sz w:val="16"/>
          <w:szCs w:val="16"/>
          <w:color w:val="333333"/>
        </w:rPr>
        <w:t>Publicly traded companies listed on a major U.S. exchange within relevant industries, including Life Science Tools &amp; Services, Diagnostics, Medical Devices, and certain Biotechnology and Healthcare sectors.</w:t>
      </w:r>
    </w:p>
    <w:p>
      <w:pPr>
        <w:spacing w:after="0" w:line="7" w:lineRule="exact"/>
        <w:rPr>
          <w:rFonts w:ascii="Arial" w:cs="Arial" w:eastAsia="Arial" w:hAnsi="Arial"/>
          <w:sz w:val="16"/>
          <w:szCs w:val="16"/>
          <w:color w:val="333333"/>
        </w:rPr>
      </w:pPr>
    </w:p>
    <w:p>
      <w:pPr>
        <w:ind w:left="1520" w:right="1120" w:hanging="354"/>
        <w:spacing w:after="0" w:line="286" w:lineRule="auto"/>
        <w:tabs>
          <w:tab w:leader="none" w:pos="1520" w:val="left"/>
        </w:tabs>
        <w:numPr>
          <w:ilvl w:val="0"/>
          <w:numId w:val="27"/>
        </w:numPr>
        <w:rPr>
          <w:rFonts w:ascii="Arial" w:cs="Arial" w:eastAsia="Arial" w:hAnsi="Arial"/>
          <w:sz w:val="16"/>
          <w:szCs w:val="16"/>
          <w:color w:val="333333"/>
        </w:rPr>
      </w:pPr>
      <w:r>
        <w:rPr>
          <w:rFonts w:ascii="Arial" w:cs="Arial" w:eastAsia="Arial" w:hAnsi="Arial"/>
          <w:sz w:val="16"/>
          <w:szCs w:val="16"/>
          <w:color w:val="333333"/>
        </w:rPr>
        <w:t>Companies with revenues generally 0.5x to 2x the Company’s revenue, and market capitalizations generally between ~0.33x and 3x the Company’s market cap.</w:t>
      </w:r>
    </w:p>
    <w:p>
      <w:pPr>
        <w:spacing w:after="0" w:line="20" w:lineRule="exact"/>
        <w:rPr>
          <w:rFonts w:ascii="Arial" w:cs="Arial" w:eastAsia="Arial" w:hAnsi="Arial"/>
          <w:sz w:val="16"/>
          <w:szCs w:val="16"/>
          <w:color w:val="333333"/>
        </w:rPr>
      </w:pPr>
    </w:p>
    <w:p>
      <w:pPr>
        <w:ind w:left="1520" w:hanging="354"/>
        <w:spacing w:after="0"/>
        <w:tabs>
          <w:tab w:leader="none" w:pos="1520" w:val="left"/>
        </w:tabs>
        <w:numPr>
          <w:ilvl w:val="0"/>
          <w:numId w:val="27"/>
        </w:numPr>
        <w:rPr>
          <w:rFonts w:ascii="Arial" w:cs="Arial" w:eastAsia="Arial" w:hAnsi="Arial"/>
          <w:sz w:val="16"/>
          <w:szCs w:val="16"/>
          <w:color w:val="333333"/>
        </w:rPr>
      </w:pPr>
      <w:r>
        <w:rPr>
          <w:rFonts w:ascii="Arial" w:cs="Arial" w:eastAsia="Arial" w:hAnsi="Arial"/>
          <w:sz w:val="16"/>
          <w:szCs w:val="16"/>
          <w:color w:val="333333"/>
        </w:rPr>
        <w:t>Companies with workforce sizes generally between 0.5x and 2x the Company’s headcount.</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6"/>
          <w:szCs w:val="16"/>
          <w:color w:val="333333"/>
        </w:rPr>
        <w:t>As a result of this review, and given the increases in the Company’s revenue, valuation and workforce size after the merger with</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color w:val="333333"/>
        </w:rPr>
        <w:t>SomaLogic, the following changes were made to the peer group for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800" w:type="dxa"/>
            <w:vAlign w:val="bottom"/>
          </w:tcPr>
          <w:p>
            <w:pPr>
              <w:spacing w:after="0"/>
              <w:rPr>
                <w:sz w:val="24"/>
                <w:szCs w:val="24"/>
                <w:color w:val="auto"/>
              </w:rPr>
            </w:pPr>
          </w:p>
        </w:tc>
        <w:tc>
          <w:tcPr>
            <w:tcW w:w="4400" w:type="dxa"/>
            <w:vAlign w:val="bottom"/>
            <w:shd w:val="clear" w:color="auto" w:fill="24356E"/>
          </w:tcPr>
          <w:p>
            <w:pPr>
              <w:ind w:left="280"/>
              <w:spacing w:after="0"/>
              <w:rPr>
                <w:sz w:val="20"/>
                <w:szCs w:val="20"/>
                <w:color w:val="auto"/>
              </w:rPr>
            </w:pPr>
            <w:r>
              <w:rPr>
                <w:rFonts w:ascii="Arial" w:cs="Arial" w:eastAsia="Arial" w:hAnsi="Arial"/>
                <w:sz w:val="14"/>
                <w:szCs w:val="14"/>
                <w:b w:val="1"/>
                <w:bCs w:val="1"/>
                <w:color w:val="FFFFFF"/>
              </w:rPr>
              <w:t>Additions</w:t>
            </w:r>
          </w:p>
        </w:tc>
        <w:tc>
          <w:tcPr>
            <w:tcW w:w="5000" w:type="dxa"/>
            <w:vAlign w:val="bottom"/>
            <w:gridSpan w:val="2"/>
            <w:shd w:val="clear" w:color="auto" w:fill="24356E"/>
          </w:tcPr>
          <w:p>
            <w:pPr>
              <w:ind w:left="20"/>
              <w:spacing w:after="0"/>
              <w:rPr>
                <w:sz w:val="20"/>
                <w:szCs w:val="20"/>
                <w:color w:val="auto"/>
              </w:rPr>
            </w:pPr>
            <w:r>
              <w:rPr>
                <w:rFonts w:ascii="Arial" w:cs="Arial" w:eastAsia="Arial" w:hAnsi="Arial"/>
                <w:sz w:val="14"/>
                <w:szCs w:val="14"/>
                <w:b w:val="1"/>
                <w:bCs w:val="1"/>
                <w:color w:val="FFFFFF"/>
              </w:rPr>
              <w:t>Removals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800" w:type="dxa"/>
            <w:vAlign w:val="bottom"/>
          </w:tcPr>
          <w:p>
            <w:pPr>
              <w:spacing w:after="0"/>
              <w:rPr>
                <w:sz w:val="7"/>
                <w:szCs w:val="7"/>
                <w:color w:val="auto"/>
              </w:rPr>
            </w:pPr>
          </w:p>
        </w:tc>
        <w:tc>
          <w:tcPr>
            <w:tcW w:w="4400" w:type="dxa"/>
            <w:vAlign w:val="bottom"/>
            <w:shd w:val="clear" w:color="auto" w:fill="24356E"/>
          </w:tcPr>
          <w:p>
            <w:pPr>
              <w:spacing w:after="0"/>
              <w:rPr>
                <w:sz w:val="7"/>
                <w:szCs w:val="7"/>
                <w:color w:val="auto"/>
              </w:rPr>
            </w:pPr>
          </w:p>
        </w:tc>
        <w:tc>
          <w:tcPr>
            <w:tcW w:w="500" w:type="dxa"/>
            <w:vAlign w:val="bottom"/>
            <w:shd w:val="clear" w:color="auto" w:fill="24356E"/>
          </w:tcPr>
          <w:p>
            <w:pPr>
              <w:spacing w:after="0"/>
              <w:rPr>
                <w:sz w:val="7"/>
                <w:szCs w:val="7"/>
                <w:color w:val="auto"/>
              </w:rPr>
            </w:pPr>
          </w:p>
        </w:tc>
        <w:tc>
          <w:tcPr>
            <w:tcW w:w="4500" w:type="dxa"/>
            <w:vAlign w:val="bottom"/>
            <w:shd w:val="clear" w:color="auto" w:fill="24356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3"/>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10x Genomics, Inc.</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908 Devices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Adaptive Biotechnologies Corporation</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Akoya Biosciences,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Atrion Corporation</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Anika Therapeutics,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Azenta, Inc.</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Codexis,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CareDx, Inc.</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Cutera,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Castle Biosciences, Inc.</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Enzo Biochem,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Cryoport, Inc.</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Harvard Bioscience,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Guardant Health, Inc.</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NanoString Technologies,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Maravai LifeSciences Holdings. Inc.</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OmniAb,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NeoGenomics, Inc.</w:t>
            </w:r>
          </w:p>
        </w:tc>
        <w:tc>
          <w:tcPr>
            <w:tcW w:w="50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4500" w:type="dxa"/>
            <w:vAlign w:val="bottom"/>
          </w:tcPr>
          <w:p>
            <w:pPr>
              <w:ind w:left="160"/>
              <w:spacing w:after="0"/>
              <w:rPr>
                <w:sz w:val="20"/>
                <w:szCs w:val="20"/>
                <w:color w:val="auto"/>
              </w:rPr>
            </w:pPr>
            <w:r>
              <w:rPr>
                <w:rFonts w:ascii="Arial" w:cs="Arial" w:eastAsia="Arial" w:hAnsi="Arial"/>
                <w:sz w:val="14"/>
                <w:szCs w:val="14"/>
                <w:color w:val="auto"/>
              </w:rPr>
              <w:t>Personalis, Inc.</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666666"/>
            </w:tcBorders>
          </w:tcPr>
          <w:p>
            <w:pPr>
              <w:spacing w:after="0"/>
              <w:rPr>
                <w:sz w:val="7"/>
                <w:szCs w:val="7"/>
                <w:color w:val="auto"/>
              </w:rPr>
            </w:pPr>
          </w:p>
        </w:tc>
        <w:tc>
          <w:tcPr>
            <w:tcW w:w="5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Twist Bioscience Corporation</w:t>
            </w:r>
          </w:p>
        </w:tc>
        <w:tc>
          <w:tcPr>
            <w:tcW w:w="5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800" w:type="dxa"/>
            <w:vAlign w:val="bottom"/>
          </w:tcPr>
          <w:p>
            <w:pPr>
              <w:spacing w:after="0"/>
              <w:rPr>
                <w:sz w:val="8"/>
                <w:szCs w:val="8"/>
                <w:color w:val="auto"/>
              </w:rPr>
            </w:pPr>
          </w:p>
        </w:tc>
        <w:tc>
          <w:tcPr>
            <w:tcW w:w="4400" w:type="dxa"/>
            <w:vAlign w:val="bottom"/>
            <w:tcBorders>
              <w:bottom w:val="single" w:sz="8" w:color="666666"/>
            </w:tcBorders>
          </w:tcPr>
          <w:p>
            <w:pPr>
              <w:spacing w:after="0"/>
              <w:rPr>
                <w:sz w:val="8"/>
                <w:szCs w:val="8"/>
                <w:color w:val="auto"/>
              </w:rPr>
            </w:pPr>
          </w:p>
        </w:tc>
        <w:tc>
          <w:tcPr>
            <w:tcW w:w="500" w:type="dxa"/>
            <w:vAlign w:val="bottom"/>
            <w:tcBorders>
              <w:bottom w:val="single" w:sz="8" w:color="666666"/>
            </w:tcBorders>
          </w:tcPr>
          <w:p>
            <w:pPr>
              <w:spacing w:after="0"/>
              <w:rPr>
                <w:sz w:val="8"/>
                <w:szCs w:val="8"/>
                <w:color w:val="auto"/>
              </w:rPr>
            </w:pPr>
          </w:p>
        </w:tc>
        <w:tc>
          <w:tcPr>
            <w:tcW w:w="4500" w:type="dxa"/>
            <w:vAlign w:val="bottom"/>
            <w:tcBorders>
              <w:bottom w:val="single" w:sz="8" w:color="666666"/>
            </w:tcBorders>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800" w:type="dxa"/>
            <w:vAlign w:val="bottom"/>
          </w:tcPr>
          <w:p>
            <w:pPr>
              <w:spacing w:after="0"/>
              <w:rPr>
                <w:sz w:val="24"/>
                <w:szCs w:val="24"/>
                <w:color w:val="auto"/>
              </w:rPr>
            </w:pPr>
          </w:p>
        </w:tc>
        <w:tc>
          <w:tcPr>
            <w:tcW w:w="4400" w:type="dxa"/>
            <w:vAlign w:val="bottom"/>
          </w:tcPr>
          <w:p>
            <w:pPr>
              <w:ind w:left="780"/>
              <w:spacing w:after="0"/>
              <w:rPr>
                <w:sz w:val="20"/>
                <w:szCs w:val="20"/>
                <w:color w:val="auto"/>
              </w:rPr>
            </w:pPr>
            <w:r>
              <w:rPr>
                <w:rFonts w:ascii="Arial" w:cs="Arial" w:eastAsia="Arial" w:hAnsi="Arial"/>
                <w:sz w:val="14"/>
                <w:szCs w:val="14"/>
                <w:color w:val="auto"/>
              </w:rPr>
              <w:t>Veracyte, Inc.</w:t>
            </w:r>
          </w:p>
        </w:tc>
        <w:tc>
          <w:tcPr>
            <w:tcW w:w="5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800" w:type="dxa"/>
            <w:vAlign w:val="bottom"/>
          </w:tcPr>
          <w:p>
            <w:pPr>
              <w:spacing w:after="0"/>
              <w:rPr>
                <w:sz w:val="7"/>
                <w:szCs w:val="7"/>
                <w:color w:val="auto"/>
              </w:rPr>
            </w:pPr>
          </w:p>
        </w:tc>
        <w:tc>
          <w:tcPr>
            <w:tcW w:w="4400" w:type="dxa"/>
            <w:vAlign w:val="bottom"/>
            <w:tcBorders>
              <w:bottom w:val="single" w:sz="8" w:color="24356E"/>
            </w:tcBorders>
          </w:tcPr>
          <w:p>
            <w:pPr>
              <w:spacing w:after="0"/>
              <w:rPr>
                <w:sz w:val="7"/>
                <w:szCs w:val="7"/>
                <w:color w:val="auto"/>
              </w:rPr>
            </w:pPr>
          </w:p>
        </w:tc>
        <w:tc>
          <w:tcPr>
            <w:tcW w:w="500" w:type="dxa"/>
            <w:vAlign w:val="bottom"/>
            <w:tcBorders>
              <w:bottom w:val="single" w:sz="8" w:color="24356E"/>
            </w:tcBorders>
          </w:tcPr>
          <w:p>
            <w:pPr>
              <w:spacing w:after="0"/>
              <w:rPr>
                <w:sz w:val="7"/>
                <w:szCs w:val="7"/>
                <w:color w:val="auto"/>
              </w:rPr>
            </w:pPr>
          </w:p>
        </w:tc>
        <w:tc>
          <w:tcPr>
            <w:tcW w:w="4500" w:type="dxa"/>
            <w:vAlign w:val="bottom"/>
            <w:tcBorders>
              <w:bottom w:val="single" w:sz="8" w:color="24356E"/>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400" w:type="dxa"/>
            <w:vAlign w:val="bottom"/>
            <w:tcBorders>
              <w:bottom w:val="single" w:sz="8" w:color="24356E"/>
            </w:tcBorders>
          </w:tcPr>
          <w:p>
            <w:pPr>
              <w:spacing w:after="0"/>
              <w:rPr>
                <w:sz w:val="18"/>
                <w:szCs w:val="18"/>
                <w:color w:val="auto"/>
              </w:rPr>
            </w:pPr>
          </w:p>
        </w:tc>
        <w:tc>
          <w:tcPr>
            <w:tcW w:w="500" w:type="dxa"/>
            <w:vAlign w:val="bottom"/>
            <w:tcBorders>
              <w:bottom w:val="single" w:sz="8" w:color="24356E"/>
            </w:tcBorders>
          </w:tcPr>
          <w:p>
            <w:pPr>
              <w:spacing w:after="0"/>
              <w:rPr>
                <w:sz w:val="18"/>
                <w:szCs w:val="18"/>
                <w:color w:val="auto"/>
              </w:rPr>
            </w:pPr>
          </w:p>
        </w:tc>
        <w:tc>
          <w:tcPr>
            <w:tcW w:w="4500" w:type="dxa"/>
            <w:vAlign w:val="bottom"/>
            <w:tcBorders>
              <w:bottom w:val="single" w:sz="8" w:color="24356E"/>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00" w:type="dxa"/>
            <w:vAlign w:val="bottom"/>
          </w:tcPr>
          <w:p>
            <w:pPr>
              <w:spacing w:after="0"/>
              <w:rPr>
                <w:sz w:val="24"/>
                <w:szCs w:val="24"/>
                <w:color w:val="auto"/>
              </w:rPr>
            </w:pPr>
          </w:p>
        </w:tc>
        <w:tc>
          <w:tcPr>
            <w:tcW w:w="4400" w:type="dxa"/>
            <w:vAlign w:val="bottom"/>
          </w:tcPr>
          <w:p>
            <w:pPr>
              <w:ind w:left="3020"/>
              <w:spacing w:after="0"/>
              <w:rPr>
                <w:sz w:val="20"/>
                <w:szCs w:val="20"/>
                <w:color w:val="auto"/>
              </w:rPr>
            </w:pPr>
            <w:r>
              <w:rPr>
                <w:rFonts w:ascii="Arial" w:cs="Arial" w:eastAsia="Arial" w:hAnsi="Arial"/>
                <w:sz w:val="13"/>
                <w:szCs w:val="13"/>
                <w:b w:val="1"/>
                <w:bCs w:val="1"/>
                <w:color w:val="auto"/>
                <w:w w:val="96"/>
              </w:rPr>
              <w:t>Standard BioTools Inc.</w:t>
            </w:r>
          </w:p>
        </w:tc>
        <w:tc>
          <w:tcPr>
            <w:tcW w:w="500" w:type="dxa"/>
            <w:vAlign w:val="bottom"/>
          </w:tcPr>
          <w:p>
            <w:pPr>
              <w:ind w:left="240"/>
              <w:spacing w:after="0"/>
              <w:rPr>
                <w:sz w:val="20"/>
                <w:szCs w:val="20"/>
                <w:color w:val="auto"/>
              </w:rPr>
            </w:pPr>
            <w:r>
              <w:rPr>
                <w:rFonts w:ascii="Arial" w:cs="Arial" w:eastAsia="Arial" w:hAnsi="Arial"/>
                <w:sz w:val="13"/>
                <w:szCs w:val="13"/>
                <w:b w:val="1"/>
                <w:bCs w:val="1"/>
                <w:color w:val="auto"/>
              </w:rPr>
              <w:t>24</w:t>
            </w:r>
          </w:p>
        </w:tc>
        <w:tc>
          <w:tcPr>
            <w:tcW w:w="4500" w:type="dxa"/>
            <w:vAlign w:val="bottom"/>
          </w:tcPr>
          <w:p>
            <w:pPr>
              <w:ind w:left="120"/>
              <w:spacing w:after="0"/>
              <w:rPr>
                <w:sz w:val="20"/>
                <w:szCs w:val="20"/>
                <w:color w:val="auto"/>
              </w:rPr>
            </w:pPr>
            <w:r>
              <w:rPr>
                <w:rFonts w:ascii="Arial" w:cs="Arial" w:eastAsia="Arial" w:hAnsi="Arial"/>
                <w:sz w:val="13"/>
                <w:szCs w:val="13"/>
                <w:color w:val="auto"/>
              </w:rPr>
              <w:t>2025 Proxy Statement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-4225925</wp:posOffset>
            </wp:positionV>
            <wp:extent cx="111760" cy="11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-4225925</wp:posOffset>
            </wp:positionV>
            <wp:extent cx="16256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-3900170</wp:posOffset>
            </wp:positionV>
            <wp:extent cx="111760"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-3900170</wp:posOffset>
            </wp:positionV>
            <wp:extent cx="16256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-3574415</wp:posOffset>
            </wp:positionV>
            <wp:extent cx="111760" cy="1111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-3574415</wp:posOffset>
            </wp:positionV>
            <wp:extent cx="16256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-3248660</wp:posOffset>
            </wp:positionV>
            <wp:extent cx="111760" cy="111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-3248660</wp:posOffset>
            </wp:positionV>
            <wp:extent cx="16256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-2922905</wp:posOffset>
            </wp:positionV>
            <wp:extent cx="111760" cy="111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-2922905</wp:posOffset>
            </wp:positionV>
            <wp:extent cx="16256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-2597150</wp:posOffset>
            </wp:positionV>
            <wp:extent cx="111760"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-2597150</wp:posOffset>
            </wp:positionV>
            <wp:extent cx="16256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-2271395</wp:posOffset>
            </wp:positionV>
            <wp:extent cx="111760" cy="111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-2271395</wp:posOffset>
            </wp:positionV>
            <wp:extent cx="16256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-1945640</wp:posOffset>
            </wp:positionV>
            <wp:extent cx="111760" cy="111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-1945640</wp:posOffset>
            </wp:positionV>
            <wp:extent cx="16256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-1619885</wp:posOffset>
            </wp:positionV>
            <wp:extent cx="111760" cy="1111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-1619885</wp:posOffset>
            </wp:positionV>
            <wp:extent cx="16256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-1294130</wp:posOffset>
            </wp:positionV>
            <wp:extent cx="111760" cy="111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-1294130</wp:posOffset>
            </wp:positionV>
            <wp:extent cx="16256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-968375</wp:posOffset>
            </wp:positionV>
            <wp:extent cx="111760" cy="1111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-711200</wp:posOffset>
            </wp:positionV>
            <wp:extent cx="111760" cy="1111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11112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333333"/>
        </w:rPr>
        <w:t>With these changes, the peer group for the purposes of setting 2024 executive compensation levels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59664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ind w:left="280"/>
              <w:spacing w:after="0"/>
              <w:rPr>
                <w:sz w:val="20"/>
                <w:szCs w:val="20"/>
                <w:color w:val="auto"/>
              </w:rPr>
            </w:pPr>
            <w:r>
              <w:rPr>
                <w:rFonts w:ascii="Arial" w:cs="Arial" w:eastAsia="Arial" w:hAnsi="Arial"/>
                <w:sz w:val="14"/>
                <w:szCs w:val="14"/>
                <w:color w:val="auto"/>
              </w:rPr>
              <w:t>10x Genomics, Inc.</w:t>
            </w:r>
          </w:p>
        </w:tc>
        <w:tc>
          <w:tcPr>
            <w:tcW w:w="1860" w:type="dxa"/>
            <w:vAlign w:val="bottom"/>
          </w:tcPr>
          <w:p>
            <w:pPr>
              <w:ind w:left="120"/>
              <w:spacing w:after="0"/>
              <w:rPr>
                <w:sz w:val="20"/>
                <w:szCs w:val="20"/>
                <w:color w:val="auto"/>
              </w:rPr>
            </w:pPr>
            <w:r>
              <w:rPr>
                <w:rFonts w:ascii="Arial" w:cs="Arial" w:eastAsia="Arial" w:hAnsi="Arial"/>
                <w:sz w:val="14"/>
                <w:szCs w:val="14"/>
                <w:color w:val="auto"/>
              </w:rPr>
              <w:t>CareDx, Inc</w:t>
            </w:r>
          </w:p>
        </w:tc>
        <w:tc>
          <w:tcPr>
            <w:tcW w:w="2680" w:type="dxa"/>
            <w:vAlign w:val="bottom"/>
          </w:tcPr>
          <w:p>
            <w:pPr>
              <w:ind w:left="200"/>
              <w:spacing w:after="0"/>
              <w:rPr>
                <w:sz w:val="20"/>
                <w:szCs w:val="20"/>
                <w:color w:val="auto"/>
              </w:rPr>
            </w:pPr>
            <w:r>
              <w:rPr>
                <w:rFonts w:ascii="Arial" w:cs="Arial" w:eastAsia="Arial" w:hAnsi="Arial"/>
                <w:sz w:val="14"/>
                <w:szCs w:val="14"/>
                <w:color w:val="auto"/>
              </w:rPr>
              <w:t>Maravai LifeSciences Holdings, Inc.</w:t>
            </w:r>
          </w:p>
        </w:tc>
        <w:tc>
          <w:tcPr>
            <w:tcW w:w="2080" w:type="dxa"/>
            <w:vAlign w:val="bottom"/>
          </w:tcPr>
          <w:p>
            <w:pPr>
              <w:ind w:left="120"/>
              <w:spacing w:after="0"/>
              <w:rPr>
                <w:sz w:val="20"/>
                <w:szCs w:val="20"/>
                <w:color w:val="auto"/>
              </w:rPr>
            </w:pPr>
            <w:r>
              <w:rPr>
                <w:rFonts w:ascii="Arial" w:cs="Arial" w:eastAsia="Arial" w:hAnsi="Arial"/>
                <w:sz w:val="14"/>
                <w:szCs w:val="14"/>
                <w:color w:val="auto"/>
              </w:rPr>
              <w:t>Quanterix Corporation</w:t>
            </w:r>
          </w:p>
        </w:tc>
      </w:tr>
      <w:tr>
        <w:trPr>
          <w:trHeight w:val="89"/>
        </w:trPr>
        <w:tc>
          <w:tcPr>
            <w:tcW w:w="2780" w:type="dxa"/>
            <w:vAlign w:val="bottom"/>
            <w:tcBorders>
              <w:bottom w:val="single" w:sz="8" w:color="666666"/>
            </w:tcBorders>
          </w:tcPr>
          <w:p>
            <w:pPr>
              <w:spacing w:after="0"/>
              <w:rPr>
                <w:sz w:val="7"/>
                <w:szCs w:val="7"/>
                <w:color w:val="auto"/>
              </w:rPr>
            </w:pPr>
          </w:p>
        </w:tc>
        <w:tc>
          <w:tcPr>
            <w:tcW w:w="1860" w:type="dxa"/>
            <w:vAlign w:val="bottom"/>
            <w:tcBorders>
              <w:bottom w:val="single" w:sz="8" w:color="666666"/>
            </w:tcBorders>
          </w:tcPr>
          <w:p>
            <w:pPr>
              <w:spacing w:after="0"/>
              <w:rPr>
                <w:sz w:val="7"/>
                <w:szCs w:val="7"/>
                <w:color w:val="auto"/>
              </w:rPr>
            </w:pPr>
          </w:p>
        </w:tc>
        <w:tc>
          <w:tcPr>
            <w:tcW w:w="2680" w:type="dxa"/>
            <w:vAlign w:val="bottom"/>
            <w:tcBorders>
              <w:bottom w:val="single" w:sz="8" w:color="666666"/>
            </w:tcBorders>
          </w:tcPr>
          <w:p>
            <w:pPr>
              <w:spacing w:after="0"/>
              <w:rPr>
                <w:sz w:val="7"/>
                <w:szCs w:val="7"/>
                <w:color w:val="auto"/>
              </w:rPr>
            </w:pPr>
          </w:p>
        </w:tc>
        <w:tc>
          <w:tcPr>
            <w:tcW w:w="2080" w:type="dxa"/>
            <w:vAlign w:val="bottom"/>
            <w:tcBorders>
              <w:bottom w:val="single" w:sz="8" w:color="666666"/>
            </w:tcBorders>
          </w:tcPr>
          <w:p>
            <w:pPr>
              <w:spacing w:after="0"/>
              <w:rPr>
                <w:sz w:val="7"/>
                <w:szCs w:val="7"/>
                <w:color w:val="auto"/>
              </w:rPr>
            </w:pPr>
          </w:p>
        </w:tc>
      </w:tr>
      <w:tr>
        <w:trPr>
          <w:trHeight w:val="283"/>
        </w:trPr>
        <w:tc>
          <w:tcPr>
            <w:tcW w:w="2780" w:type="dxa"/>
            <w:vAlign w:val="bottom"/>
          </w:tcPr>
          <w:p>
            <w:pPr>
              <w:ind w:left="280"/>
              <w:spacing w:after="0"/>
              <w:rPr>
                <w:sz w:val="20"/>
                <w:szCs w:val="20"/>
                <w:color w:val="auto"/>
              </w:rPr>
            </w:pPr>
            <w:r>
              <w:rPr>
                <w:rFonts w:ascii="Arial" w:cs="Arial" w:eastAsia="Arial" w:hAnsi="Arial"/>
                <w:sz w:val="14"/>
                <w:szCs w:val="14"/>
                <w:color w:val="auto"/>
              </w:rPr>
              <w:t>Adaptive Biotechnologies Corporation</w:t>
            </w:r>
          </w:p>
        </w:tc>
        <w:tc>
          <w:tcPr>
            <w:tcW w:w="1860" w:type="dxa"/>
            <w:vAlign w:val="bottom"/>
          </w:tcPr>
          <w:p>
            <w:pPr>
              <w:ind w:left="120"/>
              <w:spacing w:after="0"/>
              <w:rPr>
                <w:sz w:val="20"/>
                <w:szCs w:val="20"/>
                <w:color w:val="auto"/>
              </w:rPr>
            </w:pPr>
            <w:r>
              <w:rPr>
                <w:rFonts w:ascii="Arial" w:cs="Arial" w:eastAsia="Arial" w:hAnsi="Arial"/>
                <w:sz w:val="14"/>
                <w:szCs w:val="14"/>
                <w:color w:val="auto"/>
              </w:rPr>
              <w:t>Castle Biosciences, Inc.</w:t>
            </w:r>
          </w:p>
        </w:tc>
        <w:tc>
          <w:tcPr>
            <w:tcW w:w="2680" w:type="dxa"/>
            <w:vAlign w:val="bottom"/>
          </w:tcPr>
          <w:p>
            <w:pPr>
              <w:ind w:left="200"/>
              <w:spacing w:after="0"/>
              <w:rPr>
                <w:sz w:val="20"/>
                <w:szCs w:val="20"/>
                <w:color w:val="auto"/>
              </w:rPr>
            </w:pPr>
            <w:r>
              <w:rPr>
                <w:rFonts w:ascii="Arial" w:cs="Arial" w:eastAsia="Arial" w:hAnsi="Arial"/>
                <w:sz w:val="14"/>
                <w:szCs w:val="14"/>
                <w:color w:val="auto"/>
              </w:rPr>
              <w:t>Mesa Laboratories, Inc.</w:t>
            </w:r>
          </w:p>
        </w:tc>
        <w:tc>
          <w:tcPr>
            <w:tcW w:w="2080" w:type="dxa"/>
            <w:vAlign w:val="bottom"/>
          </w:tcPr>
          <w:p>
            <w:pPr>
              <w:ind w:left="120"/>
              <w:spacing w:after="0"/>
              <w:rPr>
                <w:sz w:val="20"/>
                <w:szCs w:val="20"/>
                <w:color w:val="auto"/>
              </w:rPr>
            </w:pPr>
            <w:r>
              <w:rPr>
                <w:rFonts w:ascii="Arial" w:cs="Arial" w:eastAsia="Arial" w:hAnsi="Arial"/>
                <w:sz w:val="14"/>
                <w:szCs w:val="14"/>
                <w:color w:val="auto"/>
              </w:rPr>
              <w:t>Surmodics, Inc.</w:t>
            </w:r>
          </w:p>
        </w:tc>
      </w:tr>
      <w:tr>
        <w:trPr>
          <w:trHeight w:val="89"/>
        </w:trPr>
        <w:tc>
          <w:tcPr>
            <w:tcW w:w="2780" w:type="dxa"/>
            <w:vAlign w:val="bottom"/>
            <w:tcBorders>
              <w:bottom w:val="single" w:sz="8" w:color="666666"/>
            </w:tcBorders>
          </w:tcPr>
          <w:p>
            <w:pPr>
              <w:spacing w:after="0"/>
              <w:rPr>
                <w:sz w:val="7"/>
                <w:szCs w:val="7"/>
                <w:color w:val="auto"/>
              </w:rPr>
            </w:pPr>
          </w:p>
        </w:tc>
        <w:tc>
          <w:tcPr>
            <w:tcW w:w="1860" w:type="dxa"/>
            <w:vAlign w:val="bottom"/>
            <w:tcBorders>
              <w:bottom w:val="single" w:sz="8" w:color="666666"/>
            </w:tcBorders>
          </w:tcPr>
          <w:p>
            <w:pPr>
              <w:spacing w:after="0"/>
              <w:rPr>
                <w:sz w:val="7"/>
                <w:szCs w:val="7"/>
                <w:color w:val="auto"/>
              </w:rPr>
            </w:pPr>
          </w:p>
        </w:tc>
        <w:tc>
          <w:tcPr>
            <w:tcW w:w="2680" w:type="dxa"/>
            <w:vAlign w:val="bottom"/>
            <w:tcBorders>
              <w:bottom w:val="single" w:sz="8" w:color="666666"/>
            </w:tcBorders>
          </w:tcPr>
          <w:p>
            <w:pPr>
              <w:spacing w:after="0"/>
              <w:rPr>
                <w:sz w:val="7"/>
                <w:szCs w:val="7"/>
                <w:color w:val="auto"/>
              </w:rPr>
            </w:pPr>
          </w:p>
        </w:tc>
        <w:tc>
          <w:tcPr>
            <w:tcW w:w="2080" w:type="dxa"/>
            <w:vAlign w:val="bottom"/>
            <w:tcBorders>
              <w:bottom w:val="single" w:sz="8" w:color="666666"/>
            </w:tcBorders>
          </w:tcPr>
          <w:p>
            <w:pPr>
              <w:spacing w:after="0"/>
              <w:rPr>
                <w:sz w:val="7"/>
                <w:szCs w:val="7"/>
                <w:color w:val="auto"/>
              </w:rPr>
            </w:pPr>
          </w:p>
        </w:tc>
      </w:tr>
      <w:tr>
        <w:trPr>
          <w:trHeight w:val="283"/>
        </w:trPr>
        <w:tc>
          <w:tcPr>
            <w:tcW w:w="2780" w:type="dxa"/>
            <w:vAlign w:val="bottom"/>
          </w:tcPr>
          <w:p>
            <w:pPr>
              <w:ind w:left="280"/>
              <w:spacing w:after="0"/>
              <w:rPr>
                <w:sz w:val="20"/>
                <w:szCs w:val="20"/>
                <w:color w:val="auto"/>
              </w:rPr>
            </w:pPr>
            <w:r>
              <w:rPr>
                <w:rFonts w:ascii="Arial" w:cs="Arial" w:eastAsia="Arial" w:hAnsi="Arial"/>
                <w:sz w:val="14"/>
                <w:szCs w:val="14"/>
                <w:color w:val="auto"/>
              </w:rPr>
              <w:t>Atrion Corporation</w:t>
            </w:r>
          </w:p>
        </w:tc>
        <w:tc>
          <w:tcPr>
            <w:tcW w:w="1860" w:type="dxa"/>
            <w:vAlign w:val="bottom"/>
          </w:tcPr>
          <w:p>
            <w:pPr>
              <w:ind w:left="120"/>
              <w:spacing w:after="0"/>
              <w:rPr>
                <w:sz w:val="20"/>
                <w:szCs w:val="20"/>
                <w:color w:val="auto"/>
              </w:rPr>
            </w:pPr>
            <w:r>
              <w:rPr>
                <w:rFonts w:ascii="Arial" w:cs="Arial" w:eastAsia="Arial" w:hAnsi="Arial"/>
                <w:sz w:val="14"/>
                <w:szCs w:val="14"/>
                <w:color w:val="auto"/>
              </w:rPr>
              <w:t>Cryoport, Inc.</w:t>
            </w:r>
          </w:p>
        </w:tc>
        <w:tc>
          <w:tcPr>
            <w:tcW w:w="2680" w:type="dxa"/>
            <w:vAlign w:val="bottom"/>
          </w:tcPr>
          <w:p>
            <w:pPr>
              <w:ind w:left="200"/>
              <w:spacing w:after="0"/>
              <w:rPr>
                <w:sz w:val="20"/>
                <w:szCs w:val="20"/>
                <w:color w:val="auto"/>
              </w:rPr>
            </w:pPr>
            <w:r>
              <w:rPr>
                <w:rFonts w:ascii="Arial" w:cs="Arial" w:eastAsia="Arial" w:hAnsi="Arial"/>
                <w:sz w:val="14"/>
                <w:szCs w:val="14"/>
                <w:color w:val="auto"/>
              </w:rPr>
              <w:t>NeoGenomics, Inc.</w:t>
            </w:r>
          </w:p>
        </w:tc>
        <w:tc>
          <w:tcPr>
            <w:tcW w:w="2080" w:type="dxa"/>
            <w:vAlign w:val="bottom"/>
          </w:tcPr>
          <w:p>
            <w:pPr>
              <w:ind w:left="120"/>
              <w:spacing w:after="0"/>
              <w:rPr>
                <w:sz w:val="20"/>
                <w:szCs w:val="20"/>
                <w:color w:val="auto"/>
              </w:rPr>
            </w:pPr>
            <w:r>
              <w:rPr>
                <w:rFonts w:ascii="Arial" w:cs="Arial" w:eastAsia="Arial" w:hAnsi="Arial"/>
                <w:sz w:val="14"/>
                <w:szCs w:val="14"/>
                <w:color w:val="auto"/>
              </w:rPr>
              <w:t>Twist Bioscience Corporation</w:t>
            </w:r>
          </w:p>
        </w:tc>
      </w:tr>
      <w:tr>
        <w:trPr>
          <w:trHeight w:val="89"/>
        </w:trPr>
        <w:tc>
          <w:tcPr>
            <w:tcW w:w="2780" w:type="dxa"/>
            <w:vAlign w:val="bottom"/>
            <w:tcBorders>
              <w:bottom w:val="single" w:sz="8" w:color="666666"/>
            </w:tcBorders>
          </w:tcPr>
          <w:p>
            <w:pPr>
              <w:spacing w:after="0"/>
              <w:rPr>
                <w:sz w:val="7"/>
                <w:szCs w:val="7"/>
                <w:color w:val="auto"/>
              </w:rPr>
            </w:pPr>
          </w:p>
        </w:tc>
        <w:tc>
          <w:tcPr>
            <w:tcW w:w="1860" w:type="dxa"/>
            <w:vAlign w:val="bottom"/>
            <w:tcBorders>
              <w:bottom w:val="single" w:sz="8" w:color="666666"/>
            </w:tcBorders>
          </w:tcPr>
          <w:p>
            <w:pPr>
              <w:spacing w:after="0"/>
              <w:rPr>
                <w:sz w:val="7"/>
                <w:szCs w:val="7"/>
                <w:color w:val="auto"/>
              </w:rPr>
            </w:pPr>
          </w:p>
        </w:tc>
        <w:tc>
          <w:tcPr>
            <w:tcW w:w="2680" w:type="dxa"/>
            <w:vAlign w:val="bottom"/>
            <w:tcBorders>
              <w:bottom w:val="single" w:sz="8" w:color="666666"/>
            </w:tcBorders>
          </w:tcPr>
          <w:p>
            <w:pPr>
              <w:spacing w:after="0"/>
              <w:rPr>
                <w:sz w:val="7"/>
                <w:szCs w:val="7"/>
                <w:color w:val="auto"/>
              </w:rPr>
            </w:pPr>
          </w:p>
        </w:tc>
        <w:tc>
          <w:tcPr>
            <w:tcW w:w="2080" w:type="dxa"/>
            <w:vAlign w:val="bottom"/>
            <w:tcBorders>
              <w:bottom w:val="single" w:sz="8" w:color="666666"/>
            </w:tcBorders>
          </w:tcPr>
          <w:p>
            <w:pPr>
              <w:spacing w:after="0"/>
              <w:rPr>
                <w:sz w:val="7"/>
                <w:szCs w:val="7"/>
                <w:color w:val="auto"/>
              </w:rPr>
            </w:pPr>
          </w:p>
        </w:tc>
      </w:tr>
      <w:tr>
        <w:trPr>
          <w:trHeight w:val="282"/>
        </w:trPr>
        <w:tc>
          <w:tcPr>
            <w:tcW w:w="2780" w:type="dxa"/>
            <w:vAlign w:val="bottom"/>
          </w:tcPr>
          <w:p>
            <w:pPr>
              <w:ind w:left="280"/>
              <w:spacing w:after="0"/>
              <w:rPr>
                <w:sz w:val="20"/>
                <w:szCs w:val="20"/>
                <w:color w:val="auto"/>
              </w:rPr>
            </w:pPr>
            <w:r>
              <w:rPr>
                <w:rFonts w:ascii="Arial" w:cs="Arial" w:eastAsia="Arial" w:hAnsi="Arial"/>
                <w:sz w:val="14"/>
                <w:szCs w:val="14"/>
                <w:color w:val="auto"/>
              </w:rPr>
              <w:t>Azenta, Inc.</w:t>
            </w:r>
          </w:p>
        </w:tc>
        <w:tc>
          <w:tcPr>
            <w:tcW w:w="1860" w:type="dxa"/>
            <w:vAlign w:val="bottom"/>
          </w:tcPr>
          <w:p>
            <w:pPr>
              <w:ind w:left="120"/>
              <w:spacing w:after="0"/>
              <w:rPr>
                <w:sz w:val="20"/>
                <w:szCs w:val="20"/>
                <w:color w:val="auto"/>
              </w:rPr>
            </w:pPr>
            <w:r>
              <w:rPr>
                <w:rFonts w:ascii="Arial" w:cs="Arial" w:eastAsia="Arial" w:hAnsi="Arial"/>
                <w:sz w:val="14"/>
                <w:szCs w:val="14"/>
                <w:color w:val="auto"/>
              </w:rPr>
              <w:t>Cytek Biosciences, Inc.</w:t>
            </w:r>
          </w:p>
        </w:tc>
        <w:tc>
          <w:tcPr>
            <w:tcW w:w="2680" w:type="dxa"/>
            <w:vAlign w:val="bottom"/>
          </w:tcPr>
          <w:p>
            <w:pPr>
              <w:ind w:left="200"/>
              <w:spacing w:after="0"/>
              <w:rPr>
                <w:sz w:val="20"/>
                <w:szCs w:val="20"/>
                <w:color w:val="auto"/>
              </w:rPr>
            </w:pPr>
            <w:r>
              <w:rPr>
                <w:rFonts w:ascii="Arial" w:cs="Arial" w:eastAsia="Arial" w:hAnsi="Arial"/>
                <w:sz w:val="14"/>
                <w:szCs w:val="14"/>
                <w:color w:val="auto"/>
              </w:rPr>
              <w:t>OraSure Technologies, Inc.</w:t>
            </w:r>
          </w:p>
        </w:tc>
        <w:tc>
          <w:tcPr>
            <w:tcW w:w="2080" w:type="dxa"/>
            <w:vAlign w:val="bottom"/>
          </w:tcPr>
          <w:p>
            <w:pPr>
              <w:ind w:left="120"/>
              <w:spacing w:after="0"/>
              <w:rPr>
                <w:sz w:val="20"/>
                <w:szCs w:val="20"/>
                <w:color w:val="auto"/>
              </w:rPr>
            </w:pPr>
            <w:r>
              <w:rPr>
                <w:rFonts w:ascii="Arial" w:cs="Arial" w:eastAsia="Arial" w:hAnsi="Arial"/>
                <w:sz w:val="14"/>
                <w:szCs w:val="14"/>
                <w:color w:val="auto"/>
              </w:rPr>
              <w:t>Veracyte, Inc.</w:t>
            </w:r>
          </w:p>
        </w:tc>
      </w:tr>
      <w:tr>
        <w:trPr>
          <w:trHeight w:val="89"/>
        </w:trPr>
        <w:tc>
          <w:tcPr>
            <w:tcW w:w="2780" w:type="dxa"/>
            <w:vAlign w:val="bottom"/>
            <w:tcBorders>
              <w:bottom w:val="single" w:sz="8" w:color="666666"/>
            </w:tcBorders>
          </w:tcPr>
          <w:p>
            <w:pPr>
              <w:spacing w:after="0"/>
              <w:rPr>
                <w:sz w:val="7"/>
                <w:szCs w:val="7"/>
                <w:color w:val="auto"/>
              </w:rPr>
            </w:pPr>
          </w:p>
        </w:tc>
        <w:tc>
          <w:tcPr>
            <w:tcW w:w="1860" w:type="dxa"/>
            <w:vAlign w:val="bottom"/>
            <w:tcBorders>
              <w:bottom w:val="single" w:sz="8" w:color="666666"/>
            </w:tcBorders>
          </w:tcPr>
          <w:p>
            <w:pPr>
              <w:spacing w:after="0"/>
              <w:rPr>
                <w:sz w:val="7"/>
                <w:szCs w:val="7"/>
                <w:color w:val="auto"/>
              </w:rPr>
            </w:pPr>
          </w:p>
        </w:tc>
        <w:tc>
          <w:tcPr>
            <w:tcW w:w="2680" w:type="dxa"/>
            <w:vAlign w:val="bottom"/>
            <w:tcBorders>
              <w:bottom w:val="single" w:sz="8" w:color="666666"/>
            </w:tcBorders>
          </w:tcPr>
          <w:p>
            <w:pPr>
              <w:spacing w:after="0"/>
              <w:rPr>
                <w:sz w:val="7"/>
                <w:szCs w:val="7"/>
                <w:color w:val="auto"/>
              </w:rPr>
            </w:pPr>
          </w:p>
        </w:tc>
        <w:tc>
          <w:tcPr>
            <w:tcW w:w="2080" w:type="dxa"/>
            <w:vAlign w:val="bottom"/>
            <w:tcBorders>
              <w:bottom w:val="single" w:sz="8" w:color="666666"/>
            </w:tcBorders>
          </w:tcPr>
          <w:p>
            <w:pPr>
              <w:spacing w:after="0"/>
              <w:rPr>
                <w:sz w:val="7"/>
                <w:szCs w:val="7"/>
                <w:color w:val="auto"/>
              </w:rPr>
            </w:pPr>
          </w:p>
        </w:tc>
      </w:tr>
      <w:tr>
        <w:trPr>
          <w:trHeight w:val="283"/>
        </w:trPr>
        <w:tc>
          <w:tcPr>
            <w:tcW w:w="2780" w:type="dxa"/>
            <w:vAlign w:val="bottom"/>
          </w:tcPr>
          <w:p>
            <w:pPr>
              <w:ind w:left="280"/>
              <w:spacing w:after="0"/>
              <w:rPr>
                <w:sz w:val="20"/>
                <w:szCs w:val="20"/>
                <w:color w:val="auto"/>
              </w:rPr>
            </w:pPr>
            <w:r>
              <w:rPr>
                <w:rFonts w:ascii="Arial" w:cs="Arial" w:eastAsia="Arial" w:hAnsi="Arial"/>
                <w:sz w:val="14"/>
                <w:szCs w:val="14"/>
                <w:color w:val="auto"/>
              </w:rPr>
              <w:t>BioLife Solutions, Inc.</w:t>
            </w:r>
          </w:p>
        </w:tc>
        <w:tc>
          <w:tcPr>
            <w:tcW w:w="1860" w:type="dxa"/>
            <w:vAlign w:val="bottom"/>
          </w:tcPr>
          <w:p>
            <w:pPr>
              <w:ind w:left="120"/>
              <w:spacing w:after="0"/>
              <w:rPr>
                <w:sz w:val="20"/>
                <w:szCs w:val="20"/>
                <w:color w:val="auto"/>
              </w:rPr>
            </w:pPr>
            <w:r>
              <w:rPr>
                <w:rFonts w:ascii="Arial" w:cs="Arial" w:eastAsia="Arial" w:hAnsi="Arial"/>
                <w:sz w:val="14"/>
                <w:szCs w:val="14"/>
                <w:color w:val="auto"/>
              </w:rPr>
              <w:t>Guardant Health, Inc.</w:t>
            </w:r>
          </w:p>
        </w:tc>
        <w:tc>
          <w:tcPr>
            <w:tcW w:w="2680" w:type="dxa"/>
            <w:vAlign w:val="bottom"/>
          </w:tcPr>
          <w:p>
            <w:pPr>
              <w:ind w:left="200"/>
              <w:spacing w:after="0"/>
              <w:rPr>
                <w:sz w:val="20"/>
                <w:szCs w:val="20"/>
                <w:color w:val="auto"/>
              </w:rPr>
            </w:pPr>
            <w:r>
              <w:rPr>
                <w:rFonts w:ascii="Arial" w:cs="Arial" w:eastAsia="Arial" w:hAnsi="Arial"/>
                <w:sz w:val="14"/>
                <w:szCs w:val="14"/>
                <w:color w:val="auto"/>
              </w:rPr>
              <w:t>Pacific Biosciences of California, Inc.</w:t>
            </w:r>
          </w:p>
        </w:tc>
        <w:tc>
          <w:tcPr>
            <w:tcW w:w="2080" w:type="dxa"/>
            <w:vAlign w:val="bottom"/>
          </w:tcPr>
          <w:p>
            <w:pPr>
              <w:spacing w:after="0"/>
              <w:rPr>
                <w:sz w:val="24"/>
                <w:szCs w:val="24"/>
                <w:color w:val="auto"/>
              </w:rPr>
            </w:pPr>
          </w:p>
        </w:tc>
      </w:tr>
      <w:tr>
        <w:trPr>
          <w:trHeight w:val="76"/>
        </w:trPr>
        <w:tc>
          <w:tcPr>
            <w:tcW w:w="2780" w:type="dxa"/>
            <w:vAlign w:val="bottom"/>
            <w:tcBorders>
              <w:bottom w:val="single" w:sz="8" w:color="24356E"/>
            </w:tcBorders>
          </w:tcPr>
          <w:p>
            <w:pPr>
              <w:spacing w:after="0"/>
              <w:rPr>
                <w:sz w:val="6"/>
                <w:szCs w:val="6"/>
                <w:color w:val="auto"/>
              </w:rPr>
            </w:pPr>
          </w:p>
        </w:tc>
        <w:tc>
          <w:tcPr>
            <w:tcW w:w="1860" w:type="dxa"/>
            <w:vAlign w:val="bottom"/>
            <w:tcBorders>
              <w:bottom w:val="single" w:sz="8" w:color="24356E"/>
            </w:tcBorders>
          </w:tcPr>
          <w:p>
            <w:pPr>
              <w:spacing w:after="0"/>
              <w:rPr>
                <w:sz w:val="6"/>
                <w:szCs w:val="6"/>
                <w:color w:val="auto"/>
              </w:rPr>
            </w:pPr>
          </w:p>
        </w:tc>
        <w:tc>
          <w:tcPr>
            <w:tcW w:w="2680" w:type="dxa"/>
            <w:vAlign w:val="bottom"/>
            <w:tcBorders>
              <w:bottom w:val="single" w:sz="8" w:color="24356E"/>
            </w:tcBorders>
          </w:tcPr>
          <w:p>
            <w:pPr>
              <w:spacing w:after="0"/>
              <w:rPr>
                <w:sz w:val="6"/>
                <w:szCs w:val="6"/>
                <w:color w:val="auto"/>
              </w:rPr>
            </w:pPr>
          </w:p>
        </w:tc>
        <w:tc>
          <w:tcPr>
            <w:tcW w:w="2080" w:type="dxa"/>
            <w:vAlign w:val="bottom"/>
            <w:tcBorders>
              <w:bottom w:val="single" w:sz="8" w:color="24356E"/>
            </w:tcBorders>
          </w:tcPr>
          <w:p>
            <w:pPr>
              <w:spacing w:after="0"/>
              <w:rPr>
                <w:sz w:val="6"/>
                <w:szCs w:val="6"/>
                <w:color w:val="auto"/>
              </w:rPr>
            </w:pPr>
          </w:p>
        </w:tc>
      </w:tr>
    </w:tbl>
    <w:p>
      <w:pPr>
        <w:spacing w:after="0" w:line="256"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333333"/>
        </w:rPr>
        <w:t>Market data are not the sole determinant in setting compensation levels for our NEOs, and actual compensation levels can be above or below the targeted levels depending on factors such as experience, individual or company performance, tenure, employee potential, unique skills, criticality of the position to the Company and other factors. In general, the Human Capital Committee desires to balance general internal and external equity and reserves the right to use discretion to deviate when necessary to recruit employees and/or retain the right talent.</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2024 Executive Compensation Program Decisions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33333"/>
        </w:rPr>
        <w:t>Base salary represents annual fixed compensation and is a standard element of compensation necessary to attract and retain executive leadership talent. In making base salary decisions, the Human Capital Committee considers the CEO’s recommendations, as well as each NEO’s position and level of responsibility within the Company. The Human Capital Committee takes into account factors such as competitive market data as well as individual performance, experience, tenure, internal equity, and employee potential. For 2024, the Human Capital Committee approved base salary increases for Dr. Egholm, Mr. Kim, and Mr. Black to improve their competitive positioning and ensure market alignment for their respective roles. Mr. Kim’s increase was to improve his competitive positioning and to recognize his appointments to Interim CFO and, subsequently, fulltime CFO.</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2760" w:type="dxa"/>
            <w:vAlign w:val="bottom"/>
            <w:shd w:val="clear" w:color="auto" w:fill="24356E"/>
          </w:tcPr>
          <w:p>
            <w:pPr>
              <w:ind w:left="260"/>
              <w:spacing w:after="0"/>
              <w:rPr>
                <w:sz w:val="20"/>
                <w:szCs w:val="20"/>
                <w:color w:val="auto"/>
              </w:rPr>
            </w:pPr>
            <w:r>
              <w:rPr>
                <w:rFonts w:ascii="Arial" w:cs="Arial" w:eastAsia="Arial" w:hAnsi="Arial"/>
                <w:sz w:val="14"/>
                <w:szCs w:val="14"/>
                <w:color w:val="FFFFFF"/>
              </w:rPr>
              <w:t>Name</w:t>
            </w:r>
          </w:p>
        </w:tc>
        <w:tc>
          <w:tcPr>
            <w:tcW w:w="2960" w:type="dxa"/>
            <w:vAlign w:val="bottom"/>
            <w:shd w:val="clear" w:color="auto" w:fill="24356E"/>
          </w:tcPr>
          <w:p>
            <w:pPr>
              <w:jc w:val="right"/>
              <w:ind w:right="448"/>
              <w:spacing w:after="0"/>
              <w:rPr>
                <w:sz w:val="20"/>
                <w:szCs w:val="20"/>
                <w:color w:val="auto"/>
              </w:rPr>
            </w:pPr>
            <w:r>
              <w:rPr>
                <w:rFonts w:ascii="Arial" w:cs="Arial" w:eastAsia="Arial" w:hAnsi="Arial"/>
                <w:sz w:val="14"/>
                <w:szCs w:val="14"/>
                <w:color w:val="FFFFFF"/>
              </w:rPr>
              <w:t>2023 Base Salary Rate</w:t>
            </w:r>
          </w:p>
        </w:tc>
        <w:tc>
          <w:tcPr>
            <w:tcW w:w="2400" w:type="dxa"/>
            <w:vAlign w:val="bottom"/>
            <w:shd w:val="clear" w:color="auto" w:fill="24356E"/>
          </w:tcPr>
          <w:p>
            <w:pPr>
              <w:jc w:val="right"/>
              <w:ind w:right="348"/>
              <w:spacing w:after="0"/>
              <w:rPr>
                <w:sz w:val="20"/>
                <w:szCs w:val="20"/>
                <w:color w:val="auto"/>
              </w:rPr>
            </w:pPr>
            <w:r>
              <w:rPr>
                <w:rFonts w:ascii="Arial" w:cs="Arial" w:eastAsia="Arial" w:hAnsi="Arial"/>
                <w:sz w:val="14"/>
                <w:szCs w:val="14"/>
                <w:color w:val="FFFFFF"/>
              </w:rPr>
              <w:t>2024 Base Salary Rate</w:t>
            </w:r>
          </w:p>
        </w:tc>
        <w:tc>
          <w:tcPr>
            <w:tcW w:w="128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Adjustment</w:t>
            </w:r>
          </w:p>
        </w:tc>
      </w:tr>
      <w:tr>
        <w:trPr>
          <w:trHeight w:val="89"/>
        </w:trPr>
        <w:tc>
          <w:tcPr>
            <w:tcW w:w="2760" w:type="dxa"/>
            <w:vAlign w:val="bottom"/>
            <w:shd w:val="clear" w:color="auto" w:fill="24356E"/>
          </w:tcPr>
          <w:p>
            <w:pPr>
              <w:spacing w:after="0"/>
              <w:rPr>
                <w:sz w:val="7"/>
                <w:szCs w:val="7"/>
                <w:color w:val="auto"/>
              </w:rPr>
            </w:pPr>
          </w:p>
        </w:tc>
        <w:tc>
          <w:tcPr>
            <w:tcW w:w="2960" w:type="dxa"/>
            <w:vAlign w:val="bottom"/>
            <w:shd w:val="clear" w:color="auto" w:fill="24356E"/>
          </w:tcPr>
          <w:p>
            <w:pPr>
              <w:spacing w:after="0"/>
              <w:rPr>
                <w:sz w:val="7"/>
                <w:szCs w:val="7"/>
                <w:color w:val="auto"/>
              </w:rPr>
            </w:pPr>
          </w:p>
        </w:tc>
        <w:tc>
          <w:tcPr>
            <w:tcW w:w="2400" w:type="dxa"/>
            <w:vAlign w:val="bottom"/>
            <w:shd w:val="clear" w:color="auto" w:fill="24356E"/>
          </w:tcPr>
          <w:p>
            <w:pPr>
              <w:spacing w:after="0"/>
              <w:rPr>
                <w:sz w:val="7"/>
                <w:szCs w:val="7"/>
                <w:color w:val="auto"/>
              </w:rPr>
            </w:pPr>
          </w:p>
        </w:tc>
        <w:tc>
          <w:tcPr>
            <w:tcW w:w="1280" w:type="dxa"/>
            <w:vAlign w:val="bottom"/>
            <w:shd w:val="clear" w:color="auto" w:fill="24356E"/>
          </w:tcPr>
          <w:p>
            <w:pPr>
              <w:spacing w:after="0"/>
              <w:rPr>
                <w:sz w:val="7"/>
                <w:szCs w:val="7"/>
                <w:color w:val="auto"/>
              </w:rPr>
            </w:pPr>
          </w:p>
        </w:tc>
      </w:tr>
      <w:tr>
        <w:trPr>
          <w:trHeight w:val="295"/>
        </w:trPr>
        <w:tc>
          <w:tcPr>
            <w:tcW w:w="2760" w:type="dxa"/>
            <w:vAlign w:val="bottom"/>
          </w:tcPr>
          <w:p>
            <w:pPr>
              <w:ind w:left="260"/>
              <w:spacing w:after="0"/>
              <w:rPr>
                <w:sz w:val="20"/>
                <w:szCs w:val="20"/>
                <w:color w:val="auto"/>
              </w:rPr>
            </w:pPr>
            <w:r>
              <w:rPr>
                <w:rFonts w:ascii="Arial" w:cs="Arial" w:eastAsia="Arial" w:hAnsi="Arial"/>
                <w:sz w:val="14"/>
                <w:szCs w:val="14"/>
                <w:b w:val="1"/>
                <w:bCs w:val="1"/>
                <w:color w:val="auto"/>
              </w:rPr>
              <w:t>Michael Egholm, Ph.D.</w:t>
            </w:r>
          </w:p>
        </w:tc>
        <w:tc>
          <w:tcPr>
            <w:tcW w:w="2960" w:type="dxa"/>
            <w:vAlign w:val="bottom"/>
          </w:tcPr>
          <w:p>
            <w:pPr>
              <w:jc w:val="right"/>
              <w:ind w:right="528"/>
              <w:spacing w:after="0"/>
              <w:rPr>
                <w:sz w:val="20"/>
                <w:szCs w:val="20"/>
                <w:color w:val="auto"/>
              </w:rPr>
            </w:pPr>
            <w:r>
              <w:rPr>
                <w:rFonts w:ascii="Arial" w:cs="Arial" w:eastAsia="Arial" w:hAnsi="Arial"/>
                <w:sz w:val="14"/>
                <w:szCs w:val="14"/>
                <w:color w:val="auto"/>
              </w:rPr>
              <w:t>$645,000</w:t>
            </w:r>
          </w:p>
        </w:tc>
        <w:tc>
          <w:tcPr>
            <w:tcW w:w="2400" w:type="dxa"/>
            <w:vAlign w:val="bottom"/>
          </w:tcPr>
          <w:p>
            <w:pPr>
              <w:jc w:val="right"/>
              <w:ind w:right="428"/>
              <w:spacing w:after="0"/>
              <w:rPr>
                <w:sz w:val="20"/>
                <w:szCs w:val="20"/>
                <w:color w:val="auto"/>
              </w:rPr>
            </w:pPr>
            <w:r>
              <w:rPr>
                <w:rFonts w:ascii="Arial" w:cs="Arial" w:eastAsia="Arial" w:hAnsi="Arial"/>
                <w:sz w:val="14"/>
                <w:szCs w:val="14"/>
                <w:color w:val="auto"/>
              </w:rPr>
              <w:t>$700,000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8.5%</w:t>
            </w:r>
          </w:p>
        </w:tc>
      </w:tr>
      <w:tr>
        <w:trPr>
          <w:trHeight w:val="83"/>
        </w:trPr>
        <w:tc>
          <w:tcPr>
            <w:tcW w:w="2760" w:type="dxa"/>
            <w:vAlign w:val="bottom"/>
            <w:tcBorders>
              <w:bottom w:val="single" w:sz="8" w:color="666666"/>
            </w:tcBorders>
          </w:tcPr>
          <w:p>
            <w:pPr>
              <w:spacing w:after="0"/>
              <w:rPr>
                <w:sz w:val="7"/>
                <w:szCs w:val="7"/>
                <w:color w:val="auto"/>
              </w:rPr>
            </w:pPr>
          </w:p>
        </w:tc>
        <w:tc>
          <w:tcPr>
            <w:tcW w:w="2960" w:type="dxa"/>
            <w:vAlign w:val="bottom"/>
            <w:tcBorders>
              <w:bottom w:val="single" w:sz="8" w:color="666666"/>
            </w:tcBorders>
          </w:tcPr>
          <w:p>
            <w:pPr>
              <w:spacing w:after="0"/>
              <w:rPr>
                <w:sz w:val="7"/>
                <w:szCs w:val="7"/>
                <w:color w:val="auto"/>
              </w:rPr>
            </w:pPr>
          </w:p>
        </w:tc>
        <w:tc>
          <w:tcPr>
            <w:tcW w:w="2400" w:type="dxa"/>
            <w:vAlign w:val="bottom"/>
            <w:tcBorders>
              <w:bottom w:val="single" w:sz="8" w:color="666666"/>
            </w:tcBorders>
          </w:tcPr>
          <w:p>
            <w:pPr>
              <w:spacing w:after="0"/>
              <w:rPr>
                <w:sz w:val="7"/>
                <w:szCs w:val="7"/>
                <w:color w:val="auto"/>
              </w:rPr>
            </w:pPr>
          </w:p>
        </w:tc>
        <w:tc>
          <w:tcPr>
            <w:tcW w:w="1280" w:type="dxa"/>
            <w:vAlign w:val="bottom"/>
            <w:tcBorders>
              <w:bottom w:val="single" w:sz="8" w:color="666666"/>
            </w:tcBorders>
          </w:tcPr>
          <w:p>
            <w:pPr>
              <w:spacing w:after="0"/>
              <w:rPr>
                <w:sz w:val="7"/>
                <w:szCs w:val="7"/>
                <w:color w:val="auto"/>
              </w:rPr>
            </w:pPr>
          </w:p>
        </w:tc>
      </w:tr>
      <w:tr>
        <w:trPr>
          <w:trHeight w:val="288"/>
        </w:trPr>
        <w:tc>
          <w:tcPr>
            <w:tcW w:w="2760" w:type="dxa"/>
            <w:vAlign w:val="bottom"/>
          </w:tcPr>
          <w:p>
            <w:pPr>
              <w:ind w:left="260"/>
              <w:spacing w:after="0"/>
              <w:rPr>
                <w:sz w:val="20"/>
                <w:szCs w:val="20"/>
                <w:color w:val="auto"/>
              </w:rPr>
            </w:pPr>
            <w:r>
              <w:rPr>
                <w:rFonts w:ascii="Arial" w:cs="Arial" w:eastAsia="Arial" w:hAnsi="Arial"/>
                <w:sz w:val="14"/>
                <w:szCs w:val="14"/>
                <w:b w:val="1"/>
                <w:bCs w:val="1"/>
                <w:color w:val="auto"/>
              </w:rPr>
              <w:t>Alex Kim</w:t>
            </w:r>
          </w:p>
        </w:tc>
        <w:tc>
          <w:tcPr>
            <w:tcW w:w="2960" w:type="dxa"/>
            <w:vAlign w:val="bottom"/>
          </w:tcPr>
          <w:p>
            <w:pPr>
              <w:jc w:val="right"/>
              <w:ind w:right="528"/>
              <w:spacing w:after="0"/>
              <w:rPr>
                <w:sz w:val="20"/>
                <w:szCs w:val="20"/>
                <w:color w:val="auto"/>
              </w:rPr>
            </w:pPr>
            <w:r>
              <w:rPr>
                <w:rFonts w:ascii="Arial" w:cs="Arial" w:eastAsia="Arial" w:hAnsi="Arial"/>
                <w:sz w:val="14"/>
                <w:szCs w:val="14"/>
                <w:color w:val="auto"/>
              </w:rPr>
              <w:t>$440,000</w:t>
            </w:r>
          </w:p>
        </w:tc>
        <w:tc>
          <w:tcPr>
            <w:tcW w:w="2400" w:type="dxa"/>
            <w:vAlign w:val="bottom"/>
          </w:tcPr>
          <w:p>
            <w:pPr>
              <w:jc w:val="right"/>
              <w:ind w:right="428"/>
              <w:spacing w:after="0"/>
              <w:rPr>
                <w:sz w:val="20"/>
                <w:szCs w:val="20"/>
                <w:color w:val="auto"/>
              </w:rPr>
            </w:pPr>
            <w:r>
              <w:rPr>
                <w:rFonts w:ascii="Arial" w:cs="Arial" w:eastAsia="Arial" w:hAnsi="Arial"/>
                <w:sz w:val="14"/>
                <w:szCs w:val="14"/>
                <w:color w:val="auto"/>
              </w:rPr>
              <w:t>$500,000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13.6%</w:t>
            </w:r>
          </w:p>
        </w:tc>
      </w:tr>
      <w:tr>
        <w:trPr>
          <w:trHeight w:val="83"/>
        </w:trPr>
        <w:tc>
          <w:tcPr>
            <w:tcW w:w="2760" w:type="dxa"/>
            <w:vAlign w:val="bottom"/>
            <w:tcBorders>
              <w:bottom w:val="single" w:sz="8" w:color="666666"/>
            </w:tcBorders>
          </w:tcPr>
          <w:p>
            <w:pPr>
              <w:spacing w:after="0"/>
              <w:rPr>
                <w:sz w:val="7"/>
                <w:szCs w:val="7"/>
                <w:color w:val="auto"/>
              </w:rPr>
            </w:pPr>
          </w:p>
        </w:tc>
        <w:tc>
          <w:tcPr>
            <w:tcW w:w="2960" w:type="dxa"/>
            <w:vAlign w:val="bottom"/>
            <w:tcBorders>
              <w:bottom w:val="single" w:sz="8" w:color="666666"/>
            </w:tcBorders>
          </w:tcPr>
          <w:p>
            <w:pPr>
              <w:spacing w:after="0"/>
              <w:rPr>
                <w:sz w:val="7"/>
                <w:szCs w:val="7"/>
                <w:color w:val="auto"/>
              </w:rPr>
            </w:pPr>
          </w:p>
        </w:tc>
        <w:tc>
          <w:tcPr>
            <w:tcW w:w="2400" w:type="dxa"/>
            <w:vAlign w:val="bottom"/>
            <w:tcBorders>
              <w:bottom w:val="single" w:sz="8" w:color="666666"/>
            </w:tcBorders>
          </w:tcPr>
          <w:p>
            <w:pPr>
              <w:spacing w:after="0"/>
              <w:rPr>
                <w:sz w:val="7"/>
                <w:szCs w:val="7"/>
                <w:color w:val="auto"/>
              </w:rPr>
            </w:pPr>
          </w:p>
        </w:tc>
        <w:tc>
          <w:tcPr>
            <w:tcW w:w="1280" w:type="dxa"/>
            <w:vAlign w:val="bottom"/>
            <w:tcBorders>
              <w:bottom w:val="single" w:sz="8" w:color="666666"/>
            </w:tcBorders>
          </w:tcPr>
          <w:p>
            <w:pPr>
              <w:spacing w:after="0"/>
              <w:rPr>
                <w:sz w:val="7"/>
                <w:szCs w:val="7"/>
                <w:color w:val="auto"/>
              </w:rPr>
            </w:pPr>
          </w:p>
        </w:tc>
      </w:tr>
      <w:tr>
        <w:trPr>
          <w:trHeight w:val="398"/>
        </w:trPr>
        <w:tc>
          <w:tcPr>
            <w:tcW w:w="276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Sean Mackay</w:t>
            </w:r>
            <w:r>
              <w:rPr>
                <w:rFonts w:ascii="Arial" w:cs="Arial" w:eastAsia="Arial" w:hAnsi="Arial"/>
                <w:sz w:val="23"/>
                <w:szCs w:val="23"/>
                <w:b w:val="1"/>
                <w:bCs w:val="1"/>
                <w:color w:val="auto"/>
                <w:vertAlign w:val="superscript"/>
              </w:rPr>
              <w:t>(1)</w:t>
            </w:r>
          </w:p>
        </w:tc>
        <w:tc>
          <w:tcPr>
            <w:tcW w:w="2960" w:type="dxa"/>
            <w:vAlign w:val="bottom"/>
            <w:tcBorders>
              <w:bottom w:val="single" w:sz="8" w:color="666666"/>
            </w:tcBorders>
          </w:tcPr>
          <w:p>
            <w:pPr>
              <w:jc w:val="right"/>
              <w:ind w:right="548"/>
              <w:spacing w:after="0"/>
              <w:rPr>
                <w:sz w:val="20"/>
                <w:szCs w:val="20"/>
                <w:color w:val="auto"/>
              </w:rPr>
            </w:pPr>
            <w:r>
              <w:rPr>
                <w:rFonts w:ascii="Arial" w:cs="Arial" w:eastAsia="Arial" w:hAnsi="Arial"/>
                <w:sz w:val="14"/>
                <w:szCs w:val="14"/>
                <w:color w:val="auto"/>
              </w:rPr>
              <w:t>N/A</w:t>
            </w:r>
          </w:p>
        </w:tc>
        <w:tc>
          <w:tcPr>
            <w:tcW w:w="2400" w:type="dxa"/>
            <w:vAlign w:val="bottom"/>
            <w:tcBorders>
              <w:bottom w:val="single" w:sz="8" w:color="666666"/>
            </w:tcBorders>
          </w:tcPr>
          <w:p>
            <w:pPr>
              <w:jc w:val="right"/>
              <w:ind w:right="428"/>
              <w:spacing w:after="0"/>
              <w:rPr>
                <w:sz w:val="20"/>
                <w:szCs w:val="20"/>
                <w:color w:val="auto"/>
              </w:rPr>
            </w:pPr>
            <w:r>
              <w:rPr>
                <w:rFonts w:ascii="Arial" w:cs="Arial" w:eastAsia="Arial" w:hAnsi="Arial"/>
                <w:sz w:val="14"/>
                <w:szCs w:val="14"/>
                <w:color w:val="auto"/>
              </w:rPr>
              <w:t>$475,000</w:t>
            </w:r>
          </w:p>
        </w:tc>
        <w:tc>
          <w:tcPr>
            <w:tcW w:w="128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N/A</w:t>
            </w:r>
          </w:p>
        </w:tc>
      </w:tr>
      <w:tr>
        <w:trPr>
          <w:trHeight w:val="385"/>
        </w:trPr>
        <w:tc>
          <w:tcPr>
            <w:tcW w:w="2760" w:type="dxa"/>
            <w:vAlign w:val="bottom"/>
            <w:tcBorders>
              <w:bottom w:val="single" w:sz="8" w:color="24356E"/>
            </w:tcBorders>
          </w:tcPr>
          <w:p>
            <w:pPr>
              <w:ind w:left="260"/>
              <w:spacing w:after="0"/>
              <w:rPr>
                <w:sz w:val="20"/>
                <w:szCs w:val="20"/>
                <w:color w:val="auto"/>
              </w:rPr>
            </w:pPr>
            <w:r>
              <w:rPr>
                <w:rFonts w:ascii="Arial" w:cs="Arial" w:eastAsia="Arial" w:hAnsi="Arial"/>
                <w:sz w:val="14"/>
                <w:szCs w:val="14"/>
                <w:b w:val="1"/>
                <w:bCs w:val="1"/>
                <w:color w:val="auto"/>
              </w:rPr>
              <w:t>Jeffrey Black</w:t>
            </w:r>
            <w:r>
              <w:rPr>
                <w:rFonts w:ascii="Arial" w:cs="Arial" w:eastAsia="Arial" w:hAnsi="Arial"/>
                <w:sz w:val="23"/>
                <w:szCs w:val="23"/>
                <w:b w:val="1"/>
                <w:bCs w:val="1"/>
                <w:color w:val="auto"/>
                <w:vertAlign w:val="superscript"/>
              </w:rPr>
              <w:t>(2)</w:t>
            </w:r>
          </w:p>
        </w:tc>
        <w:tc>
          <w:tcPr>
            <w:tcW w:w="2960" w:type="dxa"/>
            <w:vAlign w:val="bottom"/>
            <w:tcBorders>
              <w:bottom w:val="single" w:sz="8" w:color="24356E"/>
            </w:tcBorders>
          </w:tcPr>
          <w:p>
            <w:pPr>
              <w:jc w:val="right"/>
              <w:ind w:right="528"/>
              <w:spacing w:after="0"/>
              <w:rPr>
                <w:sz w:val="20"/>
                <w:szCs w:val="20"/>
                <w:color w:val="auto"/>
              </w:rPr>
            </w:pPr>
            <w:r>
              <w:rPr>
                <w:rFonts w:ascii="Arial" w:cs="Arial" w:eastAsia="Arial" w:hAnsi="Arial"/>
                <w:sz w:val="14"/>
                <w:szCs w:val="14"/>
                <w:color w:val="auto"/>
              </w:rPr>
              <w:t>$415,000</w:t>
            </w:r>
          </w:p>
        </w:tc>
        <w:tc>
          <w:tcPr>
            <w:tcW w:w="2400" w:type="dxa"/>
            <w:vAlign w:val="bottom"/>
            <w:tcBorders>
              <w:bottom w:val="single" w:sz="8" w:color="24356E"/>
            </w:tcBorders>
          </w:tcPr>
          <w:p>
            <w:pPr>
              <w:jc w:val="right"/>
              <w:ind w:right="428"/>
              <w:spacing w:after="0"/>
              <w:rPr>
                <w:sz w:val="20"/>
                <w:szCs w:val="20"/>
                <w:color w:val="auto"/>
              </w:rPr>
            </w:pPr>
            <w:r>
              <w:rPr>
                <w:rFonts w:ascii="Arial" w:cs="Arial" w:eastAsia="Arial" w:hAnsi="Arial"/>
                <w:sz w:val="14"/>
                <w:szCs w:val="14"/>
                <w:color w:val="auto"/>
              </w:rPr>
              <w:t>$450,000</w:t>
            </w:r>
          </w:p>
        </w:tc>
        <w:tc>
          <w:tcPr>
            <w:tcW w:w="1280" w:type="dxa"/>
            <w:vAlign w:val="bottom"/>
            <w:tcBorders>
              <w:bottom w:val="single" w:sz="8" w:color="24356E"/>
            </w:tcBorders>
          </w:tcPr>
          <w:p>
            <w:pPr>
              <w:jc w:val="right"/>
              <w:ind w:right="88"/>
              <w:spacing w:after="0"/>
              <w:rPr>
                <w:sz w:val="20"/>
                <w:szCs w:val="20"/>
                <w:color w:val="auto"/>
              </w:rPr>
            </w:pPr>
            <w:r>
              <w:rPr>
                <w:rFonts w:ascii="Arial" w:cs="Arial" w:eastAsia="Arial" w:hAnsi="Arial"/>
                <w:sz w:val="14"/>
                <w:szCs w:val="14"/>
                <w:color w:val="auto"/>
              </w:rPr>
              <w:t>8.4%</w:t>
            </w:r>
          </w:p>
        </w:tc>
      </w:tr>
    </w:tbl>
    <w:p>
      <w:pPr>
        <w:spacing w:after="0" w:line="144" w:lineRule="exact"/>
        <w:rPr>
          <w:sz w:val="20"/>
          <w:szCs w:val="20"/>
          <w:color w:val="auto"/>
        </w:rPr>
      </w:pPr>
    </w:p>
    <w:p>
      <w:pPr>
        <w:ind w:left="360" w:hanging="354"/>
        <w:spacing w:after="0"/>
        <w:tabs>
          <w:tab w:leader="none" w:pos="36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Mr. Mackay was not a NEO in 2023.</w:t>
      </w:r>
    </w:p>
    <w:p>
      <w:pPr>
        <w:spacing w:after="0" w:line="39" w:lineRule="exact"/>
        <w:rPr>
          <w:rFonts w:ascii="Arial" w:cs="Arial" w:eastAsia="Arial" w:hAnsi="Arial"/>
          <w:sz w:val="13"/>
          <w:szCs w:val="13"/>
          <w:b w:val="1"/>
          <w:bCs w:val="1"/>
          <w:color w:val="auto"/>
        </w:rPr>
      </w:pPr>
    </w:p>
    <w:p>
      <w:pPr>
        <w:ind w:left="360" w:hanging="354"/>
        <w:spacing w:after="0"/>
        <w:tabs>
          <w:tab w:leader="none" w:pos="36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Mr. Black resigned from the Company as its Chief Financial Officer, effective August 31, 2024.</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Incentives (Cash Incentive Program)</w:t>
      </w:r>
    </w:p>
    <w:p>
      <w:pPr>
        <w:spacing w:after="0" w:line="23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333333"/>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 Actual awards can range from 0% to 150% of target based on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3"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u w:val="single" w:color="auto"/>
          <w:color w:val="333333"/>
        </w:rPr>
        <w:t>Target Incentive Opportunities.</w:t>
      </w:r>
      <w:r>
        <w:rPr>
          <w:rFonts w:ascii="Arial" w:cs="Arial" w:eastAsia="Arial" w:hAnsi="Arial"/>
          <w:sz w:val="16"/>
          <w:szCs w:val="16"/>
          <w:color w:val="333333"/>
        </w:rPr>
        <w:t xml:space="preserve"> Target incentive opportunities for the executive officers are based on annual base salary and are reviewed annually to ensure they are competitive compared to our peer group. The Human Capital Committee increased Messrs. Kim’s and Black’s target incentive opportunities from 55% in 2023 to 60% in 2024 to improve their competitive positioning and ensure market alignment for their respective roles. The 2024 base salary, target cash incentive percentage, and target cash incentive amount under our 2024 cash incentive program (the “2024 Cash Incentive Program’’) for each NEO are set forth in the table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980" w:type="dxa"/>
            <w:vAlign w:val="bottom"/>
            <w:shd w:val="clear" w:color="auto" w:fill="24356E"/>
          </w:tcPr>
          <w:p>
            <w:pPr>
              <w:spacing w:after="0"/>
              <w:rPr>
                <w:sz w:val="24"/>
                <w:szCs w:val="24"/>
                <w:color w:val="auto"/>
              </w:rPr>
            </w:pPr>
          </w:p>
        </w:tc>
        <w:tc>
          <w:tcPr>
            <w:tcW w:w="2420" w:type="dxa"/>
            <w:vAlign w:val="bottom"/>
            <w:shd w:val="clear" w:color="auto" w:fill="24356E"/>
          </w:tcPr>
          <w:p>
            <w:pPr>
              <w:jc w:val="right"/>
              <w:ind w:right="488"/>
              <w:spacing w:after="0"/>
              <w:rPr>
                <w:sz w:val="20"/>
                <w:szCs w:val="20"/>
                <w:color w:val="auto"/>
              </w:rPr>
            </w:pPr>
            <w:r>
              <w:rPr>
                <w:rFonts w:ascii="Arial" w:cs="Arial" w:eastAsia="Arial" w:hAnsi="Arial"/>
                <w:sz w:val="14"/>
                <w:szCs w:val="14"/>
                <w:color w:val="FFFFFF"/>
              </w:rPr>
              <w:t>2024 Base</w:t>
            </w:r>
          </w:p>
        </w:tc>
        <w:tc>
          <w:tcPr>
            <w:tcW w:w="2220" w:type="dxa"/>
            <w:vAlign w:val="bottom"/>
            <w:shd w:val="clear" w:color="auto" w:fill="24356E"/>
          </w:tcPr>
          <w:p>
            <w:pPr>
              <w:jc w:val="right"/>
              <w:ind w:right="368"/>
              <w:spacing w:after="0"/>
              <w:rPr>
                <w:sz w:val="20"/>
                <w:szCs w:val="20"/>
                <w:color w:val="auto"/>
              </w:rPr>
            </w:pPr>
            <w:r>
              <w:rPr>
                <w:rFonts w:ascii="Arial" w:cs="Arial" w:eastAsia="Arial" w:hAnsi="Arial"/>
                <w:sz w:val="14"/>
                <w:szCs w:val="14"/>
                <w:color w:val="FFFFFF"/>
              </w:rPr>
              <w:t>2024 Target Bonus</w:t>
            </w:r>
          </w:p>
        </w:tc>
        <w:tc>
          <w:tcPr>
            <w:tcW w:w="178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2024 Target Bonus</w:t>
            </w:r>
          </w:p>
        </w:tc>
      </w:tr>
      <w:tr>
        <w:trPr>
          <w:trHeight w:val="190"/>
        </w:trPr>
        <w:tc>
          <w:tcPr>
            <w:tcW w:w="2980" w:type="dxa"/>
            <w:vAlign w:val="bottom"/>
            <w:shd w:val="clear" w:color="auto" w:fill="24356E"/>
          </w:tcPr>
          <w:p>
            <w:pPr>
              <w:ind w:left="260"/>
              <w:spacing w:after="0"/>
              <w:rPr>
                <w:sz w:val="20"/>
                <w:szCs w:val="20"/>
                <w:color w:val="auto"/>
              </w:rPr>
            </w:pPr>
            <w:r>
              <w:rPr>
                <w:rFonts w:ascii="Arial" w:cs="Arial" w:eastAsia="Arial" w:hAnsi="Arial"/>
                <w:sz w:val="14"/>
                <w:szCs w:val="14"/>
                <w:color w:val="FFFFFF"/>
              </w:rPr>
              <w:t>Name</w:t>
            </w:r>
          </w:p>
        </w:tc>
        <w:tc>
          <w:tcPr>
            <w:tcW w:w="2420" w:type="dxa"/>
            <w:vAlign w:val="bottom"/>
            <w:shd w:val="clear" w:color="auto" w:fill="24356E"/>
          </w:tcPr>
          <w:p>
            <w:pPr>
              <w:jc w:val="right"/>
              <w:ind w:right="488"/>
              <w:spacing w:after="0"/>
              <w:rPr>
                <w:sz w:val="20"/>
                <w:szCs w:val="20"/>
                <w:color w:val="auto"/>
              </w:rPr>
            </w:pPr>
            <w:r>
              <w:rPr>
                <w:rFonts w:ascii="Arial" w:cs="Arial" w:eastAsia="Arial" w:hAnsi="Arial"/>
                <w:sz w:val="14"/>
                <w:szCs w:val="14"/>
                <w:color w:val="FFFFFF"/>
              </w:rPr>
              <w:t>Salary</w:t>
            </w:r>
          </w:p>
        </w:tc>
        <w:tc>
          <w:tcPr>
            <w:tcW w:w="2220" w:type="dxa"/>
            <w:vAlign w:val="bottom"/>
            <w:shd w:val="clear" w:color="auto" w:fill="24356E"/>
          </w:tcPr>
          <w:p>
            <w:pPr>
              <w:jc w:val="right"/>
              <w:ind w:right="328"/>
              <w:spacing w:after="0"/>
              <w:rPr>
                <w:sz w:val="20"/>
                <w:szCs w:val="20"/>
                <w:color w:val="auto"/>
              </w:rPr>
            </w:pPr>
            <w:r>
              <w:rPr>
                <w:rFonts w:ascii="Arial" w:cs="Arial" w:eastAsia="Arial" w:hAnsi="Arial"/>
                <w:sz w:val="14"/>
                <w:szCs w:val="14"/>
                <w:color w:val="FFFFFF"/>
              </w:rPr>
              <w:t>Opportunity (%)</w:t>
            </w:r>
          </w:p>
        </w:tc>
        <w:tc>
          <w:tcPr>
            <w:tcW w:w="178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Opportunity ($)</w:t>
            </w:r>
          </w:p>
        </w:tc>
      </w:tr>
      <w:tr>
        <w:trPr>
          <w:trHeight w:val="89"/>
        </w:trPr>
        <w:tc>
          <w:tcPr>
            <w:tcW w:w="2980" w:type="dxa"/>
            <w:vAlign w:val="bottom"/>
            <w:shd w:val="clear" w:color="auto" w:fill="24356E"/>
          </w:tcPr>
          <w:p>
            <w:pPr>
              <w:spacing w:after="0"/>
              <w:rPr>
                <w:sz w:val="7"/>
                <w:szCs w:val="7"/>
                <w:color w:val="auto"/>
              </w:rPr>
            </w:pPr>
          </w:p>
        </w:tc>
        <w:tc>
          <w:tcPr>
            <w:tcW w:w="2420" w:type="dxa"/>
            <w:vAlign w:val="bottom"/>
            <w:shd w:val="clear" w:color="auto" w:fill="24356E"/>
          </w:tcPr>
          <w:p>
            <w:pPr>
              <w:spacing w:after="0"/>
              <w:rPr>
                <w:sz w:val="7"/>
                <w:szCs w:val="7"/>
                <w:color w:val="auto"/>
              </w:rPr>
            </w:pPr>
          </w:p>
        </w:tc>
        <w:tc>
          <w:tcPr>
            <w:tcW w:w="2220" w:type="dxa"/>
            <w:vAlign w:val="bottom"/>
            <w:shd w:val="clear" w:color="auto" w:fill="24356E"/>
          </w:tcPr>
          <w:p>
            <w:pPr>
              <w:spacing w:after="0"/>
              <w:rPr>
                <w:sz w:val="7"/>
                <w:szCs w:val="7"/>
                <w:color w:val="auto"/>
              </w:rPr>
            </w:pPr>
          </w:p>
        </w:tc>
        <w:tc>
          <w:tcPr>
            <w:tcW w:w="1780" w:type="dxa"/>
            <w:vAlign w:val="bottom"/>
            <w:shd w:val="clear" w:color="auto" w:fill="24356E"/>
          </w:tcPr>
          <w:p>
            <w:pPr>
              <w:spacing w:after="0"/>
              <w:rPr>
                <w:sz w:val="7"/>
                <w:szCs w:val="7"/>
                <w:color w:val="auto"/>
              </w:rPr>
            </w:pPr>
          </w:p>
        </w:tc>
      </w:tr>
      <w:tr>
        <w:trPr>
          <w:trHeight w:val="295"/>
        </w:trPr>
        <w:tc>
          <w:tcPr>
            <w:tcW w:w="2980" w:type="dxa"/>
            <w:vAlign w:val="bottom"/>
          </w:tcPr>
          <w:p>
            <w:pPr>
              <w:ind w:left="260"/>
              <w:spacing w:after="0"/>
              <w:rPr>
                <w:sz w:val="20"/>
                <w:szCs w:val="20"/>
                <w:color w:val="auto"/>
              </w:rPr>
            </w:pPr>
            <w:r>
              <w:rPr>
                <w:rFonts w:ascii="Arial" w:cs="Arial" w:eastAsia="Arial" w:hAnsi="Arial"/>
                <w:sz w:val="14"/>
                <w:szCs w:val="14"/>
                <w:b w:val="1"/>
                <w:bCs w:val="1"/>
                <w:color w:val="auto"/>
              </w:rPr>
              <w:t>Michael Egholm, Ph.D.</w:t>
            </w:r>
          </w:p>
        </w:tc>
        <w:tc>
          <w:tcPr>
            <w:tcW w:w="2420" w:type="dxa"/>
            <w:vAlign w:val="bottom"/>
          </w:tcPr>
          <w:p>
            <w:pPr>
              <w:jc w:val="right"/>
              <w:ind w:right="488"/>
              <w:spacing w:after="0"/>
              <w:rPr>
                <w:sz w:val="20"/>
                <w:szCs w:val="20"/>
                <w:color w:val="auto"/>
              </w:rPr>
            </w:pPr>
            <w:r>
              <w:rPr>
                <w:rFonts w:ascii="Arial" w:cs="Arial" w:eastAsia="Arial" w:hAnsi="Arial"/>
                <w:sz w:val="14"/>
                <w:szCs w:val="14"/>
                <w:color w:val="auto"/>
              </w:rPr>
              <w:t>$700,000</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100%</w:t>
            </w:r>
          </w:p>
        </w:tc>
        <w:tc>
          <w:tcPr>
            <w:tcW w:w="1780" w:type="dxa"/>
            <w:vAlign w:val="bottom"/>
          </w:tcPr>
          <w:p>
            <w:pPr>
              <w:jc w:val="right"/>
              <w:ind w:right="108"/>
              <w:spacing w:after="0"/>
              <w:rPr>
                <w:sz w:val="20"/>
                <w:szCs w:val="20"/>
                <w:color w:val="auto"/>
              </w:rPr>
            </w:pPr>
            <w:r>
              <w:rPr>
                <w:rFonts w:ascii="Arial" w:cs="Arial" w:eastAsia="Arial" w:hAnsi="Arial"/>
                <w:sz w:val="14"/>
                <w:szCs w:val="14"/>
                <w:color w:val="auto"/>
              </w:rPr>
              <w:t>$700,000</w:t>
            </w:r>
          </w:p>
        </w:tc>
      </w:tr>
      <w:tr>
        <w:trPr>
          <w:trHeight w:val="83"/>
        </w:trPr>
        <w:tc>
          <w:tcPr>
            <w:tcW w:w="2980" w:type="dxa"/>
            <w:vAlign w:val="bottom"/>
            <w:tcBorders>
              <w:bottom w:val="single" w:sz="8" w:color="666666"/>
            </w:tcBorders>
          </w:tcPr>
          <w:p>
            <w:pPr>
              <w:spacing w:after="0"/>
              <w:rPr>
                <w:sz w:val="7"/>
                <w:szCs w:val="7"/>
                <w:color w:val="auto"/>
              </w:rPr>
            </w:pPr>
          </w:p>
        </w:tc>
        <w:tc>
          <w:tcPr>
            <w:tcW w:w="2420" w:type="dxa"/>
            <w:vAlign w:val="bottom"/>
            <w:tcBorders>
              <w:bottom w:val="single" w:sz="8" w:color="666666"/>
            </w:tcBorders>
          </w:tcPr>
          <w:p>
            <w:pPr>
              <w:spacing w:after="0"/>
              <w:rPr>
                <w:sz w:val="7"/>
                <w:szCs w:val="7"/>
                <w:color w:val="auto"/>
              </w:rPr>
            </w:pPr>
          </w:p>
        </w:tc>
        <w:tc>
          <w:tcPr>
            <w:tcW w:w="2220" w:type="dxa"/>
            <w:vAlign w:val="bottom"/>
            <w:tcBorders>
              <w:bottom w:val="single" w:sz="8" w:color="666666"/>
            </w:tcBorders>
          </w:tcPr>
          <w:p>
            <w:pPr>
              <w:spacing w:after="0"/>
              <w:rPr>
                <w:sz w:val="7"/>
                <w:szCs w:val="7"/>
                <w:color w:val="auto"/>
              </w:rPr>
            </w:pPr>
          </w:p>
        </w:tc>
        <w:tc>
          <w:tcPr>
            <w:tcW w:w="1780" w:type="dxa"/>
            <w:vAlign w:val="bottom"/>
            <w:tcBorders>
              <w:bottom w:val="single" w:sz="8" w:color="666666"/>
            </w:tcBorders>
          </w:tcPr>
          <w:p>
            <w:pPr>
              <w:spacing w:after="0"/>
              <w:rPr>
                <w:sz w:val="7"/>
                <w:szCs w:val="7"/>
                <w:color w:val="auto"/>
              </w:rPr>
            </w:pPr>
          </w:p>
        </w:tc>
      </w:tr>
      <w:tr>
        <w:trPr>
          <w:trHeight w:val="288"/>
        </w:trPr>
        <w:tc>
          <w:tcPr>
            <w:tcW w:w="2980" w:type="dxa"/>
            <w:vAlign w:val="bottom"/>
          </w:tcPr>
          <w:p>
            <w:pPr>
              <w:ind w:left="260"/>
              <w:spacing w:after="0"/>
              <w:rPr>
                <w:sz w:val="20"/>
                <w:szCs w:val="20"/>
                <w:color w:val="auto"/>
              </w:rPr>
            </w:pPr>
            <w:r>
              <w:rPr>
                <w:rFonts w:ascii="Arial" w:cs="Arial" w:eastAsia="Arial" w:hAnsi="Arial"/>
                <w:sz w:val="14"/>
                <w:szCs w:val="14"/>
                <w:b w:val="1"/>
                <w:bCs w:val="1"/>
                <w:color w:val="auto"/>
              </w:rPr>
              <w:t>Alex Kim</w:t>
            </w:r>
          </w:p>
        </w:tc>
        <w:tc>
          <w:tcPr>
            <w:tcW w:w="2420" w:type="dxa"/>
            <w:vAlign w:val="bottom"/>
          </w:tcPr>
          <w:p>
            <w:pPr>
              <w:jc w:val="right"/>
              <w:ind w:right="488"/>
              <w:spacing w:after="0"/>
              <w:rPr>
                <w:sz w:val="20"/>
                <w:szCs w:val="20"/>
                <w:color w:val="auto"/>
              </w:rPr>
            </w:pPr>
            <w:r>
              <w:rPr>
                <w:rFonts w:ascii="Arial" w:cs="Arial" w:eastAsia="Arial" w:hAnsi="Arial"/>
                <w:sz w:val="14"/>
                <w:szCs w:val="14"/>
                <w:color w:val="auto"/>
              </w:rPr>
              <w:t>$500,000</w:t>
            </w:r>
          </w:p>
        </w:tc>
        <w:tc>
          <w:tcPr>
            <w:tcW w:w="2220" w:type="dxa"/>
            <w:vAlign w:val="bottom"/>
          </w:tcPr>
          <w:p>
            <w:pPr>
              <w:jc w:val="right"/>
              <w:ind w:right="348"/>
              <w:spacing w:after="0"/>
              <w:rPr>
                <w:sz w:val="20"/>
                <w:szCs w:val="20"/>
                <w:color w:val="auto"/>
              </w:rPr>
            </w:pPr>
            <w:r>
              <w:rPr>
                <w:rFonts w:ascii="Arial" w:cs="Arial" w:eastAsia="Arial" w:hAnsi="Arial"/>
                <w:sz w:val="14"/>
                <w:szCs w:val="14"/>
                <w:color w:val="auto"/>
              </w:rPr>
              <w:t>60%</w:t>
            </w:r>
          </w:p>
        </w:tc>
        <w:tc>
          <w:tcPr>
            <w:tcW w:w="1780" w:type="dxa"/>
            <w:vAlign w:val="bottom"/>
          </w:tcPr>
          <w:p>
            <w:pPr>
              <w:jc w:val="right"/>
              <w:ind w:right="108"/>
              <w:spacing w:after="0"/>
              <w:rPr>
                <w:sz w:val="20"/>
                <w:szCs w:val="20"/>
                <w:color w:val="auto"/>
              </w:rPr>
            </w:pPr>
            <w:r>
              <w:rPr>
                <w:rFonts w:ascii="Arial" w:cs="Arial" w:eastAsia="Arial" w:hAnsi="Arial"/>
                <w:sz w:val="14"/>
                <w:szCs w:val="14"/>
                <w:color w:val="auto"/>
              </w:rPr>
              <w:t>$300,000</w:t>
            </w:r>
          </w:p>
        </w:tc>
      </w:tr>
      <w:tr>
        <w:trPr>
          <w:trHeight w:val="83"/>
        </w:trPr>
        <w:tc>
          <w:tcPr>
            <w:tcW w:w="2980" w:type="dxa"/>
            <w:vAlign w:val="bottom"/>
            <w:tcBorders>
              <w:bottom w:val="single" w:sz="8" w:color="666666"/>
            </w:tcBorders>
          </w:tcPr>
          <w:p>
            <w:pPr>
              <w:spacing w:after="0"/>
              <w:rPr>
                <w:sz w:val="7"/>
                <w:szCs w:val="7"/>
                <w:color w:val="auto"/>
              </w:rPr>
            </w:pPr>
          </w:p>
        </w:tc>
        <w:tc>
          <w:tcPr>
            <w:tcW w:w="2420" w:type="dxa"/>
            <w:vAlign w:val="bottom"/>
            <w:tcBorders>
              <w:bottom w:val="single" w:sz="8" w:color="666666"/>
            </w:tcBorders>
          </w:tcPr>
          <w:p>
            <w:pPr>
              <w:spacing w:after="0"/>
              <w:rPr>
                <w:sz w:val="7"/>
                <w:szCs w:val="7"/>
                <w:color w:val="auto"/>
              </w:rPr>
            </w:pPr>
          </w:p>
        </w:tc>
        <w:tc>
          <w:tcPr>
            <w:tcW w:w="2220" w:type="dxa"/>
            <w:vAlign w:val="bottom"/>
            <w:tcBorders>
              <w:bottom w:val="single" w:sz="8" w:color="666666"/>
            </w:tcBorders>
          </w:tcPr>
          <w:p>
            <w:pPr>
              <w:spacing w:after="0"/>
              <w:rPr>
                <w:sz w:val="7"/>
                <w:szCs w:val="7"/>
                <w:color w:val="auto"/>
              </w:rPr>
            </w:pPr>
          </w:p>
        </w:tc>
        <w:tc>
          <w:tcPr>
            <w:tcW w:w="1780" w:type="dxa"/>
            <w:vAlign w:val="bottom"/>
            <w:tcBorders>
              <w:bottom w:val="single" w:sz="8" w:color="666666"/>
            </w:tcBorders>
          </w:tcPr>
          <w:p>
            <w:pPr>
              <w:spacing w:after="0"/>
              <w:rPr>
                <w:sz w:val="7"/>
                <w:szCs w:val="7"/>
                <w:color w:val="auto"/>
              </w:rPr>
            </w:pPr>
          </w:p>
        </w:tc>
      </w:tr>
      <w:tr>
        <w:trPr>
          <w:trHeight w:val="399"/>
        </w:trPr>
        <w:tc>
          <w:tcPr>
            <w:tcW w:w="298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Sean Mackay</w:t>
            </w:r>
            <w:r>
              <w:rPr>
                <w:rFonts w:ascii="Arial" w:cs="Arial" w:eastAsia="Arial" w:hAnsi="Arial"/>
                <w:sz w:val="23"/>
                <w:szCs w:val="23"/>
                <w:b w:val="1"/>
                <w:bCs w:val="1"/>
                <w:color w:val="auto"/>
                <w:vertAlign w:val="superscript"/>
              </w:rPr>
              <w:t>(1)</w:t>
            </w:r>
          </w:p>
        </w:tc>
        <w:tc>
          <w:tcPr>
            <w:tcW w:w="2420" w:type="dxa"/>
            <w:vAlign w:val="bottom"/>
            <w:tcBorders>
              <w:bottom w:val="single" w:sz="8" w:color="666666"/>
            </w:tcBorders>
          </w:tcPr>
          <w:p>
            <w:pPr>
              <w:jc w:val="right"/>
              <w:ind w:right="488"/>
              <w:spacing w:after="0"/>
              <w:rPr>
                <w:sz w:val="20"/>
                <w:szCs w:val="20"/>
                <w:color w:val="auto"/>
              </w:rPr>
            </w:pPr>
            <w:r>
              <w:rPr>
                <w:rFonts w:ascii="Arial" w:cs="Arial" w:eastAsia="Arial" w:hAnsi="Arial"/>
                <w:sz w:val="14"/>
                <w:szCs w:val="14"/>
                <w:color w:val="auto"/>
              </w:rPr>
              <w:t>$475,000</w:t>
            </w:r>
          </w:p>
        </w:tc>
        <w:tc>
          <w:tcPr>
            <w:tcW w:w="2220" w:type="dxa"/>
            <w:vAlign w:val="bottom"/>
            <w:tcBorders>
              <w:bottom w:val="single" w:sz="8" w:color="666666"/>
            </w:tcBorders>
          </w:tcPr>
          <w:p>
            <w:pPr>
              <w:jc w:val="right"/>
              <w:ind w:right="348"/>
              <w:spacing w:after="0"/>
              <w:rPr>
                <w:sz w:val="20"/>
                <w:szCs w:val="20"/>
                <w:color w:val="auto"/>
              </w:rPr>
            </w:pPr>
            <w:r>
              <w:rPr>
                <w:rFonts w:ascii="Arial" w:cs="Arial" w:eastAsia="Arial" w:hAnsi="Arial"/>
                <w:sz w:val="14"/>
                <w:szCs w:val="14"/>
                <w:color w:val="auto"/>
              </w:rPr>
              <w:t>60%</w:t>
            </w:r>
          </w:p>
        </w:tc>
        <w:tc>
          <w:tcPr>
            <w:tcW w:w="1780" w:type="dxa"/>
            <w:vAlign w:val="bottom"/>
            <w:tcBorders>
              <w:bottom w:val="single" w:sz="8" w:color="666666"/>
            </w:tcBorders>
          </w:tcPr>
          <w:p>
            <w:pPr>
              <w:jc w:val="right"/>
              <w:ind w:right="108"/>
              <w:spacing w:after="0"/>
              <w:rPr>
                <w:sz w:val="20"/>
                <w:szCs w:val="20"/>
                <w:color w:val="auto"/>
              </w:rPr>
            </w:pPr>
            <w:r>
              <w:rPr>
                <w:rFonts w:ascii="Arial" w:cs="Arial" w:eastAsia="Arial" w:hAnsi="Arial"/>
                <w:sz w:val="14"/>
                <w:szCs w:val="14"/>
                <w:color w:val="auto"/>
              </w:rPr>
              <w:t>$285,000</w:t>
            </w:r>
          </w:p>
        </w:tc>
      </w:tr>
      <w:tr>
        <w:trPr>
          <w:trHeight w:val="385"/>
        </w:trPr>
        <w:tc>
          <w:tcPr>
            <w:tcW w:w="2980" w:type="dxa"/>
            <w:vAlign w:val="bottom"/>
            <w:tcBorders>
              <w:bottom w:val="single" w:sz="8" w:color="24356E"/>
            </w:tcBorders>
          </w:tcPr>
          <w:p>
            <w:pPr>
              <w:ind w:left="260"/>
              <w:spacing w:after="0"/>
              <w:rPr>
                <w:sz w:val="20"/>
                <w:szCs w:val="20"/>
                <w:color w:val="auto"/>
              </w:rPr>
            </w:pPr>
            <w:r>
              <w:rPr>
                <w:rFonts w:ascii="Arial" w:cs="Arial" w:eastAsia="Arial" w:hAnsi="Arial"/>
                <w:sz w:val="14"/>
                <w:szCs w:val="14"/>
                <w:b w:val="1"/>
                <w:bCs w:val="1"/>
                <w:color w:val="auto"/>
              </w:rPr>
              <w:t>Jeffrey Black</w:t>
            </w:r>
            <w:r>
              <w:rPr>
                <w:rFonts w:ascii="Arial" w:cs="Arial" w:eastAsia="Arial" w:hAnsi="Arial"/>
                <w:sz w:val="23"/>
                <w:szCs w:val="23"/>
                <w:b w:val="1"/>
                <w:bCs w:val="1"/>
                <w:color w:val="auto"/>
                <w:vertAlign w:val="superscript"/>
              </w:rPr>
              <w:t>(2)</w:t>
            </w:r>
          </w:p>
        </w:tc>
        <w:tc>
          <w:tcPr>
            <w:tcW w:w="2420" w:type="dxa"/>
            <w:vAlign w:val="bottom"/>
            <w:tcBorders>
              <w:bottom w:val="single" w:sz="8" w:color="24356E"/>
            </w:tcBorders>
          </w:tcPr>
          <w:p>
            <w:pPr>
              <w:jc w:val="right"/>
              <w:ind w:right="488"/>
              <w:spacing w:after="0"/>
              <w:rPr>
                <w:sz w:val="20"/>
                <w:szCs w:val="20"/>
                <w:color w:val="auto"/>
              </w:rPr>
            </w:pPr>
            <w:r>
              <w:rPr>
                <w:rFonts w:ascii="Arial" w:cs="Arial" w:eastAsia="Arial" w:hAnsi="Arial"/>
                <w:sz w:val="14"/>
                <w:szCs w:val="14"/>
                <w:color w:val="auto"/>
              </w:rPr>
              <w:t>$450,000</w:t>
            </w:r>
          </w:p>
        </w:tc>
        <w:tc>
          <w:tcPr>
            <w:tcW w:w="2220" w:type="dxa"/>
            <w:vAlign w:val="bottom"/>
            <w:tcBorders>
              <w:bottom w:val="single" w:sz="8" w:color="24356E"/>
            </w:tcBorders>
          </w:tcPr>
          <w:p>
            <w:pPr>
              <w:jc w:val="right"/>
              <w:ind w:right="348"/>
              <w:spacing w:after="0"/>
              <w:rPr>
                <w:sz w:val="20"/>
                <w:szCs w:val="20"/>
                <w:color w:val="auto"/>
              </w:rPr>
            </w:pPr>
            <w:r>
              <w:rPr>
                <w:rFonts w:ascii="Arial" w:cs="Arial" w:eastAsia="Arial" w:hAnsi="Arial"/>
                <w:sz w:val="14"/>
                <w:szCs w:val="14"/>
                <w:color w:val="auto"/>
              </w:rPr>
              <w:t>60%</w:t>
            </w:r>
          </w:p>
        </w:tc>
        <w:tc>
          <w:tcPr>
            <w:tcW w:w="1780" w:type="dxa"/>
            <w:vAlign w:val="bottom"/>
            <w:tcBorders>
              <w:bottom w:val="single" w:sz="8" w:color="24356E"/>
            </w:tcBorders>
          </w:tcPr>
          <w:p>
            <w:pPr>
              <w:jc w:val="right"/>
              <w:ind w:right="108"/>
              <w:spacing w:after="0"/>
              <w:rPr>
                <w:sz w:val="20"/>
                <w:szCs w:val="20"/>
                <w:color w:val="auto"/>
              </w:rPr>
            </w:pPr>
            <w:r>
              <w:rPr>
                <w:rFonts w:ascii="Arial" w:cs="Arial" w:eastAsia="Arial" w:hAnsi="Arial"/>
                <w:sz w:val="14"/>
                <w:szCs w:val="14"/>
                <w:color w:val="auto"/>
              </w:rPr>
              <w:t>$270,000</w:t>
            </w:r>
          </w:p>
        </w:tc>
      </w:tr>
    </w:tbl>
    <w:p>
      <w:pPr>
        <w:spacing w:after="0" w:line="144" w:lineRule="exact"/>
        <w:rPr>
          <w:sz w:val="20"/>
          <w:szCs w:val="20"/>
          <w:color w:val="auto"/>
        </w:rPr>
      </w:pPr>
    </w:p>
    <w:p>
      <w:pPr>
        <w:ind w:left="360" w:hanging="354"/>
        <w:spacing w:after="0"/>
        <w:tabs>
          <w:tab w:leader="none" w:pos="36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Mr. Mackay’s target award opportunity was prorated based on his May 2024 hire date.</w:t>
      </w:r>
    </w:p>
    <w:p>
      <w:pPr>
        <w:spacing w:after="0" w:line="39" w:lineRule="exact"/>
        <w:rPr>
          <w:rFonts w:ascii="Arial" w:cs="Arial" w:eastAsia="Arial" w:hAnsi="Arial"/>
          <w:sz w:val="13"/>
          <w:szCs w:val="13"/>
          <w:b w:val="1"/>
          <w:bCs w:val="1"/>
          <w:color w:val="auto"/>
        </w:rPr>
      </w:pPr>
    </w:p>
    <w:p>
      <w:pPr>
        <w:ind w:left="360" w:right="440" w:hanging="354"/>
        <w:spacing w:after="0" w:line="252" w:lineRule="auto"/>
        <w:tabs>
          <w:tab w:leader="none" w:pos="36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Mr. Black resigned from the Company as its Chief Financial Officer, effective August 31, 2024. He did not receive an award payout from the cash incentive program for 2024.</w:t>
      </w:r>
    </w:p>
    <w:p>
      <w:pPr>
        <w:spacing w:after="0" w:line="12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u w:val="single" w:color="auto"/>
          <w:color w:val="auto"/>
        </w:rPr>
        <w:t>Performance Measures and Results.</w:t>
      </w:r>
      <w:r>
        <w:rPr>
          <w:rFonts w:ascii="Arial" w:cs="Arial" w:eastAsia="Arial" w:hAnsi="Arial"/>
          <w:sz w:val="16"/>
          <w:szCs w:val="16"/>
          <w:color w:val="auto"/>
        </w:rPr>
        <w:t xml:space="preserve"> </w:t>
      </w:r>
      <w:r>
        <w:rPr>
          <w:rFonts w:ascii="Arial" w:cs="Arial" w:eastAsia="Arial" w:hAnsi="Arial"/>
          <w:sz w:val="16"/>
          <w:szCs w:val="16"/>
          <w:color w:val="333333"/>
        </w:rPr>
        <w:t>The 2024 Cash Incentive Program was designed to align executive compensation with key</w:t>
      </w:r>
      <w:r>
        <w:rPr>
          <w:rFonts w:ascii="Arial" w:cs="Arial" w:eastAsia="Arial" w:hAnsi="Arial"/>
          <w:sz w:val="16"/>
          <w:szCs w:val="16"/>
          <w:color w:val="auto"/>
        </w:rPr>
        <w:t xml:space="preserve"> </w:t>
      </w:r>
      <w:r>
        <w:rPr>
          <w:rFonts w:ascii="Arial" w:cs="Arial" w:eastAsia="Arial" w:hAnsi="Arial"/>
          <w:sz w:val="16"/>
          <w:szCs w:val="16"/>
          <w:color w:val="333333"/>
        </w:rPr>
        <w:t>financial and operational priorities critical to the Company’s success. To drive sustainable growth and operational efficiency, cash incentive awards were based on the achievement of revenue targets and the realization of annualized cost synergies related to the merger with SomaLogic. Revenue serves as a fundamental measure of the Company’s ability to expand its market presence, execute its commercial strategy, and generate top-line growth. Tying incentives to revenue ensures that our executives remain focused on driving sales performance, strengthening customer relationships, and capturing market opportunities. In addition to revenue, our cash incentive program incorporated annualized cost synergies as a performance measure to reinforce the importance of operational discipline following the merger with SomaLogic. Cost synergies reflect the Company’s ability to integrate operations effectively, streamline expenses, and unlock efficiencies that contribute to long-term profitability. By including this metric, the program incentivizes leadership to execute on post-merger integration objectives while maintaining financial discipline. Together, these measures balance growth and efficiency, ensuring that incentive payouts are aligned with both revenue expansion and cost optimization, two critical drivers of long-term value creation.</w:t>
      </w:r>
    </w:p>
    <w:p>
      <w:pPr>
        <w:spacing w:after="0" w:line="130"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333333"/>
        </w:rPr>
        <w:t>To evaluate performance under the 2024 Cash Incentive Program, the Human Capital Committee assesses each measure independently versus predetermined targets goals. For 2024, the target revenue goal was $205 million, and the target annualized cost synergies goal was $57 million. Participants in the program were eligible to earn up to 138% of the target payout if the maximum goals were achieved under both measures. In consideration of the goals, and based on actual revenue achievement of $174.4 million and actual cost synergies achievement of $80 million, the Human Capital Committee determined in January 2025 that a payout of 70% of the target amount for each NEO was appropriate.</w:t>
      </w:r>
    </w:p>
    <w:p>
      <w:pPr>
        <w:spacing w:after="0" w:line="12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333333"/>
        </w:rPr>
        <w:t>Under the cash incentive program, the Human Capital Committee retains discretion to pay or eliminate bonuses, including payments under this program, irrespective of achievement of the pre-established goals. We believe that maintaining this flexibility is helpful in ensuring that executive officers are neither rewarded nor penalized as a result of unusual circumstances not foreseeable at the time the goals were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3"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333333"/>
        </w:rPr>
        <w:t>Based on the performance results described above, actual cash incentive program awards paid to the NEOs who were active at the end of 2024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120" w:type="dxa"/>
            <w:vAlign w:val="bottom"/>
            <w:shd w:val="clear" w:color="auto" w:fill="24356E"/>
          </w:tcPr>
          <w:p>
            <w:pPr>
              <w:spacing w:after="0"/>
              <w:rPr>
                <w:sz w:val="24"/>
                <w:szCs w:val="24"/>
                <w:color w:val="auto"/>
              </w:rPr>
            </w:pPr>
          </w:p>
        </w:tc>
        <w:tc>
          <w:tcPr>
            <w:tcW w:w="1880" w:type="dxa"/>
            <w:vAlign w:val="bottom"/>
            <w:shd w:val="clear" w:color="auto" w:fill="24356E"/>
          </w:tcPr>
          <w:p>
            <w:pPr>
              <w:jc w:val="right"/>
              <w:ind w:right="248"/>
              <w:spacing w:after="0"/>
              <w:rPr>
                <w:sz w:val="20"/>
                <w:szCs w:val="20"/>
                <w:color w:val="auto"/>
              </w:rPr>
            </w:pPr>
            <w:r>
              <w:rPr>
                <w:rFonts w:ascii="Arial" w:cs="Arial" w:eastAsia="Arial" w:hAnsi="Arial"/>
                <w:sz w:val="14"/>
                <w:szCs w:val="14"/>
                <w:color w:val="FFFFFF"/>
              </w:rPr>
              <w:t>2024 Target Bonus</w:t>
            </w:r>
          </w:p>
        </w:tc>
        <w:tc>
          <w:tcPr>
            <w:tcW w:w="1820" w:type="dxa"/>
            <w:vAlign w:val="bottom"/>
            <w:shd w:val="clear" w:color="auto" w:fill="24356E"/>
          </w:tcPr>
          <w:p>
            <w:pPr>
              <w:jc w:val="right"/>
              <w:ind w:right="248"/>
              <w:spacing w:after="0"/>
              <w:rPr>
                <w:sz w:val="20"/>
                <w:szCs w:val="20"/>
                <w:color w:val="auto"/>
              </w:rPr>
            </w:pPr>
            <w:r>
              <w:rPr>
                <w:rFonts w:ascii="Arial" w:cs="Arial" w:eastAsia="Arial" w:hAnsi="Arial"/>
                <w:sz w:val="14"/>
                <w:szCs w:val="14"/>
                <w:color w:val="FFFFFF"/>
              </w:rPr>
              <w:t>2024 Target Bonus</w:t>
            </w:r>
          </w:p>
        </w:tc>
        <w:tc>
          <w:tcPr>
            <w:tcW w:w="1760" w:type="dxa"/>
            <w:vAlign w:val="bottom"/>
            <w:shd w:val="clear" w:color="auto" w:fill="24356E"/>
          </w:tcPr>
          <w:p>
            <w:pPr>
              <w:jc w:val="right"/>
              <w:ind w:right="268"/>
              <w:spacing w:after="0"/>
              <w:rPr>
                <w:sz w:val="20"/>
                <w:szCs w:val="20"/>
                <w:color w:val="auto"/>
              </w:rPr>
            </w:pPr>
            <w:r>
              <w:rPr>
                <w:rFonts w:ascii="Arial" w:cs="Arial" w:eastAsia="Arial" w:hAnsi="Arial"/>
                <w:sz w:val="14"/>
                <w:szCs w:val="14"/>
                <w:color w:val="FFFFFF"/>
              </w:rPr>
              <w:t>Final Funding</w:t>
            </w:r>
          </w:p>
        </w:tc>
        <w:tc>
          <w:tcPr>
            <w:tcW w:w="1820" w:type="dxa"/>
            <w:vAlign w:val="bottom"/>
            <w:shd w:val="clear" w:color="auto" w:fill="24356E"/>
          </w:tcPr>
          <w:p>
            <w:pPr>
              <w:ind w:left="300"/>
              <w:spacing w:after="0"/>
              <w:rPr>
                <w:sz w:val="20"/>
                <w:szCs w:val="20"/>
                <w:color w:val="auto"/>
              </w:rPr>
            </w:pPr>
            <w:r>
              <w:rPr>
                <w:rFonts w:ascii="Arial" w:cs="Arial" w:eastAsia="Arial" w:hAnsi="Arial"/>
                <w:sz w:val="14"/>
                <w:szCs w:val="14"/>
                <w:color w:val="FFFFFF"/>
              </w:rPr>
              <w:t>2024 Cash Incentive</w:t>
            </w:r>
          </w:p>
        </w:tc>
      </w:tr>
      <w:tr>
        <w:trPr>
          <w:trHeight w:val="190"/>
        </w:trPr>
        <w:tc>
          <w:tcPr>
            <w:tcW w:w="2120" w:type="dxa"/>
            <w:vAlign w:val="bottom"/>
            <w:shd w:val="clear" w:color="auto" w:fill="24356E"/>
          </w:tcPr>
          <w:p>
            <w:pPr>
              <w:ind w:left="240"/>
              <w:spacing w:after="0"/>
              <w:rPr>
                <w:sz w:val="20"/>
                <w:szCs w:val="20"/>
                <w:color w:val="auto"/>
              </w:rPr>
            </w:pPr>
            <w:r>
              <w:rPr>
                <w:rFonts w:ascii="Arial" w:cs="Arial" w:eastAsia="Arial" w:hAnsi="Arial"/>
                <w:sz w:val="14"/>
                <w:szCs w:val="14"/>
                <w:color w:val="FFFFFF"/>
              </w:rPr>
              <w:t>Name</w:t>
            </w:r>
          </w:p>
        </w:tc>
        <w:tc>
          <w:tcPr>
            <w:tcW w:w="1880" w:type="dxa"/>
            <w:vAlign w:val="bottom"/>
            <w:shd w:val="clear" w:color="auto" w:fill="24356E"/>
          </w:tcPr>
          <w:p>
            <w:pPr>
              <w:jc w:val="right"/>
              <w:ind w:right="208"/>
              <w:spacing w:after="0"/>
              <w:rPr>
                <w:sz w:val="20"/>
                <w:szCs w:val="20"/>
                <w:color w:val="auto"/>
              </w:rPr>
            </w:pPr>
            <w:r>
              <w:rPr>
                <w:rFonts w:ascii="Arial" w:cs="Arial" w:eastAsia="Arial" w:hAnsi="Arial"/>
                <w:sz w:val="14"/>
                <w:szCs w:val="14"/>
                <w:color w:val="FFFFFF"/>
              </w:rPr>
              <w:t>Opportunity (%)</w:t>
            </w:r>
          </w:p>
        </w:tc>
        <w:tc>
          <w:tcPr>
            <w:tcW w:w="1820" w:type="dxa"/>
            <w:vAlign w:val="bottom"/>
            <w:shd w:val="clear" w:color="auto" w:fill="24356E"/>
          </w:tcPr>
          <w:p>
            <w:pPr>
              <w:jc w:val="right"/>
              <w:ind w:right="248"/>
              <w:spacing w:after="0"/>
              <w:rPr>
                <w:sz w:val="20"/>
                <w:szCs w:val="20"/>
                <w:color w:val="auto"/>
              </w:rPr>
            </w:pPr>
            <w:r>
              <w:rPr>
                <w:rFonts w:ascii="Arial" w:cs="Arial" w:eastAsia="Arial" w:hAnsi="Arial"/>
                <w:sz w:val="14"/>
                <w:szCs w:val="14"/>
                <w:color w:val="FFFFFF"/>
              </w:rPr>
              <w:t>Opportunity ($)</w:t>
            </w:r>
          </w:p>
        </w:tc>
        <w:tc>
          <w:tcPr>
            <w:tcW w:w="1760" w:type="dxa"/>
            <w:vAlign w:val="bottom"/>
            <w:shd w:val="clear" w:color="auto" w:fill="24356E"/>
          </w:tcPr>
          <w:p>
            <w:pPr>
              <w:jc w:val="right"/>
              <w:ind w:right="228"/>
              <w:spacing w:after="0"/>
              <w:rPr>
                <w:sz w:val="20"/>
                <w:szCs w:val="20"/>
                <w:color w:val="auto"/>
              </w:rPr>
            </w:pPr>
            <w:r>
              <w:rPr>
                <w:rFonts w:ascii="Arial" w:cs="Arial" w:eastAsia="Arial" w:hAnsi="Arial"/>
                <w:sz w:val="14"/>
                <w:szCs w:val="14"/>
                <w:color w:val="FFFFFF"/>
              </w:rPr>
              <w:t>(as a % of Target)</w:t>
            </w:r>
          </w:p>
        </w:tc>
        <w:tc>
          <w:tcPr>
            <w:tcW w:w="1820" w:type="dxa"/>
            <w:vAlign w:val="bottom"/>
            <w:shd w:val="clear" w:color="auto" w:fill="24356E"/>
          </w:tcPr>
          <w:p>
            <w:pPr>
              <w:ind w:left="1000"/>
              <w:spacing w:after="0"/>
              <w:rPr>
                <w:sz w:val="20"/>
                <w:szCs w:val="20"/>
                <w:color w:val="auto"/>
              </w:rPr>
            </w:pPr>
            <w:r>
              <w:rPr>
                <w:rFonts w:ascii="Arial" w:cs="Arial" w:eastAsia="Arial" w:hAnsi="Arial"/>
                <w:sz w:val="14"/>
                <w:szCs w:val="14"/>
                <w:color w:val="FFFFFF"/>
              </w:rPr>
              <w:t>Payout ($)</w:t>
            </w:r>
          </w:p>
        </w:tc>
      </w:tr>
      <w:tr>
        <w:trPr>
          <w:trHeight w:val="89"/>
        </w:trPr>
        <w:tc>
          <w:tcPr>
            <w:tcW w:w="2120" w:type="dxa"/>
            <w:vAlign w:val="bottom"/>
            <w:shd w:val="clear" w:color="auto" w:fill="24356E"/>
          </w:tcPr>
          <w:p>
            <w:pPr>
              <w:spacing w:after="0"/>
              <w:rPr>
                <w:sz w:val="7"/>
                <w:szCs w:val="7"/>
                <w:color w:val="auto"/>
              </w:rPr>
            </w:pPr>
          </w:p>
        </w:tc>
        <w:tc>
          <w:tcPr>
            <w:tcW w:w="1880" w:type="dxa"/>
            <w:vAlign w:val="bottom"/>
            <w:shd w:val="clear" w:color="auto" w:fill="24356E"/>
          </w:tcPr>
          <w:p>
            <w:pPr>
              <w:spacing w:after="0"/>
              <w:rPr>
                <w:sz w:val="7"/>
                <w:szCs w:val="7"/>
                <w:color w:val="auto"/>
              </w:rPr>
            </w:pPr>
          </w:p>
        </w:tc>
        <w:tc>
          <w:tcPr>
            <w:tcW w:w="1820" w:type="dxa"/>
            <w:vAlign w:val="bottom"/>
            <w:shd w:val="clear" w:color="auto" w:fill="24356E"/>
          </w:tcPr>
          <w:p>
            <w:pPr>
              <w:spacing w:after="0"/>
              <w:rPr>
                <w:sz w:val="7"/>
                <w:szCs w:val="7"/>
                <w:color w:val="auto"/>
              </w:rPr>
            </w:pPr>
          </w:p>
        </w:tc>
        <w:tc>
          <w:tcPr>
            <w:tcW w:w="1760" w:type="dxa"/>
            <w:vAlign w:val="bottom"/>
            <w:shd w:val="clear" w:color="auto" w:fill="24356E"/>
          </w:tcPr>
          <w:p>
            <w:pPr>
              <w:spacing w:after="0"/>
              <w:rPr>
                <w:sz w:val="7"/>
                <w:szCs w:val="7"/>
                <w:color w:val="auto"/>
              </w:rPr>
            </w:pPr>
          </w:p>
        </w:tc>
        <w:tc>
          <w:tcPr>
            <w:tcW w:w="1820" w:type="dxa"/>
            <w:vAlign w:val="bottom"/>
            <w:shd w:val="clear" w:color="auto" w:fill="24356E"/>
          </w:tcPr>
          <w:p>
            <w:pPr>
              <w:spacing w:after="0"/>
              <w:rPr>
                <w:sz w:val="7"/>
                <w:szCs w:val="7"/>
                <w:color w:val="auto"/>
              </w:rPr>
            </w:pPr>
          </w:p>
        </w:tc>
      </w:tr>
      <w:tr>
        <w:trPr>
          <w:trHeight w:val="295"/>
        </w:trPr>
        <w:tc>
          <w:tcPr>
            <w:tcW w:w="2120" w:type="dxa"/>
            <w:vAlign w:val="bottom"/>
          </w:tcPr>
          <w:p>
            <w:pPr>
              <w:ind w:left="240"/>
              <w:spacing w:after="0"/>
              <w:rPr>
                <w:sz w:val="20"/>
                <w:szCs w:val="20"/>
                <w:color w:val="auto"/>
              </w:rPr>
            </w:pPr>
            <w:r>
              <w:rPr>
                <w:rFonts w:ascii="Arial" w:cs="Arial" w:eastAsia="Arial" w:hAnsi="Arial"/>
                <w:sz w:val="14"/>
                <w:szCs w:val="14"/>
                <w:b w:val="1"/>
                <w:bCs w:val="1"/>
                <w:color w:val="auto"/>
              </w:rPr>
              <w:t>Michael Egholm, Ph.D.</w:t>
            </w:r>
          </w:p>
        </w:tc>
        <w:tc>
          <w:tcPr>
            <w:tcW w:w="1880" w:type="dxa"/>
            <w:vAlign w:val="bottom"/>
          </w:tcPr>
          <w:p>
            <w:pPr>
              <w:jc w:val="right"/>
              <w:ind w:right="228"/>
              <w:spacing w:after="0"/>
              <w:rPr>
                <w:sz w:val="20"/>
                <w:szCs w:val="20"/>
                <w:color w:val="auto"/>
              </w:rPr>
            </w:pPr>
            <w:r>
              <w:rPr>
                <w:rFonts w:ascii="Arial" w:cs="Arial" w:eastAsia="Arial" w:hAnsi="Arial"/>
                <w:sz w:val="14"/>
                <w:szCs w:val="14"/>
                <w:color w:val="auto"/>
              </w:rPr>
              <w:t>100%</w:t>
            </w:r>
          </w:p>
        </w:tc>
        <w:tc>
          <w:tcPr>
            <w:tcW w:w="1820" w:type="dxa"/>
            <w:vAlign w:val="bottom"/>
          </w:tcPr>
          <w:p>
            <w:pPr>
              <w:jc w:val="right"/>
              <w:ind w:right="268"/>
              <w:spacing w:after="0"/>
              <w:rPr>
                <w:sz w:val="20"/>
                <w:szCs w:val="20"/>
                <w:color w:val="auto"/>
              </w:rPr>
            </w:pPr>
            <w:r>
              <w:rPr>
                <w:rFonts w:ascii="Arial" w:cs="Arial" w:eastAsia="Arial" w:hAnsi="Arial"/>
                <w:sz w:val="14"/>
                <w:szCs w:val="14"/>
                <w:color w:val="auto"/>
              </w:rPr>
              <w:t>$700,000</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70%</w:t>
            </w:r>
          </w:p>
        </w:tc>
        <w:tc>
          <w:tcPr>
            <w:tcW w:w="1820" w:type="dxa"/>
            <w:vAlign w:val="bottom"/>
          </w:tcPr>
          <w:p>
            <w:pPr>
              <w:ind w:left="980"/>
              <w:spacing w:after="0"/>
              <w:rPr>
                <w:sz w:val="20"/>
                <w:szCs w:val="20"/>
                <w:color w:val="auto"/>
              </w:rPr>
            </w:pPr>
            <w:r>
              <w:rPr>
                <w:rFonts w:ascii="Arial" w:cs="Arial" w:eastAsia="Arial" w:hAnsi="Arial"/>
                <w:sz w:val="14"/>
                <w:szCs w:val="14"/>
                <w:color w:val="auto"/>
              </w:rPr>
              <w:t>$490,000</w:t>
            </w:r>
          </w:p>
        </w:tc>
      </w:tr>
      <w:tr>
        <w:trPr>
          <w:trHeight w:val="83"/>
        </w:trPr>
        <w:tc>
          <w:tcPr>
            <w:tcW w:w="2120" w:type="dxa"/>
            <w:vAlign w:val="bottom"/>
            <w:tcBorders>
              <w:bottom w:val="single" w:sz="8" w:color="666666"/>
            </w:tcBorders>
          </w:tcPr>
          <w:p>
            <w:pPr>
              <w:spacing w:after="0"/>
              <w:rPr>
                <w:sz w:val="7"/>
                <w:szCs w:val="7"/>
                <w:color w:val="auto"/>
              </w:rPr>
            </w:pPr>
          </w:p>
        </w:tc>
        <w:tc>
          <w:tcPr>
            <w:tcW w:w="1880" w:type="dxa"/>
            <w:vAlign w:val="bottom"/>
            <w:tcBorders>
              <w:bottom w:val="single" w:sz="8" w:color="666666"/>
            </w:tcBorders>
          </w:tcPr>
          <w:p>
            <w:pPr>
              <w:spacing w:after="0"/>
              <w:rPr>
                <w:sz w:val="7"/>
                <w:szCs w:val="7"/>
                <w:color w:val="auto"/>
              </w:rPr>
            </w:pPr>
          </w:p>
        </w:tc>
        <w:tc>
          <w:tcPr>
            <w:tcW w:w="1820" w:type="dxa"/>
            <w:vAlign w:val="bottom"/>
            <w:tcBorders>
              <w:bottom w:val="single" w:sz="8" w:color="666666"/>
            </w:tcBorders>
          </w:tcPr>
          <w:p>
            <w:pPr>
              <w:spacing w:after="0"/>
              <w:rPr>
                <w:sz w:val="7"/>
                <w:szCs w:val="7"/>
                <w:color w:val="auto"/>
              </w:rPr>
            </w:pPr>
          </w:p>
        </w:tc>
        <w:tc>
          <w:tcPr>
            <w:tcW w:w="1760" w:type="dxa"/>
            <w:vAlign w:val="bottom"/>
            <w:tcBorders>
              <w:bottom w:val="single" w:sz="8" w:color="666666"/>
            </w:tcBorders>
          </w:tcPr>
          <w:p>
            <w:pPr>
              <w:spacing w:after="0"/>
              <w:rPr>
                <w:sz w:val="7"/>
                <w:szCs w:val="7"/>
                <w:color w:val="auto"/>
              </w:rPr>
            </w:pPr>
          </w:p>
        </w:tc>
        <w:tc>
          <w:tcPr>
            <w:tcW w:w="1820" w:type="dxa"/>
            <w:vAlign w:val="bottom"/>
            <w:tcBorders>
              <w:bottom w:val="single" w:sz="8" w:color="666666"/>
            </w:tcBorders>
          </w:tcPr>
          <w:p>
            <w:pPr>
              <w:spacing w:after="0"/>
              <w:rPr>
                <w:sz w:val="7"/>
                <w:szCs w:val="7"/>
                <w:color w:val="auto"/>
              </w:rPr>
            </w:pPr>
          </w:p>
        </w:tc>
      </w:tr>
      <w:tr>
        <w:trPr>
          <w:trHeight w:val="288"/>
        </w:trPr>
        <w:tc>
          <w:tcPr>
            <w:tcW w:w="2120" w:type="dxa"/>
            <w:vAlign w:val="bottom"/>
          </w:tcPr>
          <w:p>
            <w:pPr>
              <w:ind w:left="240"/>
              <w:spacing w:after="0"/>
              <w:rPr>
                <w:sz w:val="20"/>
                <w:szCs w:val="20"/>
                <w:color w:val="auto"/>
              </w:rPr>
            </w:pPr>
            <w:r>
              <w:rPr>
                <w:rFonts w:ascii="Arial" w:cs="Arial" w:eastAsia="Arial" w:hAnsi="Arial"/>
                <w:sz w:val="14"/>
                <w:szCs w:val="14"/>
                <w:b w:val="1"/>
                <w:bCs w:val="1"/>
                <w:color w:val="auto"/>
              </w:rPr>
              <w:t>Alex Kim</w:t>
            </w:r>
          </w:p>
        </w:tc>
        <w:tc>
          <w:tcPr>
            <w:tcW w:w="1880" w:type="dxa"/>
            <w:vAlign w:val="bottom"/>
          </w:tcPr>
          <w:p>
            <w:pPr>
              <w:jc w:val="right"/>
              <w:ind w:right="228"/>
              <w:spacing w:after="0"/>
              <w:rPr>
                <w:sz w:val="20"/>
                <w:szCs w:val="20"/>
                <w:color w:val="auto"/>
              </w:rPr>
            </w:pPr>
            <w:r>
              <w:rPr>
                <w:rFonts w:ascii="Arial" w:cs="Arial" w:eastAsia="Arial" w:hAnsi="Arial"/>
                <w:sz w:val="14"/>
                <w:szCs w:val="14"/>
                <w:color w:val="auto"/>
              </w:rPr>
              <w:t>60%</w:t>
            </w:r>
          </w:p>
        </w:tc>
        <w:tc>
          <w:tcPr>
            <w:tcW w:w="1820" w:type="dxa"/>
            <w:vAlign w:val="bottom"/>
          </w:tcPr>
          <w:p>
            <w:pPr>
              <w:jc w:val="right"/>
              <w:ind w:right="268"/>
              <w:spacing w:after="0"/>
              <w:rPr>
                <w:sz w:val="20"/>
                <w:szCs w:val="20"/>
                <w:color w:val="auto"/>
              </w:rPr>
            </w:pPr>
            <w:r>
              <w:rPr>
                <w:rFonts w:ascii="Arial" w:cs="Arial" w:eastAsia="Arial" w:hAnsi="Arial"/>
                <w:sz w:val="14"/>
                <w:szCs w:val="14"/>
                <w:color w:val="auto"/>
              </w:rPr>
              <w:t>$300,000</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70%</w:t>
            </w:r>
          </w:p>
        </w:tc>
        <w:tc>
          <w:tcPr>
            <w:tcW w:w="1820" w:type="dxa"/>
            <w:vAlign w:val="bottom"/>
          </w:tcPr>
          <w:p>
            <w:pPr>
              <w:ind w:left="980"/>
              <w:spacing w:after="0"/>
              <w:rPr>
                <w:sz w:val="20"/>
                <w:szCs w:val="20"/>
                <w:color w:val="auto"/>
              </w:rPr>
            </w:pPr>
            <w:r>
              <w:rPr>
                <w:rFonts w:ascii="Arial" w:cs="Arial" w:eastAsia="Arial" w:hAnsi="Arial"/>
                <w:sz w:val="14"/>
                <w:szCs w:val="14"/>
                <w:color w:val="auto"/>
              </w:rPr>
              <w:t>$210,000</w:t>
            </w:r>
          </w:p>
        </w:tc>
      </w:tr>
      <w:tr>
        <w:trPr>
          <w:trHeight w:val="83"/>
        </w:trPr>
        <w:tc>
          <w:tcPr>
            <w:tcW w:w="2120" w:type="dxa"/>
            <w:vAlign w:val="bottom"/>
            <w:tcBorders>
              <w:bottom w:val="single" w:sz="8" w:color="666666"/>
            </w:tcBorders>
          </w:tcPr>
          <w:p>
            <w:pPr>
              <w:spacing w:after="0"/>
              <w:rPr>
                <w:sz w:val="7"/>
                <w:szCs w:val="7"/>
                <w:color w:val="auto"/>
              </w:rPr>
            </w:pPr>
          </w:p>
        </w:tc>
        <w:tc>
          <w:tcPr>
            <w:tcW w:w="1880" w:type="dxa"/>
            <w:vAlign w:val="bottom"/>
            <w:tcBorders>
              <w:bottom w:val="single" w:sz="8" w:color="666666"/>
            </w:tcBorders>
          </w:tcPr>
          <w:p>
            <w:pPr>
              <w:spacing w:after="0"/>
              <w:rPr>
                <w:sz w:val="7"/>
                <w:szCs w:val="7"/>
                <w:color w:val="auto"/>
              </w:rPr>
            </w:pPr>
          </w:p>
        </w:tc>
        <w:tc>
          <w:tcPr>
            <w:tcW w:w="1820" w:type="dxa"/>
            <w:vAlign w:val="bottom"/>
            <w:tcBorders>
              <w:bottom w:val="single" w:sz="8" w:color="666666"/>
            </w:tcBorders>
          </w:tcPr>
          <w:p>
            <w:pPr>
              <w:spacing w:after="0"/>
              <w:rPr>
                <w:sz w:val="7"/>
                <w:szCs w:val="7"/>
                <w:color w:val="auto"/>
              </w:rPr>
            </w:pPr>
          </w:p>
        </w:tc>
        <w:tc>
          <w:tcPr>
            <w:tcW w:w="1760" w:type="dxa"/>
            <w:vAlign w:val="bottom"/>
            <w:tcBorders>
              <w:bottom w:val="single" w:sz="8" w:color="666666"/>
            </w:tcBorders>
          </w:tcPr>
          <w:p>
            <w:pPr>
              <w:spacing w:after="0"/>
              <w:rPr>
                <w:sz w:val="7"/>
                <w:szCs w:val="7"/>
                <w:color w:val="auto"/>
              </w:rPr>
            </w:pPr>
          </w:p>
        </w:tc>
        <w:tc>
          <w:tcPr>
            <w:tcW w:w="1820" w:type="dxa"/>
            <w:vAlign w:val="bottom"/>
            <w:tcBorders>
              <w:bottom w:val="single" w:sz="8" w:color="666666"/>
            </w:tcBorders>
          </w:tcPr>
          <w:p>
            <w:pPr>
              <w:spacing w:after="0"/>
              <w:rPr>
                <w:sz w:val="7"/>
                <w:szCs w:val="7"/>
                <w:color w:val="auto"/>
              </w:rPr>
            </w:pPr>
          </w:p>
        </w:tc>
      </w:tr>
      <w:tr>
        <w:trPr>
          <w:trHeight w:val="385"/>
        </w:trPr>
        <w:tc>
          <w:tcPr>
            <w:tcW w:w="2120" w:type="dxa"/>
            <w:vAlign w:val="bottom"/>
            <w:tcBorders>
              <w:bottom w:val="single" w:sz="8" w:color="24356E"/>
            </w:tcBorders>
          </w:tcPr>
          <w:p>
            <w:pPr>
              <w:ind w:left="240"/>
              <w:spacing w:after="0"/>
              <w:rPr>
                <w:sz w:val="20"/>
                <w:szCs w:val="20"/>
                <w:color w:val="auto"/>
              </w:rPr>
            </w:pPr>
            <w:r>
              <w:rPr>
                <w:rFonts w:ascii="Arial" w:cs="Arial" w:eastAsia="Arial" w:hAnsi="Arial"/>
                <w:sz w:val="14"/>
                <w:szCs w:val="14"/>
                <w:b w:val="1"/>
                <w:bCs w:val="1"/>
                <w:color w:val="auto"/>
              </w:rPr>
              <w:t>Sean Mackay</w:t>
            </w:r>
            <w:r>
              <w:rPr>
                <w:rFonts w:ascii="Arial" w:cs="Arial" w:eastAsia="Arial" w:hAnsi="Arial"/>
                <w:sz w:val="23"/>
                <w:szCs w:val="23"/>
                <w:b w:val="1"/>
                <w:bCs w:val="1"/>
                <w:color w:val="auto"/>
                <w:vertAlign w:val="superscript"/>
              </w:rPr>
              <w:t>(1)</w:t>
            </w:r>
          </w:p>
        </w:tc>
        <w:tc>
          <w:tcPr>
            <w:tcW w:w="1880" w:type="dxa"/>
            <w:vAlign w:val="bottom"/>
            <w:tcBorders>
              <w:bottom w:val="single" w:sz="8" w:color="24356E"/>
            </w:tcBorders>
          </w:tcPr>
          <w:p>
            <w:pPr>
              <w:jc w:val="right"/>
              <w:ind w:right="228"/>
              <w:spacing w:after="0"/>
              <w:rPr>
                <w:sz w:val="20"/>
                <w:szCs w:val="20"/>
                <w:color w:val="auto"/>
              </w:rPr>
            </w:pPr>
            <w:r>
              <w:rPr>
                <w:rFonts w:ascii="Arial" w:cs="Arial" w:eastAsia="Arial" w:hAnsi="Arial"/>
                <w:sz w:val="14"/>
                <w:szCs w:val="14"/>
                <w:color w:val="auto"/>
              </w:rPr>
              <w:t>60%</w:t>
            </w:r>
          </w:p>
        </w:tc>
        <w:tc>
          <w:tcPr>
            <w:tcW w:w="1820" w:type="dxa"/>
            <w:vAlign w:val="bottom"/>
            <w:tcBorders>
              <w:bottom w:val="single" w:sz="8" w:color="24356E"/>
            </w:tcBorders>
          </w:tcPr>
          <w:p>
            <w:pPr>
              <w:jc w:val="right"/>
              <w:ind w:right="268"/>
              <w:spacing w:after="0"/>
              <w:rPr>
                <w:sz w:val="20"/>
                <w:szCs w:val="20"/>
                <w:color w:val="auto"/>
              </w:rPr>
            </w:pPr>
            <w:r>
              <w:rPr>
                <w:rFonts w:ascii="Arial" w:cs="Arial" w:eastAsia="Arial" w:hAnsi="Arial"/>
                <w:sz w:val="14"/>
                <w:szCs w:val="14"/>
                <w:color w:val="auto"/>
              </w:rPr>
              <w:t>$285,000</w:t>
            </w:r>
          </w:p>
        </w:tc>
        <w:tc>
          <w:tcPr>
            <w:tcW w:w="1760" w:type="dxa"/>
            <w:vAlign w:val="bottom"/>
            <w:tcBorders>
              <w:bottom w:val="single" w:sz="8" w:color="24356E"/>
            </w:tcBorders>
          </w:tcPr>
          <w:p>
            <w:pPr>
              <w:jc w:val="right"/>
              <w:ind w:right="228"/>
              <w:spacing w:after="0"/>
              <w:rPr>
                <w:sz w:val="20"/>
                <w:szCs w:val="20"/>
                <w:color w:val="auto"/>
              </w:rPr>
            </w:pPr>
            <w:r>
              <w:rPr>
                <w:rFonts w:ascii="Arial" w:cs="Arial" w:eastAsia="Arial" w:hAnsi="Arial"/>
                <w:sz w:val="14"/>
                <w:szCs w:val="14"/>
                <w:color w:val="auto"/>
              </w:rPr>
              <w:t>70%</w:t>
            </w:r>
          </w:p>
        </w:tc>
        <w:tc>
          <w:tcPr>
            <w:tcW w:w="1820" w:type="dxa"/>
            <w:vAlign w:val="bottom"/>
            <w:tcBorders>
              <w:bottom w:val="single" w:sz="8" w:color="24356E"/>
            </w:tcBorders>
          </w:tcPr>
          <w:p>
            <w:pPr>
              <w:ind w:left="980"/>
              <w:spacing w:after="0"/>
              <w:rPr>
                <w:sz w:val="20"/>
                <w:szCs w:val="20"/>
                <w:color w:val="auto"/>
              </w:rPr>
            </w:pPr>
            <w:r>
              <w:rPr>
                <w:rFonts w:ascii="Arial" w:cs="Arial" w:eastAsia="Arial" w:hAnsi="Arial"/>
                <w:sz w:val="14"/>
                <w:szCs w:val="14"/>
                <w:color w:val="auto"/>
              </w:rPr>
              <w:t>$122,979</w:t>
            </w:r>
          </w:p>
        </w:tc>
      </w:tr>
    </w:tbl>
    <w:p>
      <w:pPr>
        <w:spacing w:after="0" w:line="144" w:lineRule="exact"/>
        <w:rPr>
          <w:sz w:val="20"/>
          <w:szCs w:val="20"/>
          <w:color w:val="auto"/>
        </w:rPr>
      </w:pPr>
    </w:p>
    <w:p>
      <w:pPr>
        <w:ind w:left="360" w:hanging="354"/>
        <w:spacing w:after="0"/>
        <w:tabs>
          <w:tab w:leader="none" w:pos="36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Mr. Mackay’s award was prorated based on his May 2024 hire date.</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Long-Term Equity Incentives</w:t>
      </w:r>
    </w:p>
    <w:p>
      <w:pPr>
        <w:spacing w:after="0" w:line="24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333333"/>
        </w:rPr>
        <w:t>Our long-term incentive program is designed to align executive compensation with stockholder interests by emphasizing equity awards that support sustained value creation. The program includes a mix of stock options and time-based RSUs to encourage a focus on long-term performance and strategic execution.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333333"/>
        </w:rPr>
        <w:t>Stock options reward executives for driving stock price appreciation, ensuring their interests are directly tied to stockholder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Stock options vest 25% after one year, and monthly for three years thereafter.</w:t>
      </w:r>
    </w:p>
    <w:p>
      <w:pPr>
        <w:spacing w:after="0" w:line="15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RSUs provide a variable equity component, with their ultimate value fluctuating based on the Company’s stock price performance over the vesting period. RSUs vest quarterly over four years.</w:t>
      </w:r>
    </w:p>
    <w:p>
      <w:pPr>
        <w:spacing w:after="0" w:line="102"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333333"/>
        </w:rPr>
        <w:t>Together, these elements create a balanced approach that motivates leadership to deliver strong, long-term results while maintaining a direct connection to stockholder outcomes.</w:t>
      </w:r>
    </w:p>
    <w:p>
      <w:pPr>
        <w:spacing w:after="0" w:line="10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333333"/>
        </w:rPr>
        <w:t>When determining the appropriate equity awards for our executive officers, the Human Capital Committee considers many factors, including, but not limited to, competitive market data on both a target value and grant size as a percentage of Company basis, Company and individual performance, prior awards issued to executives, and overall resulting dilution from equity granted. The 2024 equity awards were developed to motivate and retain the executive officers, in addition to aligning their compensation with stockholder interests. To accomplish this, a significant portion of the 2024 awards were delivered via stock options to ensure executives realize value with growth in the Company’s stock price. The 2024 awards also incorporated RSUs, which promote both long-term value creation for our stockholders and retention for our executive officers. The table below shows the equity awards granted for fiscal year 2024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4958715</wp:posOffset>
            </wp:positionH>
            <wp:positionV relativeFrom="paragraph">
              <wp:posOffset>30480</wp:posOffset>
            </wp:positionV>
            <wp:extent cx="8255" cy="282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28257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5900" w:type="dxa"/>
            <w:vAlign w:val="bottom"/>
            <w:tcBorders>
              <w:right w:val="single" w:sz="8" w:color="666666"/>
            </w:tcBorders>
          </w:tcPr>
          <w:p>
            <w:pPr>
              <w:spacing w:after="0"/>
              <w:rPr>
                <w:sz w:val="24"/>
                <w:szCs w:val="24"/>
                <w:color w:val="auto"/>
              </w:rPr>
            </w:pPr>
          </w:p>
        </w:tc>
        <w:tc>
          <w:tcPr>
            <w:tcW w:w="1920" w:type="dxa"/>
            <w:vAlign w:val="bottom"/>
            <w:shd w:val="clear" w:color="auto" w:fill="9492B1"/>
          </w:tcPr>
          <w:p>
            <w:pPr>
              <w:jc w:val="right"/>
              <w:ind w:right="448"/>
              <w:spacing w:after="0"/>
              <w:rPr>
                <w:sz w:val="20"/>
                <w:szCs w:val="20"/>
                <w:color w:val="auto"/>
              </w:rPr>
            </w:pPr>
            <w:r>
              <w:rPr>
                <w:rFonts w:ascii="Arial" w:cs="Arial" w:eastAsia="Arial" w:hAnsi="Arial"/>
                <w:sz w:val="14"/>
                <w:szCs w:val="14"/>
                <w:color w:val="FFFFFF"/>
              </w:rPr>
              <w:t>Stock Options</w:t>
            </w:r>
          </w:p>
        </w:tc>
        <w:tc>
          <w:tcPr>
            <w:tcW w:w="1580" w:type="dxa"/>
            <w:vAlign w:val="bottom"/>
            <w:shd w:val="clear" w:color="auto" w:fill="9492B1"/>
          </w:tcPr>
          <w:p>
            <w:pPr>
              <w:jc w:val="right"/>
              <w:ind w:right="488"/>
              <w:spacing w:after="0"/>
              <w:rPr>
                <w:sz w:val="20"/>
                <w:szCs w:val="20"/>
                <w:color w:val="auto"/>
              </w:rPr>
            </w:pPr>
            <w:r>
              <w:rPr>
                <w:rFonts w:ascii="Arial" w:cs="Arial" w:eastAsia="Arial" w:hAnsi="Arial"/>
                <w:sz w:val="14"/>
                <w:szCs w:val="14"/>
                <w:color w:val="FFFFFF"/>
              </w:rPr>
              <w:t>RSUs</w:t>
            </w:r>
          </w:p>
        </w:tc>
      </w:tr>
      <w:tr>
        <w:trPr>
          <w:trHeight w:val="89"/>
        </w:trPr>
        <w:tc>
          <w:tcPr>
            <w:tcW w:w="5900" w:type="dxa"/>
            <w:vAlign w:val="bottom"/>
            <w:tcBorders>
              <w:right w:val="single" w:sz="8" w:color="666666"/>
            </w:tcBorders>
          </w:tcPr>
          <w:p>
            <w:pPr>
              <w:spacing w:after="0"/>
              <w:rPr>
                <w:sz w:val="7"/>
                <w:szCs w:val="7"/>
                <w:color w:val="auto"/>
              </w:rPr>
            </w:pPr>
          </w:p>
        </w:tc>
        <w:tc>
          <w:tcPr>
            <w:tcW w:w="1920" w:type="dxa"/>
            <w:vAlign w:val="bottom"/>
            <w:shd w:val="clear" w:color="auto" w:fill="9492B1"/>
          </w:tcPr>
          <w:p>
            <w:pPr>
              <w:spacing w:after="0"/>
              <w:rPr>
                <w:sz w:val="7"/>
                <w:szCs w:val="7"/>
                <w:color w:val="auto"/>
              </w:rPr>
            </w:pPr>
          </w:p>
        </w:tc>
        <w:tc>
          <w:tcPr>
            <w:tcW w:w="1580" w:type="dxa"/>
            <w:vAlign w:val="bottom"/>
            <w:shd w:val="clear" w:color="auto" w:fill="9492B1"/>
          </w:tcPr>
          <w:p>
            <w:pPr>
              <w:spacing w:after="0"/>
              <w:rPr>
                <w:sz w:val="7"/>
                <w:szCs w:val="7"/>
                <w:color w:val="auto"/>
              </w:rPr>
            </w:pPr>
          </w:p>
        </w:tc>
      </w:tr>
      <w:tr>
        <w:trPr>
          <w:trHeight w:val="289"/>
        </w:trPr>
        <w:tc>
          <w:tcPr>
            <w:tcW w:w="5900" w:type="dxa"/>
            <w:vAlign w:val="bottom"/>
            <w:tcBorders>
              <w:right w:val="single" w:sz="8" w:color="24356E"/>
            </w:tcBorders>
            <w:shd w:val="clear" w:color="auto" w:fill="24356E"/>
          </w:tcPr>
          <w:p>
            <w:pPr>
              <w:ind w:left="280"/>
              <w:spacing w:after="0"/>
              <w:rPr>
                <w:sz w:val="20"/>
                <w:szCs w:val="20"/>
                <w:color w:val="auto"/>
              </w:rPr>
            </w:pPr>
            <w:r>
              <w:rPr>
                <w:rFonts w:ascii="Arial" w:cs="Arial" w:eastAsia="Arial" w:hAnsi="Arial"/>
                <w:sz w:val="14"/>
                <w:szCs w:val="14"/>
                <w:color w:val="FFFFFF"/>
              </w:rPr>
              <w:t>Name</w:t>
            </w:r>
          </w:p>
        </w:tc>
        <w:tc>
          <w:tcPr>
            <w:tcW w:w="1920" w:type="dxa"/>
            <w:vAlign w:val="bottom"/>
            <w:shd w:val="clear" w:color="auto" w:fill="24356E"/>
          </w:tcPr>
          <w:p>
            <w:pPr>
              <w:jc w:val="right"/>
              <w:ind w:right="448"/>
              <w:spacing w:after="0"/>
              <w:rPr>
                <w:sz w:val="20"/>
                <w:szCs w:val="20"/>
                <w:color w:val="auto"/>
              </w:rPr>
            </w:pPr>
            <w:r>
              <w:rPr>
                <w:rFonts w:ascii="Arial" w:cs="Arial" w:eastAsia="Arial" w:hAnsi="Arial"/>
                <w:sz w:val="14"/>
                <w:szCs w:val="14"/>
                <w:color w:val="FFFFFF"/>
              </w:rPr>
              <w:t># Shares</w:t>
            </w:r>
          </w:p>
        </w:tc>
        <w:tc>
          <w:tcPr>
            <w:tcW w:w="1580" w:type="dxa"/>
            <w:vAlign w:val="bottom"/>
            <w:shd w:val="clear" w:color="auto" w:fill="24356E"/>
          </w:tcPr>
          <w:p>
            <w:pPr>
              <w:jc w:val="right"/>
              <w:ind w:right="348"/>
              <w:spacing w:after="0"/>
              <w:rPr>
                <w:sz w:val="20"/>
                <w:szCs w:val="20"/>
                <w:color w:val="auto"/>
              </w:rPr>
            </w:pPr>
            <w:r>
              <w:rPr>
                <w:rFonts w:ascii="Arial" w:cs="Arial" w:eastAsia="Arial" w:hAnsi="Arial"/>
                <w:sz w:val="14"/>
                <w:szCs w:val="14"/>
                <w:color w:val="FFFFFF"/>
              </w:rPr>
              <w:t># Shares</w:t>
            </w:r>
          </w:p>
        </w:tc>
      </w:tr>
      <w:tr>
        <w:trPr>
          <w:trHeight w:val="89"/>
        </w:trPr>
        <w:tc>
          <w:tcPr>
            <w:tcW w:w="5900" w:type="dxa"/>
            <w:vAlign w:val="bottom"/>
            <w:tcBorders>
              <w:right w:val="single" w:sz="8" w:color="24356E"/>
            </w:tcBorders>
            <w:shd w:val="clear" w:color="auto" w:fill="24356E"/>
          </w:tcPr>
          <w:p>
            <w:pPr>
              <w:spacing w:after="0"/>
              <w:rPr>
                <w:sz w:val="7"/>
                <w:szCs w:val="7"/>
                <w:color w:val="auto"/>
              </w:rPr>
            </w:pPr>
          </w:p>
        </w:tc>
        <w:tc>
          <w:tcPr>
            <w:tcW w:w="1920" w:type="dxa"/>
            <w:vAlign w:val="bottom"/>
            <w:shd w:val="clear" w:color="auto" w:fill="24356E"/>
          </w:tcPr>
          <w:p>
            <w:pPr>
              <w:spacing w:after="0"/>
              <w:rPr>
                <w:sz w:val="7"/>
                <w:szCs w:val="7"/>
                <w:color w:val="auto"/>
              </w:rPr>
            </w:pPr>
          </w:p>
        </w:tc>
        <w:tc>
          <w:tcPr>
            <w:tcW w:w="1580" w:type="dxa"/>
            <w:vAlign w:val="bottom"/>
            <w:shd w:val="clear" w:color="auto" w:fill="24356E"/>
          </w:tcPr>
          <w:p>
            <w:pPr>
              <w:spacing w:after="0"/>
              <w:rPr>
                <w:sz w:val="7"/>
                <w:szCs w:val="7"/>
                <w:color w:val="auto"/>
              </w:rPr>
            </w:pPr>
          </w:p>
        </w:tc>
      </w:tr>
      <w:tr>
        <w:trPr>
          <w:trHeight w:val="295"/>
        </w:trPr>
        <w:tc>
          <w:tcPr>
            <w:tcW w:w="5900" w:type="dxa"/>
            <w:vAlign w:val="bottom"/>
          </w:tcPr>
          <w:p>
            <w:pPr>
              <w:ind w:left="280"/>
              <w:spacing w:after="0"/>
              <w:rPr>
                <w:sz w:val="20"/>
                <w:szCs w:val="20"/>
                <w:color w:val="auto"/>
              </w:rPr>
            </w:pPr>
            <w:r>
              <w:rPr>
                <w:rFonts w:ascii="Arial" w:cs="Arial" w:eastAsia="Arial" w:hAnsi="Arial"/>
                <w:sz w:val="14"/>
                <w:szCs w:val="14"/>
                <w:b w:val="1"/>
                <w:bCs w:val="1"/>
                <w:color w:val="auto"/>
              </w:rPr>
              <w:t>Michael Egholm, Ph.D.</w:t>
            </w:r>
          </w:p>
        </w:tc>
        <w:tc>
          <w:tcPr>
            <w:tcW w:w="1920" w:type="dxa"/>
            <w:vAlign w:val="bottom"/>
          </w:tcPr>
          <w:p>
            <w:pPr>
              <w:jc w:val="right"/>
              <w:ind w:right="468"/>
              <w:spacing w:after="0"/>
              <w:rPr>
                <w:sz w:val="20"/>
                <w:szCs w:val="20"/>
                <w:color w:val="auto"/>
              </w:rPr>
            </w:pPr>
            <w:r>
              <w:rPr>
                <w:rFonts w:ascii="Arial" w:cs="Arial" w:eastAsia="Arial" w:hAnsi="Arial"/>
                <w:sz w:val="14"/>
                <w:szCs w:val="14"/>
                <w:color w:val="auto"/>
              </w:rPr>
              <w:t>2,250,000</w:t>
            </w:r>
          </w:p>
        </w:tc>
        <w:tc>
          <w:tcPr>
            <w:tcW w:w="1580" w:type="dxa"/>
            <w:vAlign w:val="bottom"/>
          </w:tcPr>
          <w:p>
            <w:pPr>
              <w:jc w:val="right"/>
              <w:ind w:right="368"/>
              <w:spacing w:after="0"/>
              <w:rPr>
                <w:sz w:val="20"/>
                <w:szCs w:val="20"/>
                <w:color w:val="auto"/>
              </w:rPr>
            </w:pPr>
            <w:r>
              <w:rPr>
                <w:rFonts w:ascii="Arial" w:cs="Arial" w:eastAsia="Arial" w:hAnsi="Arial"/>
                <w:sz w:val="14"/>
                <w:szCs w:val="14"/>
                <w:color w:val="auto"/>
              </w:rPr>
              <w:t>1,000,000</w:t>
            </w:r>
          </w:p>
        </w:tc>
      </w:tr>
      <w:tr>
        <w:trPr>
          <w:trHeight w:val="83"/>
        </w:trPr>
        <w:tc>
          <w:tcPr>
            <w:tcW w:w="590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580" w:type="dxa"/>
            <w:vAlign w:val="bottom"/>
            <w:tcBorders>
              <w:bottom w:val="single" w:sz="8" w:color="666666"/>
            </w:tcBorders>
          </w:tcPr>
          <w:p>
            <w:pPr>
              <w:spacing w:after="0"/>
              <w:rPr>
                <w:sz w:val="7"/>
                <w:szCs w:val="7"/>
                <w:color w:val="auto"/>
              </w:rPr>
            </w:pPr>
          </w:p>
        </w:tc>
      </w:tr>
      <w:tr>
        <w:trPr>
          <w:trHeight w:val="289"/>
        </w:trPr>
        <w:tc>
          <w:tcPr>
            <w:tcW w:w="5900" w:type="dxa"/>
            <w:vAlign w:val="bottom"/>
          </w:tcPr>
          <w:p>
            <w:pPr>
              <w:ind w:left="280"/>
              <w:spacing w:after="0"/>
              <w:rPr>
                <w:sz w:val="20"/>
                <w:szCs w:val="20"/>
                <w:color w:val="auto"/>
              </w:rPr>
            </w:pPr>
            <w:r>
              <w:rPr>
                <w:rFonts w:ascii="Arial" w:cs="Arial" w:eastAsia="Arial" w:hAnsi="Arial"/>
                <w:sz w:val="14"/>
                <w:szCs w:val="14"/>
                <w:b w:val="1"/>
                <w:bCs w:val="1"/>
                <w:color w:val="auto"/>
              </w:rPr>
              <w:t>Alex Kim</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750,000</w:t>
            </w:r>
          </w:p>
        </w:tc>
        <w:tc>
          <w:tcPr>
            <w:tcW w:w="1580" w:type="dxa"/>
            <w:vAlign w:val="bottom"/>
          </w:tcPr>
          <w:p>
            <w:pPr>
              <w:jc w:val="right"/>
              <w:ind w:right="368"/>
              <w:spacing w:after="0"/>
              <w:rPr>
                <w:sz w:val="20"/>
                <w:szCs w:val="20"/>
                <w:color w:val="auto"/>
              </w:rPr>
            </w:pPr>
            <w:r>
              <w:rPr>
                <w:rFonts w:ascii="Arial" w:cs="Arial" w:eastAsia="Arial" w:hAnsi="Arial"/>
                <w:sz w:val="14"/>
                <w:szCs w:val="14"/>
                <w:color w:val="auto"/>
              </w:rPr>
              <w:t>333,333</w:t>
            </w:r>
          </w:p>
        </w:tc>
      </w:tr>
      <w:tr>
        <w:trPr>
          <w:trHeight w:val="83"/>
        </w:trPr>
        <w:tc>
          <w:tcPr>
            <w:tcW w:w="590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580" w:type="dxa"/>
            <w:vAlign w:val="bottom"/>
            <w:tcBorders>
              <w:bottom w:val="single" w:sz="8" w:color="666666"/>
            </w:tcBorders>
          </w:tcPr>
          <w:p>
            <w:pPr>
              <w:spacing w:after="0"/>
              <w:rPr>
                <w:sz w:val="7"/>
                <w:szCs w:val="7"/>
                <w:color w:val="auto"/>
              </w:rPr>
            </w:pPr>
          </w:p>
        </w:tc>
      </w:tr>
      <w:tr>
        <w:trPr>
          <w:trHeight w:val="398"/>
        </w:trPr>
        <w:tc>
          <w:tcPr>
            <w:tcW w:w="5900" w:type="dxa"/>
            <w:vAlign w:val="bottom"/>
            <w:tcBorders>
              <w:bottom w:val="single" w:sz="8" w:color="666666"/>
            </w:tcBorders>
          </w:tcPr>
          <w:p>
            <w:pPr>
              <w:ind w:left="280"/>
              <w:spacing w:after="0"/>
              <w:rPr>
                <w:sz w:val="20"/>
                <w:szCs w:val="20"/>
                <w:color w:val="auto"/>
              </w:rPr>
            </w:pPr>
            <w:r>
              <w:rPr>
                <w:rFonts w:ascii="Arial" w:cs="Arial" w:eastAsia="Arial" w:hAnsi="Arial"/>
                <w:sz w:val="14"/>
                <w:szCs w:val="14"/>
                <w:b w:val="1"/>
                <w:bCs w:val="1"/>
                <w:color w:val="auto"/>
              </w:rPr>
              <w:t>Sean Mackay</w:t>
            </w:r>
            <w:r>
              <w:rPr>
                <w:rFonts w:ascii="Arial" w:cs="Arial" w:eastAsia="Arial" w:hAnsi="Arial"/>
                <w:sz w:val="23"/>
                <w:szCs w:val="23"/>
                <w:b w:val="1"/>
                <w:bCs w:val="1"/>
                <w:color w:val="auto"/>
                <w:vertAlign w:val="superscript"/>
              </w:rPr>
              <w:t>(1)</w:t>
            </w:r>
          </w:p>
        </w:tc>
        <w:tc>
          <w:tcPr>
            <w:tcW w:w="1920" w:type="dxa"/>
            <w:vAlign w:val="bottom"/>
            <w:tcBorders>
              <w:bottom w:val="single" w:sz="8" w:color="666666"/>
            </w:tcBorders>
          </w:tcPr>
          <w:p>
            <w:pPr>
              <w:jc w:val="right"/>
              <w:ind w:right="488"/>
              <w:spacing w:after="0"/>
              <w:rPr>
                <w:sz w:val="20"/>
                <w:szCs w:val="20"/>
                <w:color w:val="auto"/>
              </w:rPr>
            </w:pPr>
            <w:r>
              <w:rPr>
                <w:rFonts w:ascii="Arial" w:cs="Arial" w:eastAsia="Arial" w:hAnsi="Arial"/>
                <w:sz w:val="14"/>
                <w:szCs w:val="14"/>
                <w:color w:val="auto"/>
              </w:rPr>
              <w:t>600,000</w:t>
            </w:r>
          </w:p>
        </w:tc>
        <w:tc>
          <w:tcPr>
            <w:tcW w:w="1580" w:type="dxa"/>
            <w:vAlign w:val="bottom"/>
            <w:tcBorders>
              <w:bottom w:val="single" w:sz="8" w:color="666666"/>
            </w:tcBorders>
          </w:tcPr>
          <w:p>
            <w:pPr>
              <w:jc w:val="right"/>
              <w:ind w:right="368"/>
              <w:spacing w:after="0"/>
              <w:rPr>
                <w:sz w:val="20"/>
                <w:szCs w:val="20"/>
                <w:color w:val="auto"/>
              </w:rPr>
            </w:pPr>
            <w:r>
              <w:rPr>
                <w:rFonts w:ascii="Arial" w:cs="Arial" w:eastAsia="Arial" w:hAnsi="Arial"/>
                <w:sz w:val="14"/>
                <w:szCs w:val="14"/>
                <w:color w:val="auto"/>
              </w:rPr>
              <w:t>600,000</w:t>
            </w:r>
          </w:p>
        </w:tc>
      </w:tr>
      <w:tr>
        <w:trPr>
          <w:trHeight w:val="385"/>
        </w:trPr>
        <w:tc>
          <w:tcPr>
            <w:tcW w:w="5900" w:type="dxa"/>
            <w:vAlign w:val="bottom"/>
            <w:tcBorders>
              <w:bottom w:val="single" w:sz="8" w:color="24356E"/>
            </w:tcBorders>
          </w:tcPr>
          <w:p>
            <w:pPr>
              <w:ind w:left="280"/>
              <w:spacing w:after="0"/>
              <w:rPr>
                <w:sz w:val="20"/>
                <w:szCs w:val="20"/>
                <w:color w:val="auto"/>
              </w:rPr>
            </w:pPr>
            <w:r>
              <w:rPr>
                <w:rFonts w:ascii="Arial" w:cs="Arial" w:eastAsia="Arial" w:hAnsi="Arial"/>
                <w:sz w:val="14"/>
                <w:szCs w:val="14"/>
                <w:b w:val="1"/>
                <w:bCs w:val="1"/>
                <w:color w:val="auto"/>
              </w:rPr>
              <w:t>Jeffrey Black</w:t>
            </w:r>
            <w:r>
              <w:rPr>
                <w:rFonts w:ascii="Arial" w:cs="Arial" w:eastAsia="Arial" w:hAnsi="Arial"/>
                <w:sz w:val="23"/>
                <w:szCs w:val="23"/>
                <w:b w:val="1"/>
                <w:bCs w:val="1"/>
                <w:color w:val="auto"/>
                <w:vertAlign w:val="superscript"/>
              </w:rPr>
              <w:t>(2)</w:t>
            </w:r>
          </w:p>
        </w:tc>
        <w:tc>
          <w:tcPr>
            <w:tcW w:w="1920" w:type="dxa"/>
            <w:vAlign w:val="bottom"/>
            <w:tcBorders>
              <w:bottom w:val="single" w:sz="8" w:color="24356E"/>
            </w:tcBorders>
          </w:tcPr>
          <w:p>
            <w:pPr>
              <w:jc w:val="right"/>
              <w:ind w:right="488"/>
              <w:spacing w:after="0"/>
              <w:rPr>
                <w:sz w:val="20"/>
                <w:szCs w:val="20"/>
                <w:color w:val="auto"/>
              </w:rPr>
            </w:pPr>
            <w:r>
              <w:rPr>
                <w:rFonts w:ascii="Arial" w:cs="Arial" w:eastAsia="Arial" w:hAnsi="Arial"/>
                <w:sz w:val="14"/>
                <w:szCs w:val="14"/>
                <w:color w:val="auto"/>
              </w:rPr>
              <w:t>400,000</w:t>
            </w:r>
          </w:p>
        </w:tc>
        <w:tc>
          <w:tcPr>
            <w:tcW w:w="1580" w:type="dxa"/>
            <w:vAlign w:val="bottom"/>
            <w:tcBorders>
              <w:bottom w:val="single" w:sz="8" w:color="24356E"/>
            </w:tcBorders>
          </w:tcPr>
          <w:p>
            <w:pPr>
              <w:jc w:val="right"/>
              <w:ind w:right="368"/>
              <w:spacing w:after="0"/>
              <w:rPr>
                <w:sz w:val="20"/>
                <w:szCs w:val="20"/>
                <w:color w:val="auto"/>
              </w:rPr>
            </w:pPr>
            <w:r>
              <w:rPr>
                <w:rFonts w:ascii="Arial" w:cs="Arial" w:eastAsia="Arial" w:hAnsi="Arial"/>
                <w:sz w:val="14"/>
                <w:szCs w:val="14"/>
                <w:color w:val="auto"/>
              </w:rPr>
              <w:t>300,000</w:t>
            </w:r>
          </w:p>
        </w:tc>
      </w:tr>
    </w:tbl>
    <w:p>
      <w:pPr>
        <w:spacing w:after="0" w:line="144" w:lineRule="exact"/>
        <w:rPr>
          <w:sz w:val="20"/>
          <w:szCs w:val="20"/>
          <w:color w:val="auto"/>
        </w:rPr>
      </w:pPr>
    </w:p>
    <w:p>
      <w:pPr>
        <w:ind w:left="360" w:hanging="354"/>
        <w:spacing w:after="0"/>
        <w:tabs>
          <w:tab w:leader="none" w:pos="36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Mr. Mackay’s equity award was granted upon his hire date of May 20, 2024.</w:t>
      </w:r>
    </w:p>
    <w:p>
      <w:pPr>
        <w:spacing w:after="0" w:line="39" w:lineRule="exact"/>
        <w:rPr>
          <w:rFonts w:ascii="Arial" w:cs="Arial" w:eastAsia="Arial" w:hAnsi="Arial"/>
          <w:sz w:val="13"/>
          <w:szCs w:val="13"/>
          <w:b w:val="1"/>
          <w:bCs w:val="1"/>
          <w:color w:val="auto"/>
        </w:rPr>
      </w:pPr>
    </w:p>
    <w:p>
      <w:pPr>
        <w:ind w:left="360" w:right="180" w:hanging="354"/>
        <w:spacing w:after="0" w:line="252" w:lineRule="auto"/>
        <w:tabs>
          <w:tab w:leader="none" w:pos="36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Mr. Black resigned from the Company as its Chief Financial Officer, effective August 31, 2024. As a result, he forfeited any unvested shares upon his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59664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2"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Other Compensation Practices, Policies and Guidelines</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guidelines.</w:t>
      </w:r>
    </w:p>
    <w:p>
      <w:pPr>
        <w:spacing w:after="0" w:line="24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333333"/>
        </w:rPr>
        <w:t>In addition to the stock ownership guidelines discussed below applicable to our non-employee directors, we maintain stock ownership guidelines for our CEO and other executive officers to further align their interests with the interests of our stockholders, which we review and revise periodically.</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333333"/>
        </w:rPr>
        <w:t>Pursuant to the guidelines, which were most recently updated by our Board in January 2023, each executive officer is expected to accumulate and hold a number of shares of our common stock equal to one times the executive officer’s base salary (or three times the base salary in the case of our CEO), and to maintain this minimum amount of stock ownership for so long as such individual is an employee of the Company.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CEO and executive officers are expected to achieve the applicable level of ownership by the end of the fiscal year that follows the five-year anniversary of the date of the guidelines or the hire date or promotion date for newly eligible employees.</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6"/>
          <w:szCs w:val="16"/>
          <w:color w:val="333333"/>
        </w:rPr>
        <w:t>Neither the CEO nor any executive officer is required to purchase shares on the open market in order to comply with the guidelines. In the event such individual falls out of compliance with the guidelines at any time, they will be required to maintain 50% of the shares (net of tax and exercise costs) acquired through the vesting or exercise of awards until the guidelines are again satisfied.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33333"/>
        </w:rPr>
        <w:t>In October 2023, our Board adopted a clawback policy as required by SEC rules and the corresponding Nasdaq listing standards.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Policy and Policy Against Hedging and Pledging</w:t>
      </w:r>
    </w:p>
    <w:p>
      <w:pPr>
        <w:spacing w:after="0" w:line="2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We have adopted an insider trading policy (the “Insider Trading Policy”) governing the purchase, sale and/or other dispositions of our securities by all Company personnel, including by our directors, officers, employees and consultants, as well as certain related persons to such individuals, as described further above.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Benefits and Perquisites</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333333"/>
        </w:rPr>
        <w:t>Our executives receive the same standard benefits available to all employees, including health coverage (medical, dental, pharmacy, and vision), life and disability insurance, retirement savings plans, paid leave for parental, elder care, and bereavement needs, as well as company-recognized holidays and vacation time. To remain competitive in the market, executives are also eligible for additional benefits as part of their total compensation. These may include supplemental life and disability insurance.</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Tax and Accounting</w:t>
      </w:r>
    </w:p>
    <w:p>
      <w:pPr>
        <w:spacing w:after="0" w:line="24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333333"/>
        </w:rPr>
        <w:t>We regularly consider the various tax and accounting implications of our compensation plans. When determining the amount of long-term incentives and equity grants to executives and employees, the compensation costs associated with the grants are reviewed, as required by Financial Accounting Standards Board (“FASB”) Accounting Standards Codification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7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33333"/>
        </w:rPr>
        <w:t>While considering tax deductibility as only one of several considerations in determining compensation, the Human Capital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Compensation Practices and Policies</w:t>
      </w:r>
    </w:p>
    <w:p>
      <w:pPr>
        <w:spacing w:after="0" w:line="235" w:lineRule="exact"/>
        <w:rPr>
          <w:sz w:val="20"/>
          <w:szCs w:val="20"/>
          <w:color w:val="auto"/>
        </w:rPr>
      </w:pPr>
    </w:p>
    <w:p>
      <w:pPr>
        <w:spacing w:after="0" w:line="249" w:lineRule="auto"/>
        <w:rPr>
          <w:sz w:val="20"/>
          <w:szCs w:val="20"/>
          <w:color w:val="auto"/>
        </w:rPr>
      </w:pPr>
      <w:r>
        <w:rPr>
          <w:rFonts w:ascii="Arial" w:cs="Arial" w:eastAsia="Arial" w:hAnsi="Arial"/>
          <w:sz w:val="16"/>
          <w:szCs w:val="16"/>
          <w:color w:val="333333"/>
        </w:rPr>
        <w:t>Our Human Capital Committee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Human Capital Committee regularly evaluates the risks involved with our compensation programs and does not believe that any of our compensation programs create risks that are reasonably likely to have a material adverse effect on us now or in the future. Our Human Capital Committee considered the compensation structure of the Company for its employees including executive officers, which is based on an annual salary, annual bonus (for bonus-eligible employees), and equity incentive compensation in the form of stock options and RSUs.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our Human Capital Committee. In addition, annual cash bonus payments are based upon a variety of performance metrics, thereby diversifying the risk associated with any single performance indicator. Accordingly, we believe that we have a balanced pay and performance program that does not promote undue or excessive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59664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7" w:lineRule="exact"/>
        <w:rPr>
          <w:sz w:val="20"/>
          <w:szCs w:val="20"/>
          <w:color w:val="auto"/>
        </w:rPr>
      </w:pPr>
    </w:p>
    <w:p>
      <w:pPr>
        <w:jc w:val="center"/>
        <w:ind w:right="6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29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Compensation (Human Capital) Committee Report</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6"/>
          <w:szCs w:val="16"/>
          <w:color w:val="333333"/>
        </w:rPr>
        <w:t>The Human Capital Committee of our Board has reviewed and discussed the Compensation Discussion and Analysis required by Item 402(b) of Regulation S-K, which appears elsewhere in this proxy statement, with our management. Based on this review and discussion, the Human Capital Committee has recommended to the Board that the Compensation Discussion and Analysis be included in our proxy statement.</w:t>
      </w:r>
    </w:p>
    <w:p>
      <w:pPr>
        <w:spacing w:after="0" w:line="191"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333333"/>
        </w:rPr>
        <w:t>The Compensation (Human Capital) Committee</w:t>
      </w: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6"/>
          <w:szCs w:val="16"/>
          <w:color w:val="333333"/>
        </w:rPr>
        <w:t>Frank Witney, Ph.D. (Chair)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6"/>
          <w:szCs w:val="16"/>
          <w:color w:val="333333"/>
        </w:rPr>
        <w:t>Eli Casdin</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6"/>
          <w:szCs w:val="16"/>
          <w:color w:val="333333"/>
        </w:rPr>
        <w:t>Troy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9664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9"/>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Report of the Audit Committee</w:t>
      </w:r>
    </w:p>
    <w:p>
      <w:pPr>
        <w:spacing w:after="0" w:line="13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33333"/>
        </w:rPr>
        <w:t>The Audit Committee assists the Board in fulfilling its oversight responsibility over the Company’s financial reporting process. It is not the duty of the Audit Committee to plan or conduct audits, to prepare the Company’s financial statements, or to assess the Company’s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the Company’s financial statements and internal control over financial reporting and expressing its opinion as to whether the statements present fairly, in accordance with U.S. generally accepted accounting principles (“GAAP”), the Company’s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the Company’s financial affairs.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the Company’s financial statements have been carried out in accordance with standards of the Public Company Accounting Oversight Board (“PCAOB”) or that the financial statements are presented in accordance with GAAP.</w:t>
      </w:r>
    </w:p>
    <w:p>
      <w:pPr>
        <w:spacing w:after="0" w:line="127"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333333"/>
        </w:rPr>
        <w:t xml:space="preserve">In this context, the Audit Committee has met and held discussions with management and the independent registered public accounting firm to review the Company’s audited 2024 consolidated financial statements (including the quality of the Company’s accounting principles). Management represented to the Audit Committee that the Company’s consolidated financial statements were prepared in accordance with GAAP, and the Audit Committee consulted with management and the independent registered public accounting firm prior to approving the presentation of the audited 2024 consolidated financial statements to stockholders. The Audit Committee discussed with the independent registered public accounting firm the matters required to be discussed by Statement on Auditing Standards No. 1301, </w:t>
      </w:r>
      <w:r>
        <w:rPr>
          <w:rFonts w:ascii="Arial" w:cs="Arial" w:eastAsia="Arial" w:hAnsi="Arial"/>
          <w:sz w:val="16"/>
          <w:szCs w:val="16"/>
          <w:i w:val="1"/>
          <w:iCs w:val="1"/>
          <w:color w:val="333333"/>
        </w:rPr>
        <w:t>Communications with Audit Committees</w:t>
      </w:r>
      <w:r>
        <w:rPr>
          <w:rFonts w:ascii="Arial" w:cs="Arial" w:eastAsia="Arial" w:hAnsi="Arial"/>
          <w:sz w:val="16"/>
          <w:szCs w:val="16"/>
          <w:color w:val="333333"/>
        </w:rPr>
        <w:t>, as adopted by the PCAOB.</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The Audit Committee has discussed with the independent accountant the independent accountant’s independence from the Company and its management. As part of that review, the Audit Committee received the written disclosures and letter required by applicable PCAOB requirements regarding the independent accountant’s communications with the Audit Committee concerning independence. Based on the reviews and discussions referred to above, the Audit Committee recommended to the Board, and the Board approved, the Company’s audited consolidated financial statements for the year ended December 31, 2024 for filing with the SEC as part of the Company’s 2024 Annual Report. The Audit Committee has appointed PwC as the Company’s independent registered public accounting firm for the year ending December 31, 2025.</w:t>
      </w:r>
    </w:p>
    <w:p>
      <w:pPr>
        <w:spacing w:after="0" w:line="208"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333333"/>
        </w:rPr>
        <w:t>The Audit Committee</w:t>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333333"/>
        </w:rPr>
        <w:t>Fenel M. Eloi (Chair)</w:t>
      </w:r>
    </w:p>
    <w:p>
      <w:pPr>
        <w:spacing w:after="0" w:line="30" w:lineRule="exact"/>
        <w:rPr>
          <w:sz w:val="20"/>
          <w:szCs w:val="20"/>
          <w:color w:val="auto"/>
        </w:rPr>
      </w:pPr>
    </w:p>
    <w:p>
      <w:pPr>
        <w:ind w:left="8700"/>
        <w:spacing w:after="0"/>
        <w:rPr>
          <w:sz w:val="20"/>
          <w:szCs w:val="20"/>
          <w:color w:val="auto"/>
        </w:rPr>
      </w:pPr>
      <w:r>
        <w:rPr>
          <w:rFonts w:ascii="Arial" w:cs="Arial" w:eastAsia="Arial" w:hAnsi="Arial"/>
          <w:sz w:val="16"/>
          <w:szCs w:val="16"/>
          <w:color w:val="333333"/>
        </w:rPr>
        <w:t>Troy Cox</w:t>
      </w:r>
    </w:p>
    <w:p>
      <w:pPr>
        <w:spacing w:after="0" w:line="32" w:lineRule="exact"/>
        <w:rPr>
          <w:sz w:val="20"/>
          <w:szCs w:val="20"/>
          <w:color w:val="auto"/>
        </w:rPr>
      </w:pPr>
    </w:p>
    <w:p>
      <w:pPr>
        <w:ind w:left="8480"/>
        <w:spacing w:after="0"/>
        <w:rPr>
          <w:sz w:val="20"/>
          <w:szCs w:val="20"/>
          <w:color w:val="auto"/>
        </w:rPr>
      </w:pPr>
      <w:r>
        <w:rPr>
          <w:rFonts w:ascii="Arial" w:cs="Arial" w:eastAsia="Arial" w:hAnsi="Arial"/>
          <w:sz w:val="16"/>
          <w:szCs w:val="16"/>
          <w:color w:val="333333"/>
        </w:rPr>
        <w:t>Kathy Hibbs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Frank Witney,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8" w:name="page39"/>
    <w:bookmarkEnd w:id="38"/>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40"/>
          <w:szCs w:val="40"/>
          <w:color w:val="auto"/>
        </w:rPr>
        <w:t>Executive Officer and Director Compensation</w:t>
      </w:r>
    </w:p>
    <w:p>
      <w:pPr>
        <w:spacing w:after="0" w:line="200" w:lineRule="exact"/>
        <w:rPr>
          <w:sz w:val="20"/>
          <w:szCs w:val="20"/>
          <w:color w:val="auto"/>
        </w:rPr>
      </w:pPr>
    </w:p>
    <w:p>
      <w:pPr>
        <w:spacing w:after="0" w:line="222"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Named Executive Officers</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6"/>
          <w:szCs w:val="16"/>
          <w:color w:val="333333"/>
        </w:rPr>
        <w:t>Our NEOs for 2024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63500</wp:posOffset>
            </wp:positionV>
            <wp:extent cx="59664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 w:type="dxa"/>
            <w:vAlign w:val="bottom"/>
          </w:tcPr>
          <w:p>
            <w:pPr>
              <w:spacing w:after="0"/>
              <w:rPr>
                <w:sz w:val="17"/>
                <w:szCs w:val="17"/>
                <w:color w:val="auto"/>
              </w:rPr>
            </w:pPr>
          </w:p>
        </w:tc>
        <w:tc>
          <w:tcPr>
            <w:tcW w:w="4500" w:type="dxa"/>
            <w:vAlign w:val="bottom"/>
          </w:tcPr>
          <w:p>
            <w:pPr>
              <w:ind w:left="280"/>
              <w:spacing w:after="0"/>
              <w:rPr>
                <w:sz w:val="20"/>
                <w:szCs w:val="20"/>
                <w:color w:val="auto"/>
              </w:rPr>
            </w:pPr>
            <w:r>
              <w:rPr>
                <w:rFonts w:ascii="Arial" w:cs="Arial" w:eastAsia="Arial" w:hAnsi="Arial"/>
                <w:sz w:val="14"/>
                <w:szCs w:val="14"/>
                <w:b w:val="1"/>
                <w:bCs w:val="1"/>
                <w:color w:val="auto"/>
              </w:rPr>
              <w:t>Michael Egholm, Ph.D.</w:t>
            </w:r>
          </w:p>
        </w:tc>
        <w:tc>
          <w:tcPr>
            <w:tcW w:w="400" w:type="dxa"/>
            <w:vAlign w:val="bottom"/>
          </w:tcPr>
          <w:p>
            <w:pPr>
              <w:spacing w:after="0"/>
              <w:rPr>
                <w:sz w:val="17"/>
                <w:szCs w:val="17"/>
                <w:color w:val="auto"/>
              </w:rPr>
            </w:pPr>
          </w:p>
        </w:tc>
        <w:tc>
          <w:tcPr>
            <w:tcW w:w="4500" w:type="dxa"/>
            <w:vAlign w:val="bottom"/>
          </w:tcPr>
          <w:p>
            <w:pPr>
              <w:ind w:left="920"/>
              <w:spacing w:after="0"/>
              <w:rPr>
                <w:sz w:val="20"/>
                <w:szCs w:val="20"/>
                <w:color w:val="auto"/>
              </w:rPr>
            </w:pPr>
            <w:r>
              <w:rPr>
                <w:rFonts w:ascii="Arial" w:cs="Arial" w:eastAsia="Arial" w:hAnsi="Arial"/>
                <w:sz w:val="14"/>
                <w:szCs w:val="14"/>
                <w:color w:val="auto"/>
              </w:rPr>
              <w:t>Chief Executive Officer, President, and Director</w:t>
            </w:r>
          </w:p>
        </w:tc>
        <w:tc>
          <w:tcPr>
            <w:tcW w:w="820" w:type="dxa"/>
            <w:vAlign w:val="bottom"/>
          </w:tcPr>
          <w:p>
            <w:pPr>
              <w:spacing w:after="0"/>
              <w:rPr>
                <w:sz w:val="17"/>
                <w:szCs w:val="17"/>
                <w:color w:val="auto"/>
              </w:rPr>
            </w:pPr>
          </w:p>
        </w:tc>
      </w:tr>
      <w:tr>
        <w:trPr>
          <w:trHeight w:val="83"/>
        </w:trPr>
        <w:tc>
          <w:tcPr>
            <w:tcW w:w="800" w:type="dxa"/>
            <w:vAlign w:val="bottom"/>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4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88"/>
        </w:trPr>
        <w:tc>
          <w:tcPr>
            <w:tcW w:w="800" w:type="dxa"/>
            <w:vAlign w:val="bottom"/>
          </w:tcPr>
          <w:p>
            <w:pPr>
              <w:spacing w:after="0"/>
              <w:rPr>
                <w:sz w:val="24"/>
                <w:szCs w:val="24"/>
                <w:color w:val="auto"/>
              </w:rPr>
            </w:pPr>
          </w:p>
        </w:tc>
        <w:tc>
          <w:tcPr>
            <w:tcW w:w="4500" w:type="dxa"/>
            <w:vAlign w:val="bottom"/>
          </w:tcPr>
          <w:p>
            <w:pPr>
              <w:ind w:left="280"/>
              <w:spacing w:after="0"/>
              <w:rPr>
                <w:sz w:val="20"/>
                <w:szCs w:val="20"/>
                <w:color w:val="auto"/>
              </w:rPr>
            </w:pPr>
            <w:r>
              <w:rPr>
                <w:rFonts w:ascii="Arial" w:cs="Arial" w:eastAsia="Arial" w:hAnsi="Arial"/>
                <w:sz w:val="14"/>
                <w:szCs w:val="14"/>
                <w:b w:val="1"/>
                <w:bCs w:val="1"/>
                <w:color w:val="auto"/>
              </w:rPr>
              <w:t>Alex Kim</w:t>
            </w:r>
          </w:p>
        </w:tc>
        <w:tc>
          <w:tcPr>
            <w:tcW w:w="400" w:type="dxa"/>
            <w:vAlign w:val="bottom"/>
          </w:tcPr>
          <w:p>
            <w:pPr>
              <w:spacing w:after="0"/>
              <w:rPr>
                <w:sz w:val="24"/>
                <w:szCs w:val="24"/>
                <w:color w:val="auto"/>
              </w:rPr>
            </w:pPr>
          </w:p>
        </w:tc>
        <w:tc>
          <w:tcPr>
            <w:tcW w:w="4500" w:type="dxa"/>
            <w:vAlign w:val="bottom"/>
          </w:tcPr>
          <w:p>
            <w:pPr>
              <w:ind w:left="920"/>
              <w:spacing w:after="0"/>
              <w:rPr>
                <w:sz w:val="20"/>
                <w:szCs w:val="20"/>
                <w:color w:val="auto"/>
              </w:rPr>
            </w:pPr>
            <w:r>
              <w:rPr>
                <w:rFonts w:ascii="Arial" w:cs="Arial" w:eastAsia="Arial" w:hAnsi="Arial"/>
                <w:sz w:val="14"/>
                <w:szCs w:val="14"/>
                <w:color w:val="auto"/>
              </w:rPr>
              <w:t>Chief Financial Officer</w:t>
            </w:r>
          </w:p>
        </w:tc>
        <w:tc>
          <w:tcPr>
            <w:tcW w:w="820" w:type="dxa"/>
            <w:vAlign w:val="bottom"/>
          </w:tcPr>
          <w:p>
            <w:pPr>
              <w:spacing w:after="0"/>
              <w:rPr>
                <w:sz w:val="24"/>
                <w:szCs w:val="24"/>
                <w:color w:val="auto"/>
              </w:rPr>
            </w:pPr>
          </w:p>
        </w:tc>
      </w:tr>
      <w:tr>
        <w:trPr>
          <w:trHeight w:val="83"/>
        </w:trPr>
        <w:tc>
          <w:tcPr>
            <w:tcW w:w="800" w:type="dxa"/>
            <w:vAlign w:val="bottom"/>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4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88"/>
        </w:trPr>
        <w:tc>
          <w:tcPr>
            <w:tcW w:w="800" w:type="dxa"/>
            <w:vAlign w:val="bottom"/>
          </w:tcPr>
          <w:p>
            <w:pPr>
              <w:spacing w:after="0"/>
              <w:rPr>
                <w:sz w:val="24"/>
                <w:szCs w:val="24"/>
                <w:color w:val="auto"/>
              </w:rPr>
            </w:pPr>
          </w:p>
        </w:tc>
        <w:tc>
          <w:tcPr>
            <w:tcW w:w="4500" w:type="dxa"/>
            <w:vAlign w:val="bottom"/>
          </w:tcPr>
          <w:p>
            <w:pPr>
              <w:ind w:left="280"/>
              <w:spacing w:after="0"/>
              <w:rPr>
                <w:sz w:val="20"/>
                <w:szCs w:val="20"/>
                <w:color w:val="auto"/>
              </w:rPr>
            </w:pPr>
            <w:r>
              <w:rPr>
                <w:rFonts w:ascii="Arial" w:cs="Arial" w:eastAsia="Arial" w:hAnsi="Arial"/>
                <w:sz w:val="14"/>
                <w:szCs w:val="14"/>
                <w:b w:val="1"/>
                <w:bCs w:val="1"/>
                <w:color w:val="auto"/>
              </w:rPr>
              <w:t>Sean Mackay</w:t>
            </w:r>
          </w:p>
        </w:tc>
        <w:tc>
          <w:tcPr>
            <w:tcW w:w="400" w:type="dxa"/>
            <w:vAlign w:val="bottom"/>
          </w:tcPr>
          <w:p>
            <w:pPr>
              <w:spacing w:after="0"/>
              <w:rPr>
                <w:sz w:val="24"/>
                <w:szCs w:val="24"/>
                <w:color w:val="auto"/>
              </w:rPr>
            </w:pPr>
          </w:p>
        </w:tc>
        <w:tc>
          <w:tcPr>
            <w:tcW w:w="4500" w:type="dxa"/>
            <w:vAlign w:val="bottom"/>
          </w:tcPr>
          <w:p>
            <w:pPr>
              <w:ind w:left="920"/>
              <w:spacing w:after="0"/>
              <w:rPr>
                <w:sz w:val="20"/>
                <w:szCs w:val="20"/>
                <w:color w:val="auto"/>
              </w:rPr>
            </w:pPr>
            <w:r>
              <w:rPr>
                <w:rFonts w:ascii="Arial" w:cs="Arial" w:eastAsia="Arial" w:hAnsi="Arial"/>
                <w:sz w:val="14"/>
                <w:szCs w:val="14"/>
                <w:color w:val="auto"/>
              </w:rPr>
              <w:t>Chief Business Officer</w:t>
            </w:r>
          </w:p>
        </w:tc>
        <w:tc>
          <w:tcPr>
            <w:tcW w:w="820" w:type="dxa"/>
            <w:vAlign w:val="bottom"/>
          </w:tcPr>
          <w:p>
            <w:pPr>
              <w:spacing w:after="0"/>
              <w:rPr>
                <w:sz w:val="24"/>
                <w:szCs w:val="24"/>
                <w:color w:val="auto"/>
              </w:rPr>
            </w:pPr>
          </w:p>
        </w:tc>
      </w:tr>
      <w:tr>
        <w:trPr>
          <w:trHeight w:val="83"/>
        </w:trPr>
        <w:tc>
          <w:tcPr>
            <w:tcW w:w="800" w:type="dxa"/>
            <w:vAlign w:val="bottom"/>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400" w:type="dxa"/>
            <w:vAlign w:val="bottom"/>
            <w:tcBorders>
              <w:bottom w:val="single" w:sz="8" w:color="666666"/>
            </w:tcBorders>
          </w:tcPr>
          <w:p>
            <w:pPr>
              <w:spacing w:after="0"/>
              <w:rPr>
                <w:sz w:val="7"/>
                <w:szCs w:val="7"/>
                <w:color w:val="auto"/>
              </w:rPr>
            </w:pPr>
          </w:p>
        </w:tc>
        <w:tc>
          <w:tcPr>
            <w:tcW w:w="450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88"/>
        </w:trPr>
        <w:tc>
          <w:tcPr>
            <w:tcW w:w="800" w:type="dxa"/>
            <w:vAlign w:val="bottom"/>
          </w:tcPr>
          <w:p>
            <w:pPr>
              <w:spacing w:after="0"/>
              <w:rPr>
                <w:sz w:val="24"/>
                <w:szCs w:val="24"/>
                <w:color w:val="auto"/>
              </w:rPr>
            </w:pPr>
          </w:p>
        </w:tc>
        <w:tc>
          <w:tcPr>
            <w:tcW w:w="4500" w:type="dxa"/>
            <w:vAlign w:val="bottom"/>
          </w:tcPr>
          <w:p>
            <w:pPr>
              <w:ind w:left="280"/>
              <w:spacing w:after="0"/>
              <w:rPr>
                <w:sz w:val="20"/>
                <w:szCs w:val="20"/>
                <w:color w:val="auto"/>
              </w:rPr>
            </w:pPr>
            <w:r>
              <w:rPr>
                <w:rFonts w:ascii="Arial" w:cs="Arial" w:eastAsia="Arial" w:hAnsi="Arial"/>
                <w:sz w:val="14"/>
                <w:szCs w:val="14"/>
                <w:b w:val="1"/>
                <w:bCs w:val="1"/>
                <w:color w:val="auto"/>
              </w:rPr>
              <w:t>Jeffrey Black</w:t>
            </w:r>
          </w:p>
        </w:tc>
        <w:tc>
          <w:tcPr>
            <w:tcW w:w="400" w:type="dxa"/>
            <w:vAlign w:val="bottom"/>
          </w:tcPr>
          <w:p>
            <w:pPr>
              <w:spacing w:after="0"/>
              <w:rPr>
                <w:sz w:val="24"/>
                <w:szCs w:val="24"/>
                <w:color w:val="auto"/>
              </w:rPr>
            </w:pPr>
          </w:p>
        </w:tc>
        <w:tc>
          <w:tcPr>
            <w:tcW w:w="4500" w:type="dxa"/>
            <w:vAlign w:val="bottom"/>
          </w:tcPr>
          <w:p>
            <w:pPr>
              <w:ind w:left="920"/>
              <w:spacing w:after="0"/>
              <w:rPr>
                <w:sz w:val="20"/>
                <w:szCs w:val="20"/>
                <w:color w:val="auto"/>
              </w:rPr>
            </w:pPr>
            <w:r>
              <w:rPr>
                <w:rFonts w:ascii="Arial" w:cs="Arial" w:eastAsia="Arial" w:hAnsi="Arial"/>
                <w:sz w:val="14"/>
                <w:szCs w:val="14"/>
                <w:color w:val="auto"/>
              </w:rPr>
              <w:t>Former Chief Financial Officer</w:t>
            </w:r>
          </w:p>
        </w:tc>
        <w:tc>
          <w:tcPr>
            <w:tcW w:w="820" w:type="dxa"/>
            <w:vAlign w:val="bottom"/>
          </w:tcPr>
          <w:p>
            <w:pPr>
              <w:spacing w:after="0"/>
              <w:rPr>
                <w:sz w:val="24"/>
                <w:szCs w:val="24"/>
                <w:color w:val="auto"/>
              </w:rPr>
            </w:pPr>
          </w:p>
        </w:tc>
      </w:tr>
      <w:tr>
        <w:trPr>
          <w:trHeight w:val="70"/>
        </w:trPr>
        <w:tc>
          <w:tcPr>
            <w:tcW w:w="800" w:type="dxa"/>
            <w:vAlign w:val="bottom"/>
          </w:tcPr>
          <w:p>
            <w:pPr>
              <w:spacing w:after="0"/>
              <w:rPr>
                <w:sz w:val="6"/>
                <w:szCs w:val="6"/>
                <w:color w:val="auto"/>
              </w:rPr>
            </w:pPr>
          </w:p>
        </w:tc>
        <w:tc>
          <w:tcPr>
            <w:tcW w:w="4500" w:type="dxa"/>
            <w:vAlign w:val="bottom"/>
            <w:tcBorders>
              <w:bottom w:val="single" w:sz="8" w:color="24356E"/>
            </w:tcBorders>
          </w:tcPr>
          <w:p>
            <w:pPr>
              <w:spacing w:after="0"/>
              <w:rPr>
                <w:sz w:val="6"/>
                <w:szCs w:val="6"/>
                <w:color w:val="auto"/>
              </w:rPr>
            </w:pPr>
          </w:p>
        </w:tc>
        <w:tc>
          <w:tcPr>
            <w:tcW w:w="400" w:type="dxa"/>
            <w:vAlign w:val="bottom"/>
            <w:tcBorders>
              <w:bottom w:val="single" w:sz="8" w:color="24356E"/>
            </w:tcBorders>
          </w:tcPr>
          <w:p>
            <w:pPr>
              <w:spacing w:after="0"/>
              <w:rPr>
                <w:sz w:val="6"/>
                <w:szCs w:val="6"/>
                <w:color w:val="auto"/>
              </w:rPr>
            </w:pPr>
          </w:p>
        </w:tc>
        <w:tc>
          <w:tcPr>
            <w:tcW w:w="4500" w:type="dxa"/>
            <w:vAlign w:val="bottom"/>
            <w:tcBorders>
              <w:bottom w:val="single" w:sz="8" w:color="24356E"/>
            </w:tcBorders>
          </w:tcPr>
          <w:p>
            <w:pPr>
              <w:spacing w:after="0"/>
              <w:rPr>
                <w:sz w:val="6"/>
                <w:szCs w:val="6"/>
                <w:color w:val="auto"/>
              </w:rPr>
            </w:pPr>
          </w:p>
        </w:tc>
        <w:tc>
          <w:tcPr>
            <w:tcW w:w="820" w:type="dxa"/>
            <w:vAlign w:val="bottom"/>
          </w:tcPr>
          <w:p>
            <w:pPr>
              <w:spacing w:after="0"/>
              <w:rPr>
                <w:sz w:val="6"/>
                <w:szCs w:val="6"/>
                <w:color w:val="auto"/>
              </w:rPr>
            </w:pPr>
          </w:p>
        </w:tc>
      </w:tr>
      <w:tr>
        <w:trPr>
          <w:trHeight w:val="209"/>
        </w:trPr>
        <w:tc>
          <w:tcPr>
            <w:tcW w:w="800" w:type="dxa"/>
            <w:vAlign w:val="bottom"/>
          </w:tcPr>
          <w:p>
            <w:pPr>
              <w:spacing w:after="0"/>
              <w:rPr>
                <w:sz w:val="18"/>
                <w:szCs w:val="18"/>
                <w:color w:val="auto"/>
              </w:rPr>
            </w:pPr>
          </w:p>
        </w:tc>
        <w:tc>
          <w:tcPr>
            <w:tcW w:w="4500" w:type="dxa"/>
            <w:vAlign w:val="bottom"/>
            <w:tcBorders>
              <w:bottom w:val="single" w:sz="8" w:color="24356E"/>
            </w:tcBorders>
          </w:tcPr>
          <w:p>
            <w:pPr>
              <w:spacing w:after="0"/>
              <w:rPr>
                <w:sz w:val="18"/>
                <w:szCs w:val="18"/>
                <w:color w:val="auto"/>
              </w:rPr>
            </w:pPr>
          </w:p>
        </w:tc>
        <w:tc>
          <w:tcPr>
            <w:tcW w:w="400" w:type="dxa"/>
            <w:vAlign w:val="bottom"/>
            <w:tcBorders>
              <w:bottom w:val="single" w:sz="8" w:color="24356E"/>
            </w:tcBorders>
          </w:tcPr>
          <w:p>
            <w:pPr>
              <w:spacing w:after="0"/>
              <w:rPr>
                <w:sz w:val="18"/>
                <w:szCs w:val="18"/>
                <w:color w:val="auto"/>
              </w:rPr>
            </w:pPr>
          </w:p>
        </w:tc>
        <w:tc>
          <w:tcPr>
            <w:tcW w:w="4500" w:type="dxa"/>
            <w:vAlign w:val="bottom"/>
            <w:tcBorders>
              <w:bottom w:val="single" w:sz="8" w:color="24356E"/>
            </w:tcBorders>
          </w:tcPr>
          <w:p>
            <w:pPr>
              <w:spacing w:after="0"/>
              <w:rPr>
                <w:sz w:val="18"/>
                <w:szCs w:val="18"/>
                <w:color w:val="auto"/>
              </w:rPr>
            </w:pPr>
          </w:p>
        </w:tc>
        <w:tc>
          <w:tcPr>
            <w:tcW w:w="820" w:type="dxa"/>
            <w:vAlign w:val="bottom"/>
          </w:tcPr>
          <w:p>
            <w:pPr>
              <w:spacing w:after="0"/>
              <w:rPr>
                <w:sz w:val="18"/>
                <w:szCs w:val="18"/>
                <w:color w:val="auto"/>
              </w:rPr>
            </w:pPr>
          </w:p>
        </w:tc>
      </w:tr>
      <w:tr>
        <w:trPr>
          <w:trHeight w:val="363"/>
        </w:trPr>
        <w:tc>
          <w:tcPr>
            <w:tcW w:w="800" w:type="dxa"/>
            <w:vAlign w:val="bottom"/>
          </w:tcPr>
          <w:p>
            <w:pPr>
              <w:spacing w:after="0"/>
              <w:rPr>
                <w:sz w:val="24"/>
                <w:szCs w:val="24"/>
                <w:color w:val="auto"/>
              </w:rPr>
            </w:pPr>
          </w:p>
        </w:tc>
        <w:tc>
          <w:tcPr>
            <w:tcW w:w="4500" w:type="dxa"/>
            <w:vAlign w:val="bottom"/>
          </w:tcPr>
          <w:p>
            <w:pPr>
              <w:ind w:left="3020"/>
              <w:spacing w:after="0"/>
              <w:rPr>
                <w:sz w:val="20"/>
                <w:szCs w:val="20"/>
                <w:color w:val="auto"/>
              </w:rPr>
            </w:pPr>
            <w:r>
              <w:rPr>
                <w:rFonts w:ascii="Arial" w:cs="Arial" w:eastAsia="Arial" w:hAnsi="Arial"/>
                <w:sz w:val="13"/>
                <w:szCs w:val="13"/>
                <w:b w:val="1"/>
                <w:bCs w:val="1"/>
                <w:color w:val="auto"/>
              </w:rPr>
              <w:t>Standard BioTools Inc.</w:t>
            </w:r>
          </w:p>
        </w:tc>
        <w:tc>
          <w:tcPr>
            <w:tcW w:w="400" w:type="dxa"/>
            <w:vAlign w:val="bottom"/>
          </w:tcPr>
          <w:p>
            <w:pPr>
              <w:jc w:val="right"/>
              <w:ind w:right="57"/>
              <w:spacing w:after="0"/>
              <w:rPr>
                <w:sz w:val="20"/>
                <w:szCs w:val="20"/>
                <w:color w:val="auto"/>
              </w:rPr>
            </w:pPr>
            <w:r>
              <w:rPr>
                <w:rFonts w:ascii="Arial" w:cs="Arial" w:eastAsia="Arial" w:hAnsi="Arial"/>
                <w:sz w:val="13"/>
                <w:szCs w:val="13"/>
                <w:b w:val="1"/>
                <w:bCs w:val="1"/>
                <w:color w:val="auto"/>
              </w:rPr>
              <w:t>32</w:t>
            </w:r>
          </w:p>
        </w:tc>
        <w:tc>
          <w:tcPr>
            <w:tcW w:w="4500" w:type="dxa"/>
            <w:vAlign w:val="bottom"/>
          </w:tcPr>
          <w:p>
            <w:pPr>
              <w:ind w:left="120"/>
              <w:spacing w:after="0"/>
              <w:rPr>
                <w:sz w:val="20"/>
                <w:szCs w:val="20"/>
                <w:color w:val="auto"/>
              </w:rPr>
            </w:pPr>
            <w:r>
              <w:rPr>
                <w:rFonts w:ascii="Arial" w:cs="Arial" w:eastAsia="Arial" w:hAnsi="Arial"/>
                <w:sz w:val="13"/>
                <w:szCs w:val="13"/>
                <w:color w:val="auto"/>
              </w:rPr>
              <w:t>2025 Proxy Statement</w:t>
            </w:r>
          </w:p>
        </w:tc>
        <w:tc>
          <w:tcPr>
            <w:tcW w:w="820" w:type="dxa"/>
            <w:vAlign w:val="bottom"/>
          </w:tcPr>
          <w:p>
            <w:pPr>
              <w:spacing w:after="0"/>
              <w:rPr>
                <w:sz w:val="24"/>
                <w:szCs w:val="24"/>
                <w:color w:val="auto"/>
              </w:rPr>
            </w:pPr>
          </w:p>
        </w:tc>
      </w:tr>
      <w:tr>
        <w:trPr>
          <w:trHeight w:val="218"/>
        </w:trPr>
        <w:tc>
          <w:tcPr>
            <w:tcW w:w="80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114"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Summary Compensation Table</w:t>
      </w:r>
    </w:p>
    <w:p>
      <w:pPr>
        <w:spacing w:after="0" w:line="13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The following table shows information concerning the annual compensation for services provided to us by our NEOs for the years ended December 31, 2024, 2023 and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160" w:type="dxa"/>
            <w:vAlign w:val="bottom"/>
            <w:shd w:val="clear" w:color="auto" w:fill="24356E"/>
          </w:tcPr>
          <w:p>
            <w:pPr>
              <w:spacing w:after="0"/>
              <w:rPr>
                <w:sz w:val="24"/>
                <w:szCs w:val="24"/>
                <w:color w:val="auto"/>
              </w:rPr>
            </w:pPr>
          </w:p>
        </w:tc>
        <w:tc>
          <w:tcPr>
            <w:tcW w:w="1700" w:type="dxa"/>
            <w:vAlign w:val="bottom"/>
            <w:shd w:val="clear" w:color="auto" w:fill="24356E"/>
          </w:tcPr>
          <w:p>
            <w:pPr>
              <w:spacing w:after="0"/>
              <w:rPr>
                <w:sz w:val="24"/>
                <w:szCs w:val="24"/>
                <w:color w:val="auto"/>
              </w:rPr>
            </w:pPr>
          </w:p>
        </w:tc>
        <w:tc>
          <w:tcPr>
            <w:tcW w:w="620" w:type="dxa"/>
            <w:vAlign w:val="bottom"/>
            <w:shd w:val="clear" w:color="auto" w:fill="24356E"/>
          </w:tcPr>
          <w:p>
            <w:pPr>
              <w:spacing w:after="0"/>
              <w:rPr>
                <w:sz w:val="24"/>
                <w:szCs w:val="24"/>
                <w:color w:val="auto"/>
              </w:rPr>
            </w:pPr>
          </w:p>
        </w:tc>
        <w:tc>
          <w:tcPr>
            <w:tcW w:w="920" w:type="dxa"/>
            <w:vAlign w:val="bottom"/>
            <w:shd w:val="clear" w:color="auto" w:fill="24356E"/>
          </w:tcPr>
          <w:p>
            <w:pPr>
              <w:spacing w:after="0"/>
              <w:rPr>
                <w:sz w:val="24"/>
                <w:szCs w:val="24"/>
                <w:color w:val="auto"/>
              </w:rPr>
            </w:pPr>
          </w:p>
        </w:tc>
        <w:tc>
          <w:tcPr>
            <w:tcW w:w="240" w:type="dxa"/>
            <w:vAlign w:val="bottom"/>
            <w:shd w:val="clear" w:color="auto" w:fill="24356E"/>
          </w:tcPr>
          <w:p>
            <w:pPr>
              <w:spacing w:after="0"/>
              <w:rPr>
                <w:sz w:val="24"/>
                <w:szCs w:val="24"/>
                <w:color w:val="auto"/>
              </w:rPr>
            </w:pPr>
          </w:p>
        </w:tc>
        <w:tc>
          <w:tcPr>
            <w:tcW w:w="800" w:type="dxa"/>
            <w:vAlign w:val="bottom"/>
            <w:shd w:val="clear" w:color="auto" w:fill="24356E"/>
          </w:tcPr>
          <w:p>
            <w:pPr>
              <w:spacing w:after="0"/>
              <w:rPr>
                <w:sz w:val="24"/>
                <w:szCs w:val="24"/>
                <w:color w:val="auto"/>
              </w:rPr>
            </w:pPr>
          </w:p>
        </w:tc>
        <w:tc>
          <w:tcPr>
            <w:tcW w:w="240" w:type="dxa"/>
            <w:vAlign w:val="bottom"/>
            <w:shd w:val="clear" w:color="auto" w:fill="24356E"/>
          </w:tcPr>
          <w:p>
            <w:pPr>
              <w:spacing w:after="0"/>
              <w:rPr>
                <w:sz w:val="24"/>
                <w:szCs w:val="24"/>
                <w:color w:val="auto"/>
              </w:rPr>
            </w:pPr>
          </w:p>
        </w:tc>
        <w:tc>
          <w:tcPr>
            <w:tcW w:w="880" w:type="dxa"/>
            <w:vAlign w:val="bottom"/>
            <w:shd w:val="clear" w:color="auto" w:fill="24356E"/>
          </w:tcPr>
          <w:p>
            <w:pPr>
              <w:spacing w:after="0"/>
              <w:rPr>
                <w:sz w:val="24"/>
                <w:szCs w:val="24"/>
                <w:color w:val="auto"/>
              </w:rPr>
            </w:pPr>
          </w:p>
        </w:tc>
        <w:tc>
          <w:tcPr>
            <w:tcW w:w="1340" w:type="dxa"/>
            <w:vAlign w:val="bottom"/>
            <w:shd w:val="clear" w:color="auto" w:fill="24356E"/>
          </w:tcPr>
          <w:p>
            <w:pPr>
              <w:jc w:val="center"/>
              <w:ind w:left="288"/>
              <w:spacing w:after="0"/>
              <w:rPr>
                <w:sz w:val="20"/>
                <w:szCs w:val="20"/>
                <w:color w:val="auto"/>
              </w:rPr>
            </w:pPr>
            <w:r>
              <w:rPr>
                <w:rFonts w:ascii="Arial" w:cs="Arial" w:eastAsia="Arial" w:hAnsi="Arial"/>
                <w:sz w:val="14"/>
                <w:szCs w:val="14"/>
                <w:color w:val="FFFFFF"/>
              </w:rPr>
              <w:t>Non-Equity</w:t>
            </w:r>
          </w:p>
        </w:tc>
        <w:tc>
          <w:tcPr>
            <w:tcW w:w="760" w:type="dxa"/>
            <w:vAlign w:val="bottom"/>
            <w:shd w:val="clear" w:color="auto" w:fill="24356E"/>
          </w:tcPr>
          <w:p>
            <w:pPr>
              <w:spacing w:after="0"/>
              <w:rPr>
                <w:sz w:val="24"/>
                <w:szCs w:val="24"/>
                <w:color w:val="auto"/>
              </w:rPr>
            </w:pPr>
          </w:p>
        </w:tc>
        <w:tc>
          <w:tcPr>
            <w:tcW w:w="600" w:type="dxa"/>
            <w:vAlign w:val="bottom"/>
            <w:shd w:val="clear" w:color="auto" w:fill="24356E"/>
          </w:tcPr>
          <w:p>
            <w:pPr>
              <w:spacing w:after="0"/>
              <w:rPr>
                <w:sz w:val="24"/>
                <w:szCs w:val="24"/>
                <w:color w:val="auto"/>
              </w:rPr>
            </w:pPr>
          </w:p>
        </w:tc>
        <w:tc>
          <w:tcPr>
            <w:tcW w:w="260" w:type="dxa"/>
            <w:vAlign w:val="bottom"/>
            <w:shd w:val="clear" w:color="auto" w:fill="24356E"/>
          </w:tcPr>
          <w:p>
            <w:pPr>
              <w:spacing w:after="0"/>
              <w:rPr>
                <w:sz w:val="24"/>
                <w:szCs w:val="24"/>
                <w:color w:val="auto"/>
              </w:rPr>
            </w:pPr>
          </w:p>
        </w:tc>
        <w:tc>
          <w:tcPr>
            <w:tcW w:w="880" w:type="dxa"/>
            <w:vAlign w:val="bottom"/>
            <w:shd w:val="clear" w:color="auto" w:fill="24356E"/>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0" w:type="dxa"/>
            <w:vAlign w:val="bottom"/>
            <w:shd w:val="clear" w:color="auto" w:fill="24356E"/>
          </w:tcPr>
          <w:p>
            <w:pPr>
              <w:spacing w:after="0"/>
              <w:rPr>
                <w:sz w:val="13"/>
                <w:szCs w:val="13"/>
                <w:color w:val="auto"/>
              </w:rPr>
            </w:pPr>
          </w:p>
        </w:tc>
        <w:tc>
          <w:tcPr>
            <w:tcW w:w="1700" w:type="dxa"/>
            <w:vAlign w:val="bottom"/>
            <w:shd w:val="clear" w:color="auto" w:fill="24356E"/>
          </w:tcPr>
          <w:p>
            <w:pPr>
              <w:spacing w:after="0"/>
              <w:rPr>
                <w:sz w:val="13"/>
                <w:szCs w:val="13"/>
                <w:color w:val="auto"/>
              </w:rPr>
            </w:pPr>
          </w:p>
        </w:tc>
        <w:tc>
          <w:tcPr>
            <w:tcW w:w="620" w:type="dxa"/>
            <w:vAlign w:val="bottom"/>
            <w:shd w:val="clear" w:color="auto" w:fill="24356E"/>
          </w:tcPr>
          <w:p>
            <w:pPr>
              <w:spacing w:after="0"/>
              <w:rPr>
                <w:sz w:val="13"/>
                <w:szCs w:val="13"/>
                <w:color w:val="auto"/>
              </w:rPr>
            </w:pPr>
          </w:p>
        </w:tc>
        <w:tc>
          <w:tcPr>
            <w:tcW w:w="920" w:type="dxa"/>
            <w:vAlign w:val="bottom"/>
            <w:shd w:val="clear" w:color="auto" w:fill="24356E"/>
          </w:tcPr>
          <w:p>
            <w:pPr>
              <w:spacing w:after="0"/>
              <w:rPr>
                <w:sz w:val="13"/>
                <w:szCs w:val="13"/>
                <w:color w:val="auto"/>
              </w:rPr>
            </w:pPr>
          </w:p>
        </w:tc>
        <w:tc>
          <w:tcPr>
            <w:tcW w:w="240" w:type="dxa"/>
            <w:vAlign w:val="bottom"/>
            <w:shd w:val="clear" w:color="auto" w:fill="24356E"/>
          </w:tcPr>
          <w:p>
            <w:pPr>
              <w:spacing w:after="0"/>
              <w:rPr>
                <w:sz w:val="13"/>
                <w:szCs w:val="13"/>
                <w:color w:val="auto"/>
              </w:rPr>
            </w:pPr>
          </w:p>
        </w:tc>
        <w:tc>
          <w:tcPr>
            <w:tcW w:w="800" w:type="dxa"/>
            <w:vAlign w:val="bottom"/>
            <w:shd w:val="clear" w:color="auto" w:fill="24356E"/>
          </w:tcPr>
          <w:p>
            <w:pPr>
              <w:ind w:left="300"/>
              <w:spacing w:after="0" w:line="159" w:lineRule="exact"/>
              <w:rPr>
                <w:sz w:val="20"/>
                <w:szCs w:val="20"/>
                <w:color w:val="auto"/>
              </w:rPr>
            </w:pPr>
            <w:r>
              <w:rPr>
                <w:rFonts w:ascii="Arial" w:cs="Arial" w:eastAsia="Arial" w:hAnsi="Arial"/>
                <w:sz w:val="14"/>
                <w:szCs w:val="14"/>
                <w:color w:val="FFFFFF"/>
              </w:rPr>
              <w:t>Stock</w:t>
            </w:r>
          </w:p>
        </w:tc>
        <w:tc>
          <w:tcPr>
            <w:tcW w:w="240" w:type="dxa"/>
            <w:vAlign w:val="bottom"/>
            <w:shd w:val="clear" w:color="auto" w:fill="24356E"/>
          </w:tcPr>
          <w:p>
            <w:pPr>
              <w:spacing w:after="0"/>
              <w:rPr>
                <w:sz w:val="13"/>
                <w:szCs w:val="13"/>
                <w:color w:val="auto"/>
              </w:rPr>
            </w:pPr>
          </w:p>
        </w:tc>
        <w:tc>
          <w:tcPr>
            <w:tcW w:w="880" w:type="dxa"/>
            <w:vAlign w:val="bottom"/>
            <w:shd w:val="clear" w:color="auto" w:fill="24356E"/>
          </w:tcPr>
          <w:p>
            <w:pPr>
              <w:jc w:val="right"/>
              <w:ind w:right="68"/>
              <w:spacing w:after="0" w:line="159" w:lineRule="exact"/>
              <w:rPr>
                <w:sz w:val="20"/>
                <w:szCs w:val="20"/>
                <w:color w:val="auto"/>
              </w:rPr>
            </w:pPr>
            <w:r>
              <w:rPr>
                <w:rFonts w:ascii="Arial" w:cs="Arial" w:eastAsia="Arial" w:hAnsi="Arial"/>
                <w:sz w:val="14"/>
                <w:szCs w:val="14"/>
                <w:color w:val="FFFFFF"/>
              </w:rPr>
              <w:t>Option</w:t>
            </w:r>
          </w:p>
        </w:tc>
        <w:tc>
          <w:tcPr>
            <w:tcW w:w="1340" w:type="dxa"/>
            <w:vAlign w:val="bottom"/>
            <w:shd w:val="clear" w:color="auto" w:fill="24356E"/>
          </w:tcPr>
          <w:p>
            <w:pPr>
              <w:ind w:left="260"/>
              <w:spacing w:after="0" w:line="159" w:lineRule="exact"/>
              <w:rPr>
                <w:sz w:val="20"/>
                <w:szCs w:val="20"/>
                <w:color w:val="auto"/>
              </w:rPr>
            </w:pPr>
            <w:r>
              <w:rPr>
                <w:rFonts w:ascii="Arial" w:cs="Arial" w:eastAsia="Arial" w:hAnsi="Arial"/>
                <w:sz w:val="14"/>
                <w:szCs w:val="14"/>
                <w:color w:val="FFFFFF"/>
              </w:rPr>
              <w:t>Incentive Plan</w:t>
            </w:r>
          </w:p>
        </w:tc>
        <w:tc>
          <w:tcPr>
            <w:tcW w:w="1360" w:type="dxa"/>
            <w:vAlign w:val="bottom"/>
            <w:gridSpan w:val="2"/>
            <w:shd w:val="clear" w:color="auto" w:fill="24356E"/>
          </w:tcPr>
          <w:p>
            <w:pPr>
              <w:ind w:left="620"/>
              <w:spacing w:after="0" w:line="159" w:lineRule="exact"/>
              <w:rPr>
                <w:sz w:val="20"/>
                <w:szCs w:val="20"/>
                <w:color w:val="auto"/>
              </w:rPr>
            </w:pPr>
            <w:r>
              <w:rPr>
                <w:rFonts w:ascii="Arial" w:cs="Arial" w:eastAsia="Arial" w:hAnsi="Arial"/>
                <w:sz w:val="14"/>
                <w:szCs w:val="14"/>
                <w:color w:val="FFFFFF"/>
              </w:rPr>
              <w:t>All Other</w:t>
            </w:r>
          </w:p>
        </w:tc>
        <w:tc>
          <w:tcPr>
            <w:tcW w:w="260" w:type="dxa"/>
            <w:vAlign w:val="bottom"/>
            <w:shd w:val="clear" w:color="auto" w:fill="24356E"/>
          </w:tcPr>
          <w:p>
            <w:pPr>
              <w:spacing w:after="0"/>
              <w:rPr>
                <w:sz w:val="13"/>
                <w:szCs w:val="13"/>
                <w:color w:val="auto"/>
              </w:rPr>
            </w:pPr>
          </w:p>
        </w:tc>
        <w:tc>
          <w:tcPr>
            <w:tcW w:w="880" w:type="dxa"/>
            <w:vAlign w:val="bottom"/>
            <w:shd w:val="clear" w:color="auto" w:fill="24356E"/>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60" w:type="dxa"/>
            <w:vAlign w:val="bottom"/>
            <w:shd w:val="clear" w:color="auto" w:fill="24356E"/>
          </w:tcPr>
          <w:p>
            <w:pPr>
              <w:spacing w:after="0"/>
              <w:rPr>
                <w:sz w:val="24"/>
                <w:szCs w:val="24"/>
                <w:color w:val="auto"/>
              </w:rPr>
            </w:pPr>
          </w:p>
        </w:tc>
        <w:tc>
          <w:tcPr>
            <w:tcW w:w="1700" w:type="dxa"/>
            <w:vAlign w:val="bottom"/>
            <w:shd w:val="clear" w:color="auto" w:fill="24356E"/>
          </w:tcPr>
          <w:p>
            <w:pPr>
              <w:ind w:left="80"/>
              <w:spacing w:after="0"/>
              <w:rPr>
                <w:sz w:val="20"/>
                <w:szCs w:val="20"/>
                <w:color w:val="auto"/>
              </w:rPr>
            </w:pPr>
            <w:r>
              <w:rPr>
                <w:rFonts w:ascii="Arial" w:cs="Arial" w:eastAsia="Arial" w:hAnsi="Arial"/>
                <w:sz w:val="14"/>
                <w:szCs w:val="14"/>
                <w:color w:val="FFFFFF"/>
              </w:rPr>
              <w:t>Name</w:t>
            </w:r>
          </w:p>
        </w:tc>
        <w:tc>
          <w:tcPr>
            <w:tcW w:w="620" w:type="dxa"/>
            <w:vAlign w:val="bottom"/>
            <w:shd w:val="clear" w:color="auto" w:fill="24356E"/>
          </w:tcPr>
          <w:p>
            <w:pPr>
              <w:jc w:val="right"/>
              <w:ind w:right="68"/>
              <w:spacing w:after="0"/>
              <w:rPr>
                <w:sz w:val="20"/>
                <w:szCs w:val="20"/>
                <w:color w:val="auto"/>
              </w:rPr>
            </w:pPr>
            <w:r>
              <w:rPr>
                <w:rFonts w:ascii="Arial" w:cs="Arial" w:eastAsia="Arial" w:hAnsi="Arial"/>
                <w:sz w:val="14"/>
                <w:szCs w:val="14"/>
                <w:color w:val="FFFFFF"/>
              </w:rPr>
              <w:t>Year</w:t>
            </w:r>
          </w:p>
        </w:tc>
        <w:tc>
          <w:tcPr>
            <w:tcW w:w="920" w:type="dxa"/>
            <w:vAlign w:val="bottom"/>
            <w:shd w:val="clear" w:color="auto" w:fill="24356E"/>
          </w:tcPr>
          <w:p>
            <w:pPr>
              <w:jc w:val="right"/>
              <w:ind w:right="68"/>
              <w:spacing w:after="0"/>
              <w:rPr>
                <w:sz w:val="20"/>
                <w:szCs w:val="20"/>
                <w:color w:val="auto"/>
              </w:rPr>
            </w:pPr>
            <w:r>
              <w:rPr>
                <w:rFonts w:ascii="Arial" w:cs="Arial" w:eastAsia="Arial" w:hAnsi="Arial"/>
                <w:sz w:val="14"/>
                <w:szCs w:val="14"/>
                <w:color w:val="FFFFFF"/>
              </w:rPr>
              <w:t>Salary</w:t>
            </w:r>
          </w:p>
        </w:tc>
        <w:tc>
          <w:tcPr>
            <w:tcW w:w="240" w:type="dxa"/>
            <w:vAlign w:val="bottom"/>
            <w:shd w:val="clear" w:color="auto" w:fill="24356E"/>
          </w:tcPr>
          <w:p>
            <w:pPr>
              <w:spacing w:after="0"/>
              <w:rPr>
                <w:sz w:val="24"/>
                <w:szCs w:val="24"/>
                <w:color w:val="auto"/>
              </w:rPr>
            </w:pPr>
          </w:p>
        </w:tc>
        <w:tc>
          <w:tcPr>
            <w:tcW w:w="800" w:type="dxa"/>
            <w:vAlign w:val="bottom"/>
            <w:shd w:val="clear" w:color="auto" w:fill="24356E"/>
          </w:tcPr>
          <w:p>
            <w:pPr>
              <w:jc w:val="center"/>
              <w:ind w:right="28"/>
              <w:spacing w:after="0"/>
              <w:rPr>
                <w:sz w:val="20"/>
                <w:szCs w:val="20"/>
                <w:color w:val="auto"/>
              </w:rPr>
            </w:pPr>
            <w:r>
              <w:rPr>
                <w:rFonts w:ascii="Arial" w:cs="Arial" w:eastAsia="Arial" w:hAnsi="Arial"/>
                <w:sz w:val="14"/>
                <w:szCs w:val="14"/>
                <w:color w:val="FFFFFF"/>
                <w:w w:val="94"/>
              </w:rPr>
              <w:t>Awards</w:t>
            </w:r>
            <w:r>
              <w:rPr>
                <w:rFonts w:ascii="Arial" w:cs="Arial" w:eastAsia="Arial" w:hAnsi="Arial"/>
                <w:sz w:val="23"/>
                <w:szCs w:val="23"/>
                <w:color w:val="FFFFFF"/>
                <w:w w:val="94"/>
                <w:vertAlign w:val="superscript"/>
              </w:rPr>
              <w:t>(1)</w:t>
            </w:r>
          </w:p>
        </w:tc>
        <w:tc>
          <w:tcPr>
            <w:tcW w:w="240" w:type="dxa"/>
            <w:vAlign w:val="bottom"/>
            <w:shd w:val="clear" w:color="auto" w:fill="24356E"/>
          </w:tcPr>
          <w:p>
            <w:pPr>
              <w:spacing w:after="0"/>
              <w:rPr>
                <w:sz w:val="24"/>
                <w:szCs w:val="24"/>
                <w:color w:val="auto"/>
              </w:rPr>
            </w:pPr>
          </w:p>
        </w:tc>
        <w:tc>
          <w:tcPr>
            <w:tcW w:w="880" w:type="dxa"/>
            <w:vAlign w:val="bottom"/>
            <w:shd w:val="clear" w:color="auto" w:fill="24356E"/>
          </w:tcPr>
          <w:p>
            <w:pPr>
              <w:jc w:val="right"/>
              <w:ind w:right="68"/>
              <w:spacing w:after="0"/>
              <w:rPr>
                <w:sz w:val="20"/>
                <w:szCs w:val="20"/>
                <w:color w:val="auto"/>
              </w:rPr>
            </w:pPr>
            <w:r>
              <w:rPr>
                <w:rFonts w:ascii="Arial" w:cs="Arial" w:eastAsia="Arial" w:hAnsi="Arial"/>
                <w:sz w:val="14"/>
                <w:szCs w:val="14"/>
                <w:color w:val="FFFFFF"/>
              </w:rPr>
              <w:t>Awards</w:t>
            </w:r>
            <w:r>
              <w:rPr>
                <w:rFonts w:ascii="Arial" w:cs="Arial" w:eastAsia="Arial" w:hAnsi="Arial"/>
                <w:sz w:val="23"/>
                <w:szCs w:val="23"/>
                <w:color w:val="FFFFFF"/>
                <w:vertAlign w:val="superscript"/>
              </w:rPr>
              <w:t>(1)</w:t>
            </w:r>
          </w:p>
        </w:tc>
        <w:tc>
          <w:tcPr>
            <w:tcW w:w="1340" w:type="dxa"/>
            <w:vAlign w:val="bottom"/>
            <w:shd w:val="clear" w:color="auto" w:fill="24356E"/>
          </w:tcPr>
          <w:p>
            <w:pPr>
              <w:ind w:left="140"/>
              <w:spacing w:after="0"/>
              <w:rPr>
                <w:sz w:val="20"/>
                <w:szCs w:val="20"/>
                <w:color w:val="auto"/>
              </w:rPr>
            </w:pPr>
            <w:r>
              <w:rPr>
                <w:rFonts w:ascii="Arial" w:cs="Arial" w:eastAsia="Arial" w:hAnsi="Arial"/>
                <w:sz w:val="14"/>
                <w:szCs w:val="14"/>
                <w:color w:val="FFFFFF"/>
              </w:rPr>
              <w:t>Compensation</w:t>
            </w:r>
            <w:r>
              <w:rPr>
                <w:rFonts w:ascii="Arial" w:cs="Arial" w:eastAsia="Arial" w:hAnsi="Arial"/>
                <w:sz w:val="23"/>
                <w:szCs w:val="23"/>
                <w:color w:val="FFFFFF"/>
                <w:vertAlign w:val="superscript"/>
              </w:rPr>
              <w:t>(2)</w:t>
            </w:r>
          </w:p>
        </w:tc>
        <w:tc>
          <w:tcPr>
            <w:tcW w:w="1360" w:type="dxa"/>
            <w:vAlign w:val="bottom"/>
            <w:gridSpan w:val="2"/>
            <w:shd w:val="clear" w:color="auto" w:fill="24356E"/>
          </w:tcPr>
          <w:p>
            <w:pPr>
              <w:ind w:left="140"/>
              <w:spacing w:after="0"/>
              <w:rPr>
                <w:sz w:val="20"/>
                <w:szCs w:val="20"/>
                <w:color w:val="auto"/>
              </w:rPr>
            </w:pPr>
            <w:r>
              <w:rPr>
                <w:rFonts w:ascii="Arial" w:cs="Arial" w:eastAsia="Arial" w:hAnsi="Arial"/>
                <w:sz w:val="14"/>
                <w:szCs w:val="14"/>
                <w:color w:val="FFFFFF"/>
              </w:rPr>
              <w:t>Compensation</w:t>
            </w:r>
            <w:r>
              <w:rPr>
                <w:rFonts w:ascii="Arial" w:cs="Arial" w:eastAsia="Arial" w:hAnsi="Arial"/>
                <w:sz w:val="23"/>
                <w:szCs w:val="23"/>
                <w:color w:val="FFFFFF"/>
                <w:vertAlign w:val="superscript"/>
              </w:rPr>
              <w:t>(3)</w:t>
            </w:r>
          </w:p>
        </w:tc>
        <w:tc>
          <w:tcPr>
            <w:tcW w:w="260" w:type="dxa"/>
            <w:vAlign w:val="bottom"/>
            <w:shd w:val="clear" w:color="auto" w:fill="24356E"/>
          </w:tcPr>
          <w:p>
            <w:pPr>
              <w:spacing w:after="0"/>
              <w:rPr>
                <w:sz w:val="24"/>
                <w:szCs w:val="24"/>
                <w:color w:val="auto"/>
              </w:rPr>
            </w:pPr>
          </w:p>
        </w:tc>
        <w:tc>
          <w:tcPr>
            <w:tcW w:w="88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261"/>
        </w:trPr>
        <w:tc>
          <w:tcPr>
            <w:tcW w:w="16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Michael Egholm,</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$686,250</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$2,580,000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4,547,486</w:t>
            </w:r>
          </w:p>
        </w:tc>
        <w:tc>
          <w:tcPr>
            <w:tcW w:w="1340" w:type="dxa"/>
            <w:vAlign w:val="bottom"/>
          </w:tcPr>
          <w:p>
            <w:pPr>
              <w:jc w:val="center"/>
              <w:ind w:left="268"/>
              <w:spacing w:after="0"/>
              <w:rPr>
                <w:sz w:val="20"/>
                <w:szCs w:val="20"/>
                <w:color w:val="auto"/>
              </w:rPr>
            </w:pPr>
            <w:r>
              <w:rPr>
                <w:rFonts w:ascii="Arial" w:cs="Arial" w:eastAsia="Arial" w:hAnsi="Arial"/>
                <w:sz w:val="14"/>
                <w:szCs w:val="14"/>
                <w:color w:val="auto"/>
              </w:rPr>
              <w:t>$490,000</w:t>
            </w:r>
          </w:p>
        </w:tc>
        <w:tc>
          <w:tcPr>
            <w:tcW w:w="1360" w:type="dxa"/>
            <w:vAlign w:val="bottom"/>
            <w:gridSpan w:val="2"/>
          </w:tcPr>
          <w:p>
            <w:pPr>
              <w:ind w:left="640"/>
              <w:spacing w:after="0"/>
              <w:rPr>
                <w:sz w:val="20"/>
                <w:szCs w:val="20"/>
                <w:color w:val="auto"/>
              </w:rPr>
            </w:pPr>
            <w:r>
              <w:rPr>
                <w:rFonts w:ascii="Arial" w:cs="Arial" w:eastAsia="Arial" w:hAnsi="Arial"/>
                <w:sz w:val="14"/>
                <w:szCs w:val="14"/>
                <w:color w:val="auto"/>
              </w:rPr>
              <w:t>$33,308</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8,337,044</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Ph.D.</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700" w:type="dxa"/>
            <w:vAlign w:val="bottom"/>
          </w:tcPr>
          <w:p>
            <w:pPr>
              <w:ind w:left="80"/>
              <w:spacing w:after="0"/>
              <w:rPr>
                <w:sz w:val="20"/>
                <w:szCs w:val="20"/>
                <w:color w:val="auto"/>
              </w:rPr>
            </w:pPr>
            <w:r>
              <w:rPr>
                <w:rFonts w:ascii="Arial" w:cs="Arial" w:eastAsia="Arial" w:hAnsi="Arial"/>
                <w:sz w:val="14"/>
                <w:szCs w:val="14"/>
                <w:i w:val="1"/>
                <w:iCs w:val="1"/>
                <w:color w:val="auto"/>
              </w:rPr>
              <w:t>President, Chief</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2023</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$596,667</w:t>
            </w:r>
          </w:p>
        </w:tc>
        <w:tc>
          <w:tcPr>
            <w:tcW w:w="24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560,421</w:t>
            </w:r>
          </w:p>
        </w:tc>
        <w:tc>
          <w:tcPr>
            <w:tcW w:w="240" w:type="dxa"/>
            <w:vAlign w:val="bottom"/>
          </w:tcPr>
          <w:p>
            <w:pPr>
              <w:spacing w:after="0"/>
              <w:rPr>
                <w:sz w:val="14"/>
                <w:szCs w:val="14"/>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center"/>
              <w:ind w:left="268"/>
              <w:spacing w:after="0"/>
              <w:rPr>
                <w:sz w:val="20"/>
                <w:szCs w:val="20"/>
                <w:color w:val="auto"/>
              </w:rPr>
            </w:pPr>
            <w:r>
              <w:rPr>
                <w:rFonts w:ascii="Arial" w:cs="Arial" w:eastAsia="Arial" w:hAnsi="Arial"/>
                <w:sz w:val="14"/>
                <w:szCs w:val="14"/>
                <w:color w:val="auto"/>
              </w:rPr>
              <w:t>$774,000</w:t>
            </w:r>
          </w:p>
        </w:tc>
        <w:tc>
          <w:tcPr>
            <w:tcW w:w="760" w:type="dxa"/>
            <w:vAlign w:val="bottom"/>
          </w:tcPr>
          <w:p>
            <w:pPr>
              <w:spacing w:after="0"/>
              <w:rPr>
                <w:sz w:val="14"/>
                <w:szCs w:val="14"/>
                <w:color w:val="auto"/>
              </w:rPr>
            </w:pPr>
          </w:p>
        </w:tc>
        <w:tc>
          <w:tcPr>
            <w:tcW w:w="60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1,931,088</w:t>
            </w: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170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Executive Officer, and</w:t>
            </w:r>
          </w:p>
        </w:tc>
        <w:tc>
          <w:tcPr>
            <w:tcW w:w="6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700" w:type="dxa"/>
            <w:vAlign w:val="bottom"/>
          </w:tcPr>
          <w:p>
            <w:pPr>
              <w:ind w:left="80"/>
              <w:spacing w:after="0"/>
              <w:rPr>
                <w:sz w:val="20"/>
                <w:szCs w:val="20"/>
                <w:color w:val="auto"/>
              </w:rPr>
            </w:pPr>
            <w:r>
              <w:rPr>
                <w:rFonts w:ascii="Arial" w:cs="Arial" w:eastAsia="Arial" w:hAnsi="Arial"/>
                <w:sz w:val="14"/>
                <w:szCs w:val="14"/>
                <w:i w:val="1"/>
                <w:iCs w:val="1"/>
                <w:color w:val="auto"/>
              </w:rPr>
              <w:t>Director</w:t>
            </w: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color w:val="auto"/>
              </w:rPr>
              <w:t>2022</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$373,106</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color w:val="auto"/>
              </w:rPr>
              <w:t>$3,136,336</w:t>
            </w: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color w:val="auto"/>
              </w:rPr>
              <w:t>$12,243,415</w:t>
            </w:r>
          </w:p>
        </w:tc>
        <w:tc>
          <w:tcPr>
            <w:tcW w:w="1340" w:type="dxa"/>
            <w:vAlign w:val="bottom"/>
            <w:vMerge w:val="restart"/>
          </w:tcPr>
          <w:p>
            <w:pPr>
              <w:jc w:val="center"/>
              <w:ind w:left="268"/>
              <w:spacing w:after="0"/>
              <w:rPr>
                <w:sz w:val="20"/>
                <w:szCs w:val="20"/>
                <w:color w:val="auto"/>
              </w:rPr>
            </w:pPr>
            <w:r>
              <w:rPr>
                <w:rFonts w:ascii="Arial" w:cs="Arial" w:eastAsia="Arial" w:hAnsi="Arial"/>
                <w:sz w:val="14"/>
                <w:szCs w:val="14"/>
                <w:color w:val="auto"/>
              </w:rPr>
              <w:t>$142,472</w:t>
            </w:r>
          </w:p>
        </w:tc>
        <w:tc>
          <w:tcPr>
            <w:tcW w:w="7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color w:val="auto"/>
              </w:rPr>
              <w:t>520</w:t>
            </w: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color w:val="auto"/>
              </w:rPr>
              <w:t>$15,895,848</w:t>
            </w: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60" w:type="dxa"/>
            <w:vAlign w:val="bottom"/>
            <w:tcBorders>
              <w:bottom w:val="single" w:sz="8" w:color="666666"/>
            </w:tcBorders>
          </w:tcPr>
          <w:p>
            <w:pPr>
              <w:spacing w:after="0"/>
              <w:rPr>
                <w:sz w:val="7"/>
                <w:szCs w:val="7"/>
                <w:color w:val="auto"/>
              </w:rPr>
            </w:pPr>
          </w:p>
        </w:tc>
        <w:tc>
          <w:tcPr>
            <w:tcW w:w="1700" w:type="dxa"/>
            <w:vAlign w:val="bottom"/>
            <w:tcBorders>
              <w:bottom w:val="single" w:sz="8" w:color="666666"/>
            </w:tcBorders>
          </w:tcPr>
          <w:p>
            <w:pPr>
              <w:spacing w:after="0"/>
              <w:rPr>
                <w:sz w:val="7"/>
                <w:szCs w:val="7"/>
                <w:color w:val="auto"/>
              </w:rPr>
            </w:pPr>
          </w:p>
        </w:tc>
        <w:tc>
          <w:tcPr>
            <w:tcW w:w="62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c>
          <w:tcPr>
            <w:tcW w:w="24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2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1340" w:type="dxa"/>
            <w:vAlign w:val="bottom"/>
            <w:tcBorders>
              <w:bottom w:val="single" w:sz="8" w:color="666666"/>
            </w:tcBorders>
          </w:tcPr>
          <w:p>
            <w:pPr>
              <w:spacing w:after="0"/>
              <w:rPr>
                <w:sz w:val="7"/>
                <w:szCs w:val="7"/>
                <w:color w:val="auto"/>
              </w:rPr>
            </w:pPr>
          </w:p>
        </w:tc>
        <w:tc>
          <w:tcPr>
            <w:tcW w:w="1360" w:type="dxa"/>
            <w:vAlign w:val="bottom"/>
            <w:tcBorders>
              <w:bottom w:val="single" w:sz="8" w:color="666666"/>
            </w:tcBorders>
            <w:gridSpan w:val="2"/>
          </w:tcPr>
          <w:p>
            <w:pPr>
              <w:spacing w:after="0"/>
              <w:rPr>
                <w:sz w:val="7"/>
                <w:szCs w:val="7"/>
                <w:color w:val="auto"/>
              </w:rPr>
            </w:pPr>
          </w:p>
        </w:tc>
        <w:tc>
          <w:tcPr>
            <w:tcW w:w="26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Alex Kim</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$485,000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859,999</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1,515,829</w:t>
            </w:r>
          </w:p>
        </w:tc>
        <w:tc>
          <w:tcPr>
            <w:tcW w:w="1340" w:type="dxa"/>
            <w:vAlign w:val="bottom"/>
          </w:tcPr>
          <w:p>
            <w:pPr>
              <w:jc w:val="center"/>
              <w:ind w:left="268"/>
              <w:spacing w:after="0"/>
              <w:rPr>
                <w:sz w:val="20"/>
                <w:szCs w:val="20"/>
                <w:color w:val="auto"/>
              </w:rPr>
            </w:pPr>
            <w:r>
              <w:rPr>
                <w:rFonts w:ascii="Arial" w:cs="Arial" w:eastAsia="Arial" w:hAnsi="Arial"/>
                <w:sz w:val="14"/>
                <w:szCs w:val="14"/>
                <w:color w:val="auto"/>
              </w:rPr>
              <w:t>$210,000</w:t>
            </w:r>
          </w:p>
        </w:tc>
        <w:tc>
          <w:tcPr>
            <w:tcW w:w="1360" w:type="dxa"/>
            <w:vAlign w:val="bottom"/>
            <w:gridSpan w:val="2"/>
          </w:tcPr>
          <w:p>
            <w:pPr>
              <w:ind w:left="640"/>
              <w:spacing w:after="0"/>
              <w:rPr>
                <w:sz w:val="20"/>
                <w:szCs w:val="20"/>
                <w:color w:val="auto"/>
              </w:rPr>
            </w:pPr>
            <w:r>
              <w:rPr>
                <w:rFonts w:ascii="Arial" w:cs="Arial" w:eastAsia="Arial" w:hAnsi="Arial"/>
                <w:sz w:val="14"/>
                <w:szCs w:val="14"/>
                <w:color w:val="auto"/>
              </w:rPr>
              <w:t>$19,512</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3,090,340</w:t>
            </w: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1700" w:type="dxa"/>
            <w:vAlign w:val="bottom"/>
          </w:tcPr>
          <w:p>
            <w:pPr>
              <w:ind w:left="80"/>
              <w:spacing w:after="0" w:line="157" w:lineRule="exact"/>
              <w:rPr>
                <w:sz w:val="20"/>
                <w:szCs w:val="20"/>
                <w:color w:val="auto"/>
              </w:rPr>
            </w:pPr>
            <w:r>
              <w:rPr>
                <w:rFonts w:ascii="Arial" w:cs="Arial" w:eastAsia="Arial" w:hAnsi="Arial"/>
                <w:sz w:val="14"/>
                <w:szCs w:val="14"/>
                <w:i w:val="1"/>
                <w:iCs w:val="1"/>
                <w:color w:val="auto"/>
              </w:rPr>
              <w:t>Chief Financial</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1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23"/>
                <w:szCs w:val="23"/>
                <w:color w:val="auto"/>
                <w:vertAlign w:val="superscript"/>
              </w:rPr>
              <w:t>(4)</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$430,000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186,788</w:t>
            </w:r>
          </w:p>
        </w:tc>
        <w:tc>
          <w:tcPr>
            <w:tcW w:w="24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left="268"/>
              <w:spacing w:after="0"/>
              <w:rPr>
                <w:sz w:val="20"/>
                <w:szCs w:val="20"/>
                <w:color w:val="auto"/>
              </w:rPr>
            </w:pPr>
            <w:r>
              <w:rPr>
                <w:rFonts w:ascii="Arial" w:cs="Arial" w:eastAsia="Arial" w:hAnsi="Arial"/>
                <w:sz w:val="14"/>
                <w:szCs w:val="14"/>
                <w:color w:val="auto"/>
              </w:rPr>
              <w:t>$290,000</w:t>
            </w:r>
          </w:p>
        </w:tc>
        <w:tc>
          <w:tcPr>
            <w:tcW w:w="760" w:type="dxa"/>
            <w:vAlign w:val="bottom"/>
          </w:tcPr>
          <w:p>
            <w:pPr>
              <w:ind w:left="6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3,000</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909,788</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color w:val="auto"/>
              </w:rPr>
              <w:t>$298,485</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color w:val="auto"/>
              </w:rPr>
              <w:t>$1,120,121</w:t>
            </w:r>
          </w:p>
        </w:tc>
        <w:tc>
          <w:tcPr>
            <w:tcW w:w="24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4,372,645</w:t>
            </w:r>
          </w:p>
        </w:tc>
        <w:tc>
          <w:tcPr>
            <w:tcW w:w="1340" w:type="dxa"/>
            <w:vAlign w:val="bottom"/>
            <w:vMerge w:val="restart"/>
          </w:tcPr>
          <w:p>
            <w:pPr>
              <w:jc w:val="center"/>
              <w:ind w:left="268"/>
              <w:spacing w:after="0"/>
              <w:rPr>
                <w:sz w:val="20"/>
                <w:szCs w:val="20"/>
                <w:color w:val="auto"/>
              </w:rPr>
            </w:pPr>
            <w:r>
              <w:rPr>
                <w:rFonts w:ascii="Arial" w:cs="Arial" w:eastAsia="Arial" w:hAnsi="Arial"/>
                <w:sz w:val="14"/>
                <w:szCs w:val="14"/>
                <w:color w:val="auto"/>
              </w:rPr>
              <w:t>$ 62,687</w:t>
            </w:r>
          </w:p>
        </w:tc>
        <w:tc>
          <w:tcPr>
            <w:tcW w:w="7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color w:val="auto"/>
              </w:rPr>
              <w:t>3,000</w:t>
            </w:r>
          </w:p>
        </w:tc>
        <w:tc>
          <w:tcPr>
            <w:tcW w:w="26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5,856,938</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60" w:type="dxa"/>
            <w:vAlign w:val="bottom"/>
            <w:tcBorders>
              <w:bottom w:val="single" w:sz="8" w:color="666666"/>
            </w:tcBorders>
          </w:tcPr>
          <w:p>
            <w:pPr>
              <w:spacing w:after="0"/>
              <w:rPr>
                <w:sz w:val="7"/>
                <w:szCs w:val="7"/>
                <w:color w:val="auto"/>
              </w:rPr>
            </w:pPr>
          </w:p>
        </w:tc>
        <w:tc>
          <w:tcPr>
            <w:tcW w:w="1700" w:type="dxa"/>
            <w:vAlign w:val="bottom"/>
            <w:tcBorders>
              <w:bottom w:val="single" w:sz="8" w:color="666666"/>
            </w:tcBorders>
          </w:tcPr>
          <w:p>
            <w:pPr>
              <w:spacing w:after="0"/>
              <w:rPr>
                <w:sz w:val="7"/>
                <w:szCs w:val="7"/>
                <w:color w:val="auto"/>
              </w:rPr>
            </w:pPr>
          </w:p>
        </w:tc>
        <w:tc>
          <w:tcPr>
            <w:tcW w:w="62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c>
          <w:tcPr>
            <w:tcW w:w="1040" w:type="dxa"/>
            <w:vAlign w:val="bottom"/>
            <w:tcBorders>
              <w:bottom w:val="single" w:sz="8" w:color="666666"/>
            </w:tcBorders>
            <w:gridSpan w:val="2"/>
          </w:tcPr>
          <w:p>
            <w:pPr>
              <w:spacing w:after="0"/>
              <w:rPr>
                <w:sz w:val="7"/>
                <w:szCs w:val="7"/>
                <w:color w:val="auto"/>
              </w:rPr>
            </w:pPr>
          </w:p>
        </w:tc>
        <w:tc>
          <w:tcPr>
            <w:tcW w:w="2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13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600" w:type="dxa"/>
            <w:vAlign w:val="bottom"/>
            <w:tcBorders>
              <w:bottom w:val="single" w:sz="8" w:color="666666"/>
            </w:tcBorders>
          </w:tcPr>
          <w:p>
            <w:pPr>
              <w:spacing w:after="0"/>
              <w:rPr>
                <w:sz w:val="7"/>
                <w:szCs w:val="7"/>
                <w:color w:val="auto"/>
              </w:rPr>
            </w:pPr>
          </w:p>
        </w:tc>
        <w:tc>
          <w:tcPr>
            <w:tcW w:w="26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Sean Mackay</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$293,576</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$1,548,000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1,212,600</w:t>
            </w:r>
          </w:p>
        </w:tc>
        <w:tc>
          <w:tcPr>
            <w:tcW w:w="1340" w:type="dxa"/>
            <w:vAlign w:val="bottom"/>
          </w:tcPr>
          <w:p>
            <w:pPr>
              <w:jc w:val="center"/>
              <w:ind w:left="268"/>
              <w:spacing w:after="0"/>
              <w:rPr>
                <w:sz w:val="20"/>
                <w:szCs w:val="20"/>
                <w:color w:val="auto"/>
              </w:rPr>
            </w:pPr>
            <w:r>
              <w:rPr>
                <w:rFonts w:ascii="Arial" w:cs="Arial" w:eastAsia="Arial" w:hAnsi="Arial"/>
                <w:sz w:val="14"/>
                <w:szCs w:val="14"/>
                <w:color w:val="auto"/>
              </w:rPr>
              <w:t>$122,979</w:t>
            </w:r>
          </w:p>
        </w:tc>
        <w:tc>
          <w:tcPr>
            <w:tcW w:w="760" w:type="dxa"/>
            <w:vAlign w:val="bottom"/>
          </w:tcPr>
          <w:p>
            <w:pPr>
              <w:spacing w:after="0"/>
              <w:rPr>
                <w:sz w:val="22"/>
                <w:szCs w:val="22"/>
                <w:color w:val="auto"/>
              </w:rPr>
            </w:pPr>
          </w:p>
        </w:tc>
        <w:tc>
          <w:tcPr>
            <w:tcW w:w="600" w:type="dxa"/>
            <w:vAlign w:val="bottom"/>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3,177,155</w:t>
            </w: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1700" w:type="dxa"/>
            <w:vAlign w:val="bottom"/>
          </w:tcPr>
          <w:p>
            <w:pPr>
              <w:ind w:left="80"/>
              <w:spacing w:after="0" w:line="157" w:lineRule="exact"/>
              <w:rPr>
                <w:sz w:val="20"/>
                <w:szCs w:val="20"/>
                <w:color w:val="auto"/>
              </w:rPr>
            </w:pPr>
            <w:r>
              <w:rPr>
                <w:rFonts w:ascii="Arial" w:cs="Arial" w:eastAsia="Arial" w:hAnsi="Arial"/>
                <w:sz w:val="14"/>
                <w:szCs w:val="14"/>
                <w:i w:val="1"/>
                <w:iCs w:val="1"/>
                <w:color w:val="auto"/>
              </w:rPr>
              <w:t>Chief Business</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1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23"/>
                <w:szCs w:val="23"/>
                <w:color w:val="auto"/>
                <w:vertAlign w:val="superscript"/>
              </w:rPr>
              <w:t>(5)</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2023</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ind w:left="10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ind w:left="10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60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60" w:type="dxa"/>
            <w:vAlign w:val="bottom"/>
            <w:tcBorders>
              <w:bottom w:val="single" w:sz="8" w:color="666666"/>
            </w:tcBorders>
          </w:tcPr>
          <w:p>
            <w:pPr>
              <w:spacing w:after="0"/>
              <w:rPr>
                <w:sz w:val="7"/>
                <w:szCs w:val="7"/>
                <w:color w:val="auto"/>
              </w:rPr>
            </w:pPr>
          </w:p>
        </w:tc>
        <w:tc>
          <w:tcPr>
            <w:tcW w:w="1700" w:type="dxa"/>
            <w:vAlign w:val="bottom"/>
            <w:tcBorders>
              <w:bottom w:val="single" w:sz="8" w:color="666666"/>
            </w:tcBorders>
          </w:tcPr>
          <w:p>
            <w:pPr>
              <w:spacing w:after="0"/>
              <w:rPr>
                <w:sz w:val="7"/>
                <w:szCs w:val="7"/>
                <w:color w:val="auto"/>
              </w:rPr>
            </w:pPr>
          </w:p>
        </w:tc>
        <w:tc>
          <w:tcPr>
            <w:tcW w:w="62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c>
          <w:tcPr>
            <w:tcW w:w="24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2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1340" w:type="dxa"/>
            <w:vAlign w:val="bottom"/>
            <w:tcBorders>
              <w:bottom w:val="single" w:sz="8" w:color="666666"/>
            </w:tcBorders>
          </w:tcPr>
          <w:p>
            <w:pPr>
              <w:spacing w:after="0"/>
              <w:rPr>
                <w:sz w:val="7"/>
                <w:szCs w:val="7"/>
                <w:color w:val="auto"/>
              </w:rPr>
            </w:pPr>
          </w:p>
        </w:tc>
        <w:tc>
          <w:tcPr>
            <w:tcW w:w="1360" w:type="dxa"/>
            <w:vAlign w:val="bottom"/>
            <w:tcBorders>
              <w:bottom w:val="single" w:sz="8" w:color="666666"/>
            </w:tcBorders>
            <w:gridSpan w:val="2"/>
          </w:tcPr>
          <w:p>
            <w:pPr>
              <w:spacing w:after="0"/>
              <w:rPr>
                <w:sz w:val="7"/>
                <w:szCs w:val="7"/>
                <w:color w:val="auto"/>
              </w:rPr>
            </w:pPr>
          </w:p>
        </w:tc>
        <w:tc>
          <w:tcPr>
            <w:tcW w:w="26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Jeffrey Black</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$291,250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774,000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808,442</w:t>
            </w:r>
          </w:p>
        </w:tc>
        <w:tc>
          <w:tcPr>
            <w:tcW w:w="1340" w:type="dxa"/>
            <w:vAlign w:val="bottom"/>
          </w:tcPr>
          <w:p>
            <w:pPr>
              <w:ind w:left="10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640"/>
              <w:spacing w:after="0"/>
              <w:rPr>
                <w:sz w:val="20"/>
                <w:szCs w:val="20"/>
                <w:color w:val="auto"/>
              </w:rPr>
            </w:pPr>
            <w:r>
              <w:rPr>
                <w:rFonts w:ascii="Arial" w:cs="Arial" w:eastAsia="Arial" w:hAnsi="Arial"/>
                <w:sz w:val="14"/>
                <w:szCs w:val="14"/>
                <w:color w:val="auto"/>
              </w:rPr>
              <w:t>$16,955</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1,890,647​</w:t>
            </w: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1700" w:type="dxa"/>
            <w:vAlign w:val="bottom"/>
          </w:tcPr>
          <w:p>
            <w:pPr>
              <w:ind w:left="80"/>
              <w:spacing w:after="0" w:line="157" w:lineRule="exact"/>
              <w:rPr>
                <w:sz w:val="20"/>
                <w:szCs w:val="20"/>
                <w:color w:val="auto"/>
              </w:rPr>
            </w:pPr>
            <w:r>
              <w:rPr>
                <w:rFonts w:ascii="Arial" w:cs="Arial" w:eastAsia="Arial" w:hAnsi="Arial"/>
                <w:sz w:val="14"/>
                <w:szCs w:val="14"/>
                <w:i w:val="1"/>
                <w:iCs w:val="1"/>
                <w:color w:val="auto"/>
              </w:rPr>
              <w:t>Former Chief Financial</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1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23"/>
                <w:szCs w:val="23"/>
                <w:color w:val="auto"/>
                <w:vertAlign w:val="superscript"/>
              </w:rPr>
              <w:t>(6)</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$259,375</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ind w:right="48"/>
              <w:spacing w:after="0"/>
              <w:rPr>
                <w:sz w:val="20"/>
                <w:szCs w:val="20"/>
                <w:color w:val="auto"/>
              </w:rPr>
            </w:pPr>
            <w:r>
              <w:rPr>
                <w:rFonts w:ascii="Arial" w:cs="Arial" w:eastAsia="Arial" w:hAnsi="Arial"/>
                <w:sz w:val="14"/>
                <w:szCs w:val="14"/>
                <w:color w:val="auto"/>
              </w:rPr>
              <w:t>400,000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558,272</w:t>
            </w:r>
          </w:p>
        </w:tc>
        <w:tc>
          <w:tcPr>
            <w:tcW w:w="1340" w:type="dxa"/>
            <w:vAlign w:val="bottom"/>
          </w:tcPr>
          <w:p>
            <w:pPr>
              <w:jc w:val="center"/>
              <w:ind w:left="268"/>
              <w:spacing w:after="0"/>
              <w:rPr>
                <w:sz w:val="20"/>
                <w:szCs w:val="20"/>
                <w:color w:val="auto"/>
              </w:rPr>
            </w:pPr>
            <w:r>
              <w:rPr>
                <w:rFonts w:ascii="Arial" w:cs="Arial" w:eastAsia="Arial" w:hAnsi="Arial"/>
                <w:sz w:val="14"/>
                <w:szCs w:val="14"/>
                <w:color w:val="auto"/>
              </w:rPr>
              <w:t>$273,900</w:t>
            </w:r>
          </w:p>
        </w:tc>
        <w:tc>
          <w:tcPr>
            <w:tcW w:w="760" w:type="dxa"/>
            <w:vAlign w:val="bottom"/>
          </w:tcPr>
          <w:p>
            <w:pPr>
              <w:ind w:left="6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750</w:t>
            </w: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1,492,297</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ind w:left="10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160" w:type="dxa"/>
            <w:vAlign w:val="bottom"/>
            <w:tcBorders>
              <w:bottom w:val="single" w:sz="8" w:color="24356E"/>
            </w:tcBorders>
          </w:tcPr>
          <w:p>
            <w:pPr>
              <w:spacing w:after="0"/>
              <w:rPr>
                <w:sz w:val="6"/>
                <w:szCs w:val="6"/>
                <w:color w:val="auto"/>
              </w:rPr>
            </w:pPr>
          </w:p>
        </w:tc>
        <w:tc>
          <w:tcPr>
            <w:tcW w:w="1700" w:type="dxa"/>
            <w:vAlign w:val="bottom"/>
            <w:tcBorders>
              <w:bottom w:val="single" w:sz="8" w:color="24356E"/>
            </w:tcBorders>
          </w:tcPr>
          <w:p>
            <w:pPr>
              <w:spacing w:after="0"/>
              <w:rPr>
                <w:sz w:val="6"/>
                <w:szCs w:val="6"/>
                <w:color w:val="auto"/>
              </w:rPr>
            </w:pPr>
          </w:p>
        </w:tc>
        <w:tc>
          <w:tcPr>
            <w:tcW w:w="620" w:type="dxa"/>
            <w:vAlign w:val="bottom"/>
            <w:tcBorders>
              <w:bottom w:val="single" w:sz="8" w:color="24356E"/>
            </w:tcBorders>
          </w:tcPr>
          <w:p>
            <w:pPr>
              <w:spacing w:after="0"/>
              <w:rPr>
                <w:sz w:val="6"/>
                <w:szCs w:val="6"/>
                <w:color w:val="auto"/>
              </w:rPr>
            </w:pPr>
          </w:p>
        </w:tc>
        <w:tc>
          <w:tcPr>
            <w:tcW w:w="920" w:type="dxa"/>
            <w:vAlign w:val="bottom"/>
            <w:tcBorders>
              <w:bottom w:val="single" w:sz="8" w:color="24356E"/>
            </w:tcBorders>
          </w:tcPr>
          <w:p>
            <w:pPr>
              <w:spacing w:after="0"/>
              <w:rPr>
                <w:sz w:val="6"/>
                <w:szCs w:val="6"/>
                <w:color w:val="auto"/>
              </w:rPr>
            </w:pPr>
          </w:p>
        </w:tc>
        <w:tc>
          <w:tcPr>
            <w:tcW w:w="240" w:type="dxa"/>
            <w:vAlign w:val="bottom"/>
            <w:tcBorders>
              <w:bottom w:val="single" w:sz="8" w:color="24356E"/>
            </w:tcBorders>
          </w:tcPr>
          <w:p>
            <w:pPr>
              <w:spacing w:after="0"/>
              <w:rPr>
                <w:sz w:val="6"/>
                <w:szCs w:val="6"/>
                <w:color w:val="auto"/>
              </w:rPr>
            </w:pPr>
          </w:p>
        </w:tc>
        <w:tc>
          <w:tcPr>
            <w:tcW w:w="800" w:type="dxa"/>
            <w:vAlign w:val="bottom"/>
            <w:tcBorders>
              <w:bottom w:val="single" w:sz="8" w:color="24356E"/>
            </w:tcBorders>
          </w:tcPr>
          <w:p>
            <w:pPr>
              <w:spacing w:after="0"/>
              <w:rPr>
                <w:sz w:val="6"/>
                <w:szCs w:val="6"/>
                <w:color w:val="auto"/>
              </w:rPr>
            </w:pPr>
          </w:p>
        </w:tc>
        <w:tc>
          <w:tcPr>
            <w:tcW w:w="240" w:type="dxa"/>
            <w:vAlign w:val="bottom"/>
            <w:tcBorders>
              <w:bottom w:val="single" w:sz="8" w:color="24356E"/>
            </w:tcBorders>
          </w:tcPr>
          <w:p>
            <w:pPr>
              <w:spacing w:after="0"/>
              <w:rPr>
                <w:sz w:val="6"/>
                <w:szCs w:val="6"/>
                <w:color w:val="auto"/>
              </w:rPr>
            </w:pPr>
          </w:p>
        </w:tc>
        <w:tc>
          <w:tcPr>
            <w:tcW w:w="880" w:type="dxa"/>
            <w:vAlign w:val="bottom"/>
            <w:tcBorders>
              <w:bottom w:val="single" w:sz="8" w:color="24356E"/>
            </w:tcBorders>
          </w:tcPr>
          <w:p>
            <w:pPr>
              <w:spacing w:after="0"/>
              <w:rPr>
                <w:sz w:val="6"/>
                <w:szCs w:val="6"/>
                <w:color w:val="auto"/>
              </w:rPr>
            </w:pPr>
          </w:p>
        </w:tc>
        <w:tc>
          <w:tcPr>
            <w:tcW w:w="1340" w:type="dxa"/>
            <w:vAlign w:val="bottom"/>
            <w:tcBorders>
              <w:bottom w:val="single" w:sz="8" w:color="24356E"/>
            </w:tcBorders>
          </w:tcPr>
          <w:p>
            <w:pPr>
              <w:spacing w:after="0"/>
              <w:rPr>
                <w:sz w:val="6"/>
                <w:szCs w:val="6"/>
                <w:color w:val="auto"/>
              </w:rPr>
            </w:pPr>
          </w:p>
        </w:tc>
        <w:tc>
          <w:tcPr>
            <w:tcW w:w="760" w:type="dxa"/>
            <w:vAlign w:val="bottom"/>
            <w:tcBorders>
              <w:bottom w:val="single" w:sz="8" w:color="24356E"/>
            </w:tcBorders>
          </w:tcPr>
          <w:p>
            <w:pPr>
              <w:spacing w:after="0"/>
              <w:rPr>
                <w:sz w:val="6"/>
                <w:szCs w:val="6"/>
                <w:color w:val="auto"/>
              </w:rPr>
            </w:pPr>
          </w:p>
        </w:tc>
        <w:tc>
          <w:tcPr>
            <w:tcW w:w="600" w:type="dxa"/>
            <w:vAlign w:val="bottom"/>
            <w:tcBorders>
              <w:bottom w:val="single" w:sz="8" w:color="24356E"/>
            </w:tcBorders>
          </w:tcPr>
          <w:p>
            <w:pPr>
              <w:spacing w:after="0"/>
              <w:rPr>
                <w:sz w:val="6"/>
                <w:szCs w:val="6"/>
                <w:color w:val="auto"/>
              </w:rPr>
            </w:pPr>
          </w:p>
        </w:tc>
        <w:tc>
          <w:tcPr>
            <w:tcW w:w="260" w:type="dxa"/>
            <w:vAlign w:val="bottom"/>
            <w:tcBorders>
              <w:bottom w:val="single" w:sz="8" w:color="24356E"/>
            </w:tcBorders>
          </w:tcPr>
          <w:p>
            <w:pPr>
              <w:spacing w:after="0"/>
              <w:rPr>
                <w:sz w:val="6"/>
                <w:szCs w:val="6"/>
                <w:color w:val="auto"/>
              </w:rPr>
            </w:pPr>
          </w:p>
        </w:tc>
        <w:tc>
          <w:tcPr>
            <w:tcW w:w="880" w:type="dxa"/>
            <w:vAlign w:val="bottom"/>
            <w:tcBorders>
              <w:bottom w:val="single" w:sz="8" w:color="24356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60" w:right="140" w:hanging="354"/>
        <w:spacing w:after="0" w:line="236" w:lineRule="auto"/>
        <w:tabs>
          <w:tab w:leader="none" w:pos="36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The amounts represent the aggregate grant date fair value of equity awards granted in the year indicated, calculated in accordance with FASB ASC Topic 718 without regard to estimated forfeitures. A discussion of the assumptions used in determining grant date fair value may be found in Note 13 to our Financial Statements, included in our 2024 Annual Report.</w:t>
      </w:r>
    </w:p>
    <w:p>
      <w:pPr>
        <w:spacing w:after="0" w:line="31" w:lineRule="exact"/>
        <w:rPr>
          <w:rFonts w:ascii="Arial" w:cs="Arial" w:eastAsia="Arial" w:hAnsi="Arial"/>
          <w:sz w:val="13"/>
          <w:szCs w:val="13"/>
          <w:b w:val="1"/>
          <w:bCs w:val="1"/>
          <w:color w:val="auto"/>
        </w:rPr>
      </w:pPr>
    </w:p>
    <w:p>
      <w:pPr>
        <w:ind w:left="360" w:right="700" w:hanging="354"/>
        <w:spacing w:after="0" w:line="252" w:lineRule="auto"/>
        <w:tabs>
          <w:tab w:leader="none" w:pos="36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The amounts represent performance-based bonuses pursuant to our annual cash incentive program under the Executive Bonus Plan. For a description of our annual cash incentive program, please see the section entitled “</w:t>
      </w:r>
      <w:r>
        <w:rPr>
          <w:rFonts w:ascii="Arial" w:cs="Arial" w:eastAsia="Arial" w:hAnsi="Arial"/>
          <w:sz w:val="13"/>
          <w:szCs w:val="13"/>
          <w:b w:val="1"/>
          <w:bCs w:val="1"/>
          <w:i w:val="1"/>
          <w:iCs w:val="1"/>
          <w:color w:val="auto"/>
        </w:rPr>
        <w:t>Annual Cash Incentive Program”</w:t>
      </w:r>
      <w:r>
        <w:rPr>
          <w:rFonts w:ascii="Arial" w:cs="Arial" w:eastAsia="Arial" w:hAnsi="Arial"/>
          <w:sz w:val="13"/>
          <w:szCs w:val="13"/>
          <w:b w:val="1"/>
          <w:bCs w:val="1"/>
          <w:color w:val="auto"/>
        </w:rPr>
        <w:t xml:space="preserve"> below.</w:t>
      </w:r>
    </w:p>
    <w:p>
      <w:pPr>
        <w:spacing w:after="0" w:line="37" w:lineRule="exact"/>
        <w:rPr>
          <w:rFonts w:ascii="Arial" w:cs="Arial" w:eastAsia="Arial" w:hAnsi="Arial"/>
          <w:sz w:val="13"/>
          <w:szCs w:val="13"/>
          <w:b w:val="1"/>
          <w:bCs w:val="1"/>
          <w:color w:val="auto"/>
        </w:rPr>
      </w:pPr>
    </w:p>
    <w:p>
      <w:pPr>
        <w:ind w:left="360" w:hanging="354"/>
        <w:spacing w:after="0"/>
        <w:tabs>
          <w:tab w:leader="none" w:pos="36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The amounts represent contributions made under the Company’s 401(k) defined contribution plan.</w:t>
      </w:r>
    </w:p>
    <w:p>
      <w:pPr>
        <w:spacing w:after="0" w:line="53" w:lineRule="exact"/>
        <w:rPr>
          <w:rFonts w:ascii="Arial" w:cs="Arial" w:eastAsia="Arial" w:hAnsi="Arial"/>
          <w:sz w:val="13"/>
          <w:szCs w:val="13"/>
          <w:b w:val="1"/>
          <w:bCs w:val="1"/>
          <w:color w:val="auto"/>
        </w:rPr>
      </w:pPr>
    </w:p>
    <w:p>
      <w:pPr>
        <w:ind w:left="360" w:right="220" w:hanging="354"/>
        <w:spacing w:after="0" w:line="252" w:lineRule="auto"/>
        <w:tabs>
          <w:tab w:leader="none" w:pos="36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Mr. Kim was appointed as the Company’s Interim Chief Financial Officer in September 2024 and as the Company’s fulltime Chief Financial Officer in November 2024 and previously served as the Company’s Chief Operating Officer.</w:t>
      </w:r>
    </w:p>
    <w:p>
      <w:pPr>
        <w:spacing w:after="0" w:line="23" w:lineRule="exact"/>
        <w:rPr>
          <w:rFonts w:ascii="Arial" w:cs="Arial" w:eastAsia="Arial" w:hAnsi="Arial"/>
          <w:sz w:val="13"/>
          <w:szCs w:val="13"/>
          <w:b w:val="1"/>
          <w:bCs w:val="1"/>
          <w:color w:val="auto"/>
        </w:rPr>
      </w:pPr>
    </w:p>
    <w:p>
      <w:pPr>
        <w:ind w:left="360" w:hanging="354"/>
        <w:spacing w:after="0"/>
        <w:tabs>
          <w:tab w:leader="none" w:pos="36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Mr. Mackay was appointed as the Company’s Chief Business Officer in May 2024.</w:t>
      </w:r>
    </w:p>
    <w:p>
      <w:pPr>
        <w:spacing w:after="0" w:line="66" w:lineRule="exact"/>
        <w:rPr>
          <w:rFonts w:ascii="Arial" w:cs="Arial" w:eastAsia="Arial" w:hAnsi="Arial"/>
          <w:sz w:val="13"/>
          <w:szCs w:val="13"/>
          <w:b w:val="1"/>
          <w:bCs w:val="1"/>
          <w:color w:val="auto"/>
        </w:rPr>
      </w:pPr>
    </w:p>
    <w:p>
      <w:pPr>
        <w:ind w:left="360" w:right="340" w:hanging="354"/>
        <w:spacing w:after="0" w:line="252" w:lineRule="auto"/>
        <w:tabs>
          <w:tab w:leader="none" w:pos="36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Mr. Black was appointed as the Company’s Chief Financial Officer in May 2023 and resigned as the Company’s Chief Financial Officer, effective in August 2024.</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Performance-Based Awards</w:t>
      </w:r>
    </w:p>
    <w:p>
      <w:pPr>
        <w:spacing w:after="0" w:line="23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333333"/>
        </w:rPr>
        <w:t>On April 11, 2023, Dr. Egholm and Mr. Kim were each granted a target of 231,579 and 77,185 performance-based RSUs (the “PSUs”) under the 2011 Plan, with each PSU representing the right, upon achievement of certain pre-established performance criteria, to receive one share of common stock, subject to certain vesting conditions and continued employment. On April 5, 2024, the Board authorized and approved, at the recommendation of the Human Capital Committee, the vesting of the PSUs to</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33333"/>
        </w:rPr>
        <w:t>Dr. Egholm and Mr. Kim in the amount of 212,126 shares and 70,702 shares, respectively, based on the Human Capital Committee’s determination that 91.6% of the PSU performance goals had been achieved. The PSUs fully vested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84"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Fiscal Year Grants of Plan-Based Awards</w:t>
      </w:r>
    </w:p>
    <w:p>
      <w:pPr>
        <w:spacing w:after="0" w:line="23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333333"/>
        </w:rPr>
        <w:t>The following table shows information regarding grants of non-equity incentive plan awards and grants of equity awards that we made during the fiscal year ended December 31, 2024 to each of our NEOs.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1800" w:type="dxa"/>
            <w:vAlign w:val="bottom"/>
          </w:tcPr>
          <w:p>
            <w:pPr>
              <w:spacing w:after="0"/>
              <w:rPr>
                <w:sz w:val="24"/>
                <w:szCs w:val="24"/>
                <w:color w:val="auto"/>
              </w:rPr>
            </w:pPr>
          </w:p>
        </w:tc>
        <w:tc>
          <w:tcPr>
            <w:tcW w:w="920" w:type="dxa"/>
            <w:vAlign w:val="bottom"/>
            <w:tcBorders>
              <w:right w:val="single" w:sz="8" w:color="24356E"/>
            </w:tcBorders>
          </w:tcPr>
          <w:p>
            <w:pPr>
              <w:spacing w:after="0"/>
              <w:rPr>
                <w:sz w:val="24"/>
                <w:szCs w:val="24"/>
                <w:color w:val="auto"/>
              </w:rPr>
            </w:pPr>
          </w:p>
        </w:tc>
        <w:tc>
          <w:tcPr>
            <w:tcW w:w="1280" w:type="dxa"/>
            <w:vAlign w:val="bottom"/>
            <w:shd w:val="clear" w:color="auto" w:fill="24356E"/>
          </w:tcPr>
          <w:p>
            <w:pPr>
              <w:jc w:val="right"/>
              <w:ind w:right="108"/>
              <w:spacing w:after="0"/>
              <w:rPr>
                <w:sz w:val="20"/>
                <w:szCs w:val="20"/>
                <w:color w:val="auto"/>
              </w:rPr>
            </w:pPr>
            <w:r>
              <w:rPr>
                <w:rFonts w:ascii="Arial" w:cs="Arial" w:eastAsia="Arial" w:hAnsi="Arial"/>
                <w:sz w:val="14"/>
                <w:szCs w:val="14"/>
                <w:color w:val="FFFFFF"/>
              </w:rPr>
              <w:t>Estimated Future</w:t>
            </w:r>
          </w:p>
        </w:tc>
        <w:tc>
          <w:tcPr>
            <w:tcW w:w="1420" w:type="dxa"/>
            <w:vAlign w:val="bottom"/>
            <w:shd w:val="clear" w:color="auto" w:fill="24356E"/>
          </w:tcPr>
          <w:p>
            <w:pPr>
              <w:spacing w:after="0"/>
              <w:rPr>
                <w:sz w:val="24"/>
                <w:szCs w:val="24"/>
                <w:color w:val="auto"/>
              </w:rPr>
            </w:pPr>
          </w:p>
        </w:tc>
        <w:tc>
          <w:tcPr>
            <w:tcW w:w="1480" w:type="dxa"/>
            <w:vAlign w:val="bottom"/>
            <w:shd w:val="clear" w:color="auto" w:fill="24356E"/>
          </w:tcPr>
          <w:p>
            <w:pPr>
              <w:spacing w:after="0"/>
              <w:rPr>
                <w:sz w:val="24"/>
                <w:szCs w:val="24"/>
                <w:color w:val="auto"/>
              </w:rPr>
            </w:pPr>
          </w:p>
        </w:tc>
        <w:tc>
          <w:tcPr>
            <w:tcW w:w="1300" w:type="dxa"/>
            <w:vAlign w:val="bottom"/>
            <w:shd w:val="clear" w:color="auto" w:fill="24356E"/>
          </w:tcPr>
          <w:p>
            <w:pPr>
              <w:spacing w:after="0"/>
              <w:rPr>
                <w:sz w:val="24"/>
                <w:szCs w:val="24"/>
                <w:color w:val="auto"/>
              </w:rPr>
            </w:pPr>
          </w:p>
        </w:tc>
        <w:tc>
          <w:tcPr>
            <w:tcW w:w="460" w:type="dxa"/>
            <w:vAlign w:val="bottom"/>
            <w:shd w:val="clear" w:color="auto" w:fill="24356E"/>
          </w:tcPr>
          <w:p>
            <w:pPr>
              <w:spacing w:after="0"/>
              <w:rPr>
                <w:sz w:val="24"/>
                <w:szCs w:val="24"/>
                <w:color w:val="auto"/>
              </w:rPr>
            </w:pPr>
          </w:p>
        </w:tc>
        <w:tc>
          <w:tcPr>
            <w:tcW w:w="740" w:type="dxa"/>
            <w:vAlign w:val="bottom"/>
            <w:shd w:val="clear" w:color="auto" w:fill="24356E"/>
          </w:tcPr>
          <w:p>
            <w:pPr>
              <w:spacing w:after="0"/>
              <w:rPr>
                <w:sz w:val="24"/>
                <w:szCs w:val="24"/>
                <w:color w:val="auto"/>
              </w:rPr>
            </w:pPr>
          </w:p>
        </w:tc>
      </w:tr>
      <w:tr>
        <w:trPr>
          <w:trHeight w:val="171"/>
        </w:trPr>
        <w:tc>
          <w:tcPr>
            <w:tcW w:w="1800" w:type="dxa"/>
            <w:vAlign w:val="bottom"/>
          </w:tcPr>
          <w:p>
            <w:pPr>
              <w:spacing w:after="0"/>
              <w:rPr>
                <w:sz w:val="14"/>
                <w:szCs w:val="14"/>
                <w:color w:val="auto"/>
              </w:rPr>
            </w:pPr>
          </w:p>
        </w:tc>
        <w:tc>
          <w:tcPr>
            <w:tcW w:w="920" w:type="dxa"/>
            <w:vAlign w:val="bottom"/>
            <w:tcBorders>
              <w:right w:val="single" w:sz="8" w:color="24356E"/>
            </w:tcBorders>
          </w:tcPr>
          <w:p>
            <w:pPr>
              <w:spacing w:after="0"/>
              <w:rPr>
                <w:sz w:val="14"/>
                <w:szCs w:val="14"/>
                <w:color w:val="auto"/>
              </w:rPr>
            </w:pPr>
          </w:p>
        </w:tc>
        <w:tc>
          <w:tcPr>
            <w:tcW w:w="1280" w:type="dxa"/>
            <w:vAlign w:val="bottom"/>
            <w:shd w:val="clear" w:color="auto" w:fill="24356E"/>
          </w:tcPr>
          <w:p>
            <w:pPr>
              <w:jc w:val="right"/>
              <w:ind w:right="108"/>
              <w:spacing w:after="0"/>
              <w:rPr>
                <w:sz w:val="20"/>
                <w:szCs w:val="20"/>
                <w:color w:val="auto"/>
              </w:rPr>
            </w:pPr>
            <w:r>
              <w:rPr>
                <w:rFonts w:ascii="Arial" w:cs="Arial" w:eastAsia="Arial" w:hAnsi="Arial"/>
                <w:sz w:val="14"/>
                <w:szCs w:val="14"/>
                <w:color w:val="FFFFFF"/>
              </w:rPr>
              <w:t>Payouts Under</w:t>
            </w:r>
          </w:p>
        </w:tc>
        <w:tc>
          <w:tcPr>
            <w:tcW w:w="1420" w:type="dxa"/>
            <w:vAlign w:val="bottom"/>
            <w:shd w:val="clear" w:color="auto" w:fill="24356E"/>
          </w:tcPr>
          <w:p>
            <w:pPr>
              <w:jc w:val="right"/>
              <w:ind w:right="128"/>
              <w:spacing w:after="0"/>
              <w:rPr>
                <w:sz w:val="20"/>
                <w:szCs w:val="20"/>
                <w:color w:val="auto"/>
              </w:rPr>
            </w:pPr>
            <w:r>
              <w:rPr>
                <w:rFonts w:ascii="Arial" w:cs="Arial" w:eastAsia="Arial" w:hAnsi="Arial"/>
                <w:sz w:val="14"/>
                <w:szCs w:val="14"/>
                <w:color w:val="FFFFFF"/>
              </w:rPr>
              <w:t>All Other Stock</w:t>
            </w:r>
          </w:p>
        </w:tc>
        <w:tc>
          <w:tcPr>
            <w:tcW w:w="1480" w:type="dxa"/>
            <w:vAlign w:val="bottom"/>
            <w:shd w:val="clear" w:color="auto" w:fill="24356E"/>
          </w:tcPr>
          <w:p>
            <w:pPr>
              <w:jc w:val="right"/>
              <w:ind w:right="48"/>
              <w:spacing w:after="0"/>
              <w:rPr>
                <w:sz w:val="20"/>
                <w:szCs w:val="20"/>
                <w:color w:val="auto"/>
              </w:rPr>
            </w:pPr>
            <w:r>
              <w:rPr>
                <w:rFonts w:ascii="Arial" w:cs="Arial" w:eastAsia="Arial" w:hAnsi="Arial"/>
                <w:sz w:val="14"/>
                <w:szCs w:val="14"/>
                <w:color w:val="FFFFFF"/>
              </w:rPr>
              <w:t>All Other Option</w:t>
            </w:r>
          </w:p>
        </w:tc>
        <w:tc>
          <w:tcPr>
            <w:tcW w:w="1300" w:type="dxa"/>
            <w:vAlign w:val="bottom"/>
            <w:shd w:val="clear" w:color="auto" w:fill="24356E"/>
          </w:tcPr>
          <w:p>
            <w:pPr>
              <w:spacing w:after="0"/>
              <w:rPr>
                <w:sz w:val="14"/>
                <w:szCs w:val="14"/>
                <w:color w:val="auto"/>
              </w:rPr>
            </w:pPr>
          </w:p>
        </w:tc>
        <w:tc>
          <w:tcPr>
            <w:tcW w:w="460" w:type="dxa"/>
            <w:vAlign w:val="bottom"/>
            <w:shd w:val="clear" w:color="auto" w:fill="24356E"/>
          </w:tcPr>
          <w:p>
            <w:pPr>
              <w:spacing w:after="0"/>
              <w:rPr>
                <w:sz w:val="14"/>
                <w:szCs w:val="14"/>
                <w:color w:val="auto"/>
              </w:rPr>
            </w:pPr>
          </w:p>
        </w:tc>
        <w:tc>
          <w:tcPr>
            <w:tcW w:w="740" w:type="dxa"/>
            <w:vAlign w:val="bottom"/>
            <w:shd w:val="clear" w:color="auto" w:fill="24356E"/>
          </w:tcPr>
          <w:p>
            <w:pPr>
              <w:spacing w:after="0"/>
              <w:rPr>
                <w:sz w:val="14"/>
                <w:szCs w:val="14"/>
                <w:color w:val="auto"/>
              </w:rPr>
            </w:pPr>
          </w:p>
        </w:tc>
      </w:tr>
      <w:tr>
        <w:trPr>
          <w:trHeight w:val="142"/>
        </w:trPr>
        <w:tc>
          <w:tcPr>
            <w:tcW w:w="1800" w:type="dxa"/>
            <w:vAlign w:val="bottom"/>
            <w:tcBorders>
              <w:bottom w:val="single" w:sz="8" w:color="24356E"/>
            </w:tcBorders>
          </w:tcPr>
          <w:p>
            <w:pPr>
              <w:spacing w:after="0"/>
              <w:rPr>
                <w:sz w:val="12"/>
                <w:szCs w:val="12"/>
                <w:color w:val="auto"/>
              </w:rPr>
            </w:pPr>
          </w:p>
        </w:tc>
        <w:tc>
          <w:tcPr>
            <w:tcW w:w="920" w:type="dxa"/>
            <w:vAlign w:val="bottom"/>
            <w:tcBorders>
              <w:bottom w:val="single" w:sz="8" w:color="24356E"/>
              <w:right w:val="single" w:sz="8" w:color="24356E"/>
            </w:tcBorders>
          </w:tcPr>
          <w:p>
            <w:pPr>
              <w:spacing w:after="0"/>
              <w:rPr>
                <w:sz w:val="12"/>
                <w:szCs w:val="12"/>
                <w:color w:val="auto"/>
              </w:rPr>
            </w:pPr>
          </w:p>
        </w:tc>
        <w:tc>
          <w:tcPr>
            <w:tcW w:w="1280" w:type="dxa"/>
            <w:vAlign w:val="bottom"/>
            <w:tcBorders>
              <w:bottom w:val="single" w:sz="8" w:color="24356E"/>
            </w:tcBorders>
            <w:shd w:val="clear" w:color="auto" w:fill="24356E"/>
          </w:tcPr>
          <w:p>
            <w:pPr>
              <w:jc w:val="right"/>
              <w:ind w:right="108"/>
              <w:spacing w:after="0" w:line="142" w:lineRule="exact"/>
              <w:rPr>
                <w:sz w:val="20"/>
                <w:szCs w:val="20"/>
                <w:color w:val="auto"/>
              </w:rPr>
            </w:pPr>
            <w:r>
              <w:rPr>
                <w:rFonts w:ascii="Arial" w:cs="Arial" w:eastAsia="Arial" w:hAnsi="Arial"/>
                <w:sz w:val="14"/>
                <w:szCs w:val="14"/>
                <w:color w:val="FFFFFF"/>
              </w:rPr>
              <w:t>Non-Equity</w:t>
            </w:r>
          </w:p>
        </w:tc>
        <w:tc>
          <w:tcPr>
            <w:tcW w:w="1420" w:type="dxa"/>
            <w:vAlign w:val="bottom"/>
            <w:tcBorders>
              <w:bottom w:val="single" w:sz="8" w:color="24356E"/>
            </w:tcBorders>
            <w:shd w:val="clear" w:color="auto" w:fill="24356E"/>
          </w:tcPr>
          <w:p>
            <w:pPr>
              <w:jc w:val="right"/>
              <w:ind w:right="128"/>
              <w:spacing w:after="0" w:line="142" w:lineRule="exact"/>
              <w:rPr>
                <w:sz w:val="20"/>
                <w:szCs w:val="20"/>
                <w:color w:val="auto"/>
              </w:rPr>
            </w:pPr>
            <w:r>
              <w:rPr>
                <w:rFonts w:ascii="Arial" w:cs="Arial" w:eastAsia="Arial" w:hAnsi="Arial"/>
                <w:sz w:val="14"/>
                <w:szCs w:val="14"/>
                <w:color w:val="FFFFFF"/>
              </w:rPr>
              <w:t>Awards: Number</w:t>
            </w:r>
          </w:p>
        </w:tc>
        <w:tc>
          <w:tcPr>
            <w:tcW w:w="1480" w:type="dxa"/>
            <w:vAlign w:val="bottom"/>
            <w:tcBorders>
              <w:bottom w:val="single" w:sz="8" w:color="24356E"/>
            </w:tcBorders>
            <w:shd w:val="clear" w:color="auto" w:fill="24356E"/>
          </w:tcPr>
          <w:p>
            <w:pPr>
              <w:jc w:val="right"/>
              <w:ind w:right="48"/>
              <w:spacing w:after="0" w:line="142" w:lineRule="exact"/>
              <w:rPr>
                <w:sz w:val="20"/>
                <w:szCs w:val="20"/>
                <w:color w:val="auto"/>
              </w:rPr>
            </w:pPr>
            <w:r>
              <w:rPr>
                <w:rFonts w:ascii="Arial" w:cs="Arial" w:eastAsia="Arial" w:hAnsi="Arial"/>
                <w:sz w:val="14"/>
                <w:szCs w:val="14"/>
                <w:color w:val="FFFFFF"/>
              </w:rPr>
              <w:t>Awards: Number</w:t>
            </w:r>
          </w:p>
        </w:tc>
        <w:tc>
          <w:tcPr>
            <w:tcW w:w="1300" w:type="dxa"/>
            <w:vAlign w:val="bottom"/>
            <w:tcBorders>
              <w:bottom w:val="single" w:sz="8" w:color="24356E"/>
            </w:tcBorders>
            <w:shd w:val="clear" w:color="auto" w:fill="24356E"/>
          </w:tcPr>
          <w:p>
            <w:pPr>
              <w:spacing w:after="0"/>
              <w:rPr>
                <w:sz w:val="12"/>
                <w:szCs w:val="12"/>
                <w:color w:val="auto"/>
              </w:rPr>
            </w:pPr>
          </w:p>
        </w:tc>
        <w:tc>
          <w:tcPr>
            <w:tcW w:w="460" w:type="dxa"/>
            <w:vAlign w:val="bottom"/>
            <w:tcBorders>
              <w:bottom w:val="single" w:sz="8" w:color="24356E"/>
            </w:tcBorders>
            <w:shd w:val="clear" w:color="auto" w:fill="24356E"/>
          </w:tcPr>
          <w:p>
            <w:pPr>
              <w:ind w:left="80"/>
              <w:spacing w:after="0" w:line="142" w:lineRule="exact"/>
              <w:rPr>
                <w:sz w:val="20"/>
                <w:szCs w:val="20"/>
                <w:color w:val="auto"/>
              </w:rPr>
            </w:pPr>
            <w:r>
              <w:rPr>
                <w:rFonts w:ascii="Arial" w:cs="Arial" w:eastAsia="Arial" w:hAnsi="Arial"/>
                <w:sz w:val="14"/>
                <w:szCs w:val="14"/>
                <w:color w:val="FFFFFF"/>
              </w:rPr>
              <w:t>Grant​</w:t>
            </w:r>
          </w:p>
        </w:tc>
        <w:tc>
          <w:tcPr>
            <w:tcW w:w="740" w:type="dxa"/>
            <w:vAlign w:val="bottom"/>
            <w:tcBorders>
              <w:bottom w:val="single" w:sz="8" w:color="24356E"/>
            </w:tcBorders>
            <w:shd w:val="clear" w:color="auto" w:fill="24356E"/>
          </w:tcPr>
          <w:p>
            <w:pPr>
              <w:jc w:val="right"/>
              <w:ind w:right="68"/>
              <w:spacing w:after="0" w:line="142" w:lineRule="exact"/>
              <w:rPr>
                <w:sz w:val="20"/>
                <w:szCs w:val="20"/>
                <w:color w:val="auto"/>
              </w:rPr>
            </w:pPr>
            <w:r>
              <w:rPr>
                <w:rFonts w:ascii="Arial" w:cs="Arial" w:eastAsia="Arial" w:hAnsi="Arial"/>
                <w:sz w:val="14"/>
                <w:szCs w:val="14"/>
                <w:color w:val="FFFFFF"/>
              </w:rPr>
              <w:t>Date Fair</w:t>
            </w:r>
          </w:p>
        </w:tc>
      </w:tr>
      <w:tr>
        <w:trPr>
          <w:trHeight w:val="162"/>
        </w:trPr>
        <w:tc>
          <w:tcPr>
            <w:tcW w:w="1800" w:type="dxa"/>
            <w:vAlign w:val="bottom"/>
            <w:shd w:val="clear" w:color="auto" w:fill="24356E"/>
          </w:tcPr>
          <w:p>
            <w:pPr>
              <w:spacing w:after="0"/>
              <w:rPr>
                <w:sz w:val="14"/>
                <w:szCs w:val="14"/>
                <w:color w:val="auto"/>
              </w:rPr>
            </w:pPr>
          </w:p>
        </w:tc>
        <w:tc>
          <w:tcPr>
            <w:tcW w:w="920" w:type="dxa"/>
            <w:vAlign w:val="bottom"/>
            <w:tcBorders>
              <w:right w:val="single" w:sz="8" w:color="24356E"/>
            </w:tcBorders>
            <w:shd w:val="clear" w:color="auto" w:fill="24356E"/>
          </w:tcPr>
          <w:p>
            <w:pPr>
              <w:spacing w:after="0"/>
              <w:rPr>
                <w:sz w:val="14"/>
                <w:szCs w:val="14"/>
                <w:color w:val="auto"/>
              </w:rPr>
            </w:pPr>
          </w:p>
        </w:tc>
        <w:tc>
          <w:tcPr>
            <w:tcW w:w="1280" w:type="dxa"/>
            <w:vAlign w:val="bottom"/>
            <w:shd w:val="clear" w:color="auto" w:fill="24356E"/>
          </w:tcPr>
          <w:p>
            <w:pPr>
              <w:jc w:val="right"/>
              <w:ind w:right="108"/>
              <w:spacing w:after="0"/>
              <w:rPr>
                <w:sz w:val="20"/>
                <w:szCs w:val="20"/>
                <w:color w:val="auto"/>
              </w:rPr>
            </w:pPr>
            <w:r>
              <w:rPr>
                <w:rFonts w:ascii="Arial" w:cs="Arial" w:eastAsia="Arial" w:hAnsi="Arial"/>
                <w:sz w:val="14"/>
                <w:szCs w:val="14"/>
                <w:color w:val="FFFFFF"/>
              </w:rPr>
              <w:t>Incentive Plan</w:t>
            </w:r>
          </w:p>
        </w:tc>
        <w:tc>
          <w:tcPr>
            <w:tcW w:w="1420" w:type="dxa"/>
            <w:vAlign w:val="bottom"/>
            <w:shd w:val="clear" w:color="auto" w:fill="24356E"/>
          </w:tcPr>
          <w:p>
            <w:pPr>
              <w:ind w:left="440"/>
              <w:spacing w:after="0"/>
              <w:rPr>
                <w:sz w:val="20"/>
                <w:szCs w:val="20"/>
                <w:color w:val="auto"/>
              </w:rPr>
            </w:pPr>
            <w:r>
              <w:rPr>
                <w:rFonts w:ascii="Arial" w:cs="Arial" w:eastAsia="Arial" w:hAnsi="Arial"/>
                <w:sz w:val="14"/>
                <w:szCs w:val="14"/>
                <w:color w:val="FFFFFF"/>
              </w:rPr>
              <w:t>of Shares of</w:t>
            </w:r>
          </w:p>
        </w:tc>
        <w:tc>
          <w:tcPr>
            <w:tcW w:w="1480" w:type="dxa"/>
            <w:vAlign w:val="bottom"/>
            <w:shd w:val="clear" w:color="auto" w:fill="24356E"/>
          </w:tcPr>
          <w:p>
            <w:pPr>
              <w:ind w:left="580"/>
              <w:spacing w:after="0"/>
              <w:rPr>
                <w:sz w:val="20"/>
                <w:szCs w:val="20"/>
                <w:color w:val="auto"/>
              </w:rPr>
            </w:pPr>
            <w:r>
              <w:rPr>
                <w:rFonts w:ascii="Arial" w:cs="Arial" w:eastAsia="Arial" w:hAnsi="Arial"/>
                <w:sz w:val="14"/>
                <w:szCs w:val="14"/>
                <w:color w:val="FFFFFF"/>
              </w:rPr>
              <w:t>of Securities</w:t>
            </w:r>
          </w:p>
        </w:tc>
        <w:tc>
          <w:tcPr>
            <w:tcW w:w="1300" w:type="dxa"/>
            <w:vAlign w:val="bottom"/>
            <w:shd w:val="clear" w:color="auto" w:fill="24356E"/>
          </w:tcPr>
          <w:p>
            <w:pPr>
              <w:jc w:val="right"/>
              <w:ind w:right="68"/>
              <w:spacing w:after="0"/>
              <w:rPr>
                <w:sz w:val="20"/>
                <w:szCs w:val="20"/>
                <w:color w:val="auto"/>
              </w:rPr>
            </w:pPr>
            <w:r>
              <w:rPr>
                <w:rFonts w:ascii="Arial" w:cs="Arial" w:eastAsia="Arial" w:hAnsi="Arial"/>
                <w:sz w:val="14"/>
                <w:szCs w:val="14"/>
                <w:color w:val="FFFFFF"/>
              </w:rPr>
              <w:t>Exercise or Base</w:t>
            </w:r>
          </w:p>
        </w:tc>
        <w:tc>
          <w:tcPr>
            <w:tcW w:w="1200" w:type="dxa"/>
            <w:vAlign w:val="bottom"/>
            <w:gridSpan w:val="2"/>
            <w:shd w:val="clear" w:color="auto" w:fill="24356E"/>
          </w:tcPr>
          <w:p>
            <w:pPr>
              <w:jc w:val="right"/>
              <w:ind w:right="68"/>
              <w:spacing w:after="0"/>
              <w:rPr>
                <w:sz w:val="20"/>
                <w:szCs w:val="20"/>
                <w:color w:val="auto"/>
              </w:rPr>
            </w:pPr>
            <w:r>
              <w:rPr>
                <w:rFonts w:ascii="Arial" w:cs="Arial" w:eastAsia="Arial" w:hAnsi="Arial"/>
                <w:sz w:val="14"/>
                <w:szCs w:val="14"/>
                <w:color w:val="FFFFFF"/>
              </w:rPr>
              <w:t>Value of Stock</w:t>
            </w:r>
          </w:p>
        </w:tc>
      </w:tr>
      <w:tr>
        <w:trPr>
          <w:trHeight w:val="162"/>
        </w:trPr>
        <w:tc>
          <w:tcPr>
            <w:tcW w:w="1800" w:type="dxa"/>
            <w:vAlign w:val="bottom"/>
            <w:shd w:val="clear" w:color="auto" w:fill="24356E"/>
          </w:tcPr>
          <w:p>
            <w:pPr>
              <w:spacing w:after="0"/>
              <w:rPr>
                <w:sz w:val="14"/>
                <w:szCs w:val="14"/>
                <w:color w:val="auto"/>
              </w:rPr>
            </w:pPr>
          </w:p>
        </w:tc>
        <w:tc>
          <w:tcPr>
            <w:tcW w:w="920" w:type="dxa"/>
            <w:vAlign w:val="bottom"/>
            <w:tcBorders>
              <w:right w:val="single" w:sz="8" w:color="24356E"/>
            </w:tcBorders>
            <w:shd w:val="clear" w:color="auto" w:fill="24356E"/>
          </w:tcPr>
          <w:p>
            <w:pPr>
              <w:spacing w:after="0"/>
              <w:rPr>
                <w:sz w:val="14"/>
                <w:szCs w:val="14"/>
                <w:color w:val="auto"/>
              </w:rPr>
            </w:pPr>
          </w:p>
        </w:tc>
        <w:tc>
          <w:tcPr>
            <w:tcW w:w="1280" w:type="dxa"/>
            <w:vAlign w:val="bottom"/>
            <w:shd w:val="clear" w:color="auto" w:fill="24356E"/>
          </w:tcPr>
          <w:p>
            <w:pPr>
              <w:jc w:val="right"/>
              <w:ind w:right="68"/>
              <w:spacing w:after="0"/>
              <w:rPr>
                <w:sz w:val="20"/>
                <w:szCs w:val="20"/>
                <w:color w:val="auto"/>
              </w:rPr>
            </w:pPr>
            <w:r>
              <w:rPr>
                <w:rFonts w:ascii="Arial" w:cs="Arial" w:eastAsia="Arial" w:hAnsi="Arial"/>
                <w:sz w:val="14"/>
                <w:szCs w:val="14"/>
                <w:color w:val="FFFFFF"/>
              </w:rPr>
              <w:t>Awards Target</w:t>
            </w:r>
          </w:p>
        </w:tc>
        <w:tc>
          <w:tcPr>
            <w:tcW w:w="142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Stock or Units</w:t>
            </w:r>
          </w:p>
        </w:tc>
        <w:tc>
          <w:tcPr>
            <w:tcW w:w="1480" w:type="dxa"/>
            <w:vAlign w:val="bottom"/>
            <w:shd w:val="clear" w:color="auto" w:fill="24356E"/>
          </w:tcPr>
          <w:p>
            <w:pPr>
              <w:jc w:val="right"/>
              <w:ind w:right="8"/>
              <w:spacing w:after="0"/>
              <w:rPr>
                <w:sz w:val="20"/>
                <w:szCs w:val="20"/>
                <w:color w:val="auto"/>
              </w:rPr>
            </w:pPr>
            <w:r>
              <w:rPr>
                <w:rFonts w:ascii="Arial" w:cs="Arial" w:eastAsia="Arial" w:hAnsi="Arial"/>
                <w:sz w:val="14"/>
                <w:szCs w:val="14"/>
                <w:color w:val="FFFFFF"/>
              </w:rPr>
              <w:t>Underlying Options</w:t>
            </w:r>
          </w:p>
        </w:tc>
        <w:tc>
          <w:tcPr>
            <w:tcW w:w="1300" w:type="dxa"/>
            <w:vAlign w:val="bottom"/>
            <w:shd w:val="clear" w:color="auto" w:fill="24356E"/>
          </w:tcPr>
          <w:p>
            <w:pPr>
              <w:jc w:val="right"/>
              <w:ind w:right="68"/>
              <w:spacing w:after="0"/>
              <w:rPr>
                <w:sz w:val="20"/>
                <w:szCs w:val="20"/>
                <w:color w:val="auto"/>
              </w:rPr>
            </w:pPr>
            <w:r>
              <w:rPr>
                <w:rFonts w:ascii="Arial" w:cs="Arial" w:eastAsia="Arial" w:hAnsi="Arial"/>
                <w:sz w:val="14"/>
                <w:szCs w:val="14"/>
                <w:color w:val="FFFFFF"/>
              </w:rPr>
              <w:t>Price of Option</w:t>
            </w:r>
          </w:p>
        </w:tc>
        <w:tc>
          <w:tcPr>
            <w:tcW w:w="1200" w:type="dxa"/>
            <w:vAlign w:val="bottom"/>
            <w:gridSpan w:val="2"/>
            <w:shd w:val="clear" w:color="auto" w:fill="24356E"/>
          </w:tcPr>
          <w:p>
            <w:pPr>
              <w:jc w:val="center"/>
              <w:ind w:left="148"/>
              <w:spacing w:after="0"/>
              <w:rPr>
                <w:sz w:val="20"/>
                <w:szCs w:val="20"/>
                <w:color w:val="auto"/>
              </w:rPr>
            </w:pPr>
            <w:r>
              <w:rPr>
                <w:rFonts w:ascii="Arial" w:cs="Arial" w:eastAsia="Arial" w:hAnsi="Arial"/>
                <w:sz w:val="14"/>
                <w:szCs w:val="14"/>
                <w:color w:val="FFFFFF"/>
              </w:rPr>
              <w:t>and Option</w:t>
            </w:r>
          </w:p>
        </w:tc>
      </w:tr>
      <w:tr>
        <w:trPr>
          <w:trHeight w:val="311"/>
        </w:trPr>
        <w:tc>
          <w:tcPr>
            <w:tcW w:w="1800" w:type="dxa"/>
            <w:vAlign w:val="bottom"/>
            <w:shd w:val="clear" w:color="auto" w:fill="24356E"/>
          </w:tcPr>
          <w:p>
            <w:pPr>
              <w:ind w:left="200"/>
              <w:spacing w:after="0"/>
              <w:rPr>
                <w:sz w:val="20"/>
                <w:szCs w:val="20"/>
                <w:color w:val="auto"/>
              </w:rPr>
            </w:pPr>
            <w:r>
              <w:rPr>
                <w:rFonts w:ascii="Arial" w:cs="Arial" w:eastAsia="Arial" w:hAnsi="Arial"/>
                <w:sz w:val="14"/>
                <w:szCs w:val="14"/>
                <w:color w:val="FFFFFF"/>
              </w:rPr>
              <w:t>Name</w:t>
            </w:r>
          </w:p>
        </w:tc>
        <w:tc>
          <w:tcPr>
            <w:tcW w:w="920" w:type="dxa"/>
            <w:vAlign w:val="bottom"/>
            <w:tcBorders>
              <w:right w:val="single" w:sz="8" w:color="24356E"/>
            </w:tcBorders>
            <w:shd w:val="clear" w:color="auto" w:fill="24356E"/>
          </w:tcPr>
          <w:p>
            <w:pPr>
              <w:ind w:left="80"/>
              <w:spacing w:after="0"/>
              <w:rPr>
                <w:sz w:val="20"/>
                <w:szCs w:val="20"/>
                <w:color w:val="auto"/>
              </w:rPr>
            </w:pPr>
            <w:r>
              <w:rPr>
                <w:rFonts w:ascii="Arial" w:cs="Arial" w:eastAsia="Arial" w:hAnsi="Arial"/>
                <w:sz w:val="14"/>
                <w:szCs w:val="14"/>
                <w:color w:val="FFFFFF"/>
              </w:rPr>
              <w:t>Grant Date</w:t>
            </w:r>
          </w:p>
        </w:tc>
        <w:tc>
          <w:tcPr>
            <w:tcW w:w="1280" w:type="dxa"/>
            <w:vAlign w:val="bottom"/>
            <w:shd w:val="clear" w:color="auto" w:fill="24356E"/>
          </w:tcPr>
          <w:p>
            <w:pPr>
              <w:jc w:val="right"/>
              <w:ind w:right="68"/>
              <w:spacing w:after="0"/>
              <w:rPr>
                <w:sz w:val="20"/>
                <w:szCs w:val="20"/>
                <w:color w:val="auto"/>
              </w:rPr>
            </w:pPr>
            <w:r>
              <w:rPr>
                <w:rFonts w:ascii="Arial" w:cs="Arial" w:eastAsia="Arial" w:hAnsi="Arial"/>
                <w:sz w:val="14"/>
                <w:szCs w:val="14"/>
                <w:color w:val="FFFFFF"/>
              </w:rPr>
              <w:t>($)</w:t>
            </w:r>
            <w:r>
              <w:rPr>
                <w:rFonts w:ascii="Arial" w:cs="Arial" w:eastAsia="Arial" w:hAnsi="Arial"/>
                <w:sz w:val="23"/>
                <w:szCs w:val="23"/>
                <w:color w:val="FFFFFF"/>
                <w:vertAlign w:val="superscript"/>
              </w:rPr>
              <w:t>(1)</w:t>
            </w:r>
          </w:p>
        </w:tc>
        <w:tc>
          <w:tcPr>
            <w:tcW w:w="142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w:t>
            </w:r>
          </w:p>
        </w:tc>
        <w:tc>
          <w:tcPr>
            <w:tcW w:w="1480" w:type="dxa"/>
            <w:vAlign w:val="bottom"/>
            <w:shd w:val="clear" w:color="auto" w:fill="24356E"/>
          </w:tcPr>
          <w:p>
            <w:pPr>
              <w:jc w:val="right"/>
              <w:ind w:right="8"/>
              <w:spacing w:after="0"/>
              <w:rPr>
                <w:sz w:val="20"/>
                <w:szCs w:val="20"/>
                <w:color w:val="auto"/>
              </w:rPr>
            </w:pPr>
            <w:r>
              <w:rPr>
                <w:rFonts w:ascii="Arial" w:cs="Arial" w:eastAsia="Arial" w:hAnsi="Arial"/>
                <w:sz w:val="14"/>
                <w:szCs w:val="14"/>
                <w:color w:val="FFFFFF"/>
              </w:rPr>
              <w:t>(#)</w:t>
            </w:r>
          </w:p>
        </w:tc>
        <w:tc>
          <w:tcPr>
            <w:tcW w:w="1300" w:type="dxa"/>
            <w:vAlign w:val="bottom"/>
            <w:shd w:val="clear" w:color="auto" w:fill="24356E"/>
          </w:tcPr>
          <w:p>
            <w:pPr>
              <w:jc w:val="right"/>
              <w:ind w:right="28"/>
              <w:spacing w:after="0"/>
              <w:rPr>
                <w:sz w:val="20"/>
                <w:szCs w:val="20"/>
                <w:color w:val="auto"/>
              </w:rPr>
            </w:pPr>
            <w:r>
              <w:rPr>
                <w:rFonts w:ascii="Arial" w:cs="Arial" w:eastAsia="Arial" w:hAnsi="Arial"/>
                <w:sz w:val="14"/>
                <w:szCs w:val="14"/>
                <w:color w:val="FFFFFF"/>
              </w:rPr>
              <w:t>Awards ($/Sh)</w:t>
            </w:r>
          </w:p>
        </w:tc>
        <w:tc>
          <w:tcPr>
            <w:tcW w:w="1200" w:type="dxa"/>
            <w:vAlign w:val="bottom"/>
            <w:gridSpan w:val="2"/>
            <w:shd w:val="clear" w:color="auto" w:fill="24356E"/>
          </w:tcPr>
          <w:p>
            <w:pPr>
              <w:jc w:val="right"/>
              <w:ind w:right="28"/>
              <w:spacing w:after="0"/>
              <w:rPr>
                <w:sz w:val="20"/>
                <w:szCs w:val="20"/>
                <w:color w:val="auto"/>
              </w:rPr>
            </w:pPr>
            <w:r>
              <w:rPr>
                <w:rFonts w:ascii="Arial" w:cs="Arial" w:eastAsia="Arial" w:hAnsi="Arial"/>
                <w:sz w:val="14"/>
                <w:szCs w:val="14"/>
                <w:color w:val="FFFFFF"/>
              </w:rPr>
              <w:t>Awards ($)</w:t>
            </w:r>
            <w:r>
              <w:rPr>
                <w:rFonts w:ascii="Arial" w:cs="Arial" w:eastAsia="Arial" w:hAnsi="Arial"/>
                <w:sz w:val="23"/>
                <w:szCs w:val="23"/>
                <w:color w:val="FFFFFF"/>
                <w:vertAlign w:val="superscript"/>
              </w:rPr>
              <w:t>(2)</w:t>
            </w:r>
          </w:p>
        </w:tc>
      </w:tr>
      <w:tr>
        <w:trPr>
          <w:trHeight w:val="405"/>
        </w:trPr>
        <w:tc>
          <w:tcPr>
            <w:tcW w:w="1800" w:type="dxa"/>
            <w:vAlign w:val="bottom"/>
            <w:tcBorders>
              <w:bottom w:val="single" w:sz="8" w:color="666666"/>
            </w:tcBorders>
          </w:tcPr>
          <w:p>
            <w:pPr>
              <w:ind w:left="200"/>
              <w:spacing w:after="0"/>
              <w:rPr>
                <w:sz w:val="20"/>
                <w:szCs w:val="20"/>
                <w:color w:val="auto"/>
              </w:rPr>
            </w:pPr>
            <w:r>
              <w:rPr>
                <w:rFonts w:ascii="Arial" w:cs="Arial" w:eastAsia="Arial" w:hAnsi="Arial"/>
                <w:sz w:val="14"/>
                <w:szCs w:val="14"/>
                <w:b w:val="1"/>
                <w:bCs w:val="1"/>
                <w:color w:val="auto"/>
              </w:rPr>
              <w:t>Michael Egholm, Ph.D.</w:t>
            </w:r>
          </w:p>
        </w:tc>
        <w:tc>
          <w:tcPr>
            <w:tcW w:w="9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5/20/2024</w:t>
            </w:r>
          </w:p>
        </w:tc>
        <w:tc>
          <w:tcPr>
            <w:tcW w:w="128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700,000​</w:t>
            </w:r>
          </w:p>
        </w:tc>
        <w:tc>
          <w:tcPr>
            <w:tcW w:w="1420" w:type="dxa"/>
            <w:vAlign w:val="bottom"/>
            <w:tcBorders>
              <w:bottom w:val="single" w:sz="8" w:color="666666"/>
            </w:tcBorders>
          </w:tcPr>
          <w:p>
            <w:pPr>
              <w:jc w:val="right"/>
              <w:ind w:right="228"/>
              <w:spacing w:after="0"/>
              <w:rPr>
                <w:sz w:val="20"/>
                <w:szCs w:val="20"/>
                <w:color w:val="auto"/>
              </w:rPr>
            </w:pPr>
            <w:r>
              <w:rPr>
                <w:rFonts w:ascii="Arial" w:cs="Arial" w:eastAsia="Arial" w:hAnsi="Arial"/>
                <w:sz w:val="14"/>
                <w:szCs w:val="14"/>
                <w:color w:val="auto"/>
              </w:rPr>
              <w:t>1,000,000</w:t>
            </w:r>
            <w:r>
              <w:rPr>
                <w:rFonts w:ascii="Arial" w:cs="Arial" w:eastAsia="Arial" w:hAnsi="Arial"/>
                <w:sz w:val="23"/>
                <w:szCs w:val="23"/>
                <w:color w:val="auto"/>
                <w:vertAlign w:val="superscript"/>
              </w:rPr>
              <w:t>(3)</w:t>
            </w:r>
          </w:p>
        </w:tc>
        <w:tc>
          <w:tcPr>
            <w:tcW w:w="1480" w:type="dxa"/>
            <w:vAlign w:val="bottom"/>
            <w:tcBorders>
              <w:bottom w:val="single" w:sz="8" w:color="666666"/>
            </w:tcBorders>
          </w:tcPr>
          <w:p>
            <w:pPr>
              <w:jc w:val="right"/>
              <w:ind w:right="148"/>
              <w:spacing w:after="0"/>
              <w:rPr>
                <w:sz w:val="20"/>
                <w:szCs w:val="20"/>
                <w:color w:val="auto"/>
              </w:rPr>
            </w:pPr>
            <w:r>
              <w:rPr>
                <w:rFonts w:ascii="Arial" w:cs="Arial" w:eastAsia="Arial" w:hAnsi="Arial"/>
                <w:sz w:val="14"/>
                <w:szCs w:val="14"/>
                <w:color w:val="auto"/>
              </w:rPr>
              <w:t>2,250,000</w:t>
            </w:r>
            <w:r>
              <w:rPr>
                <w:rFonts w:ascii="Arial" w:cs="Arial" w:eastAsia="Arial" w:hAnsi="Arial"/>
                <w:sz w:val="23"/>
                <w:szCs w:val="23"/>
                <w:color w:val="auto"/>
                <w:vertAlign w:val="superscript"/>
              </w:rPr>
              <w:t>(4)</w:t>
            </w:r>
          </w:p>
        </w:tc>
        <w:tc>
          <w:tcPr>
            <w:tcW w:w="130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2.58</w:t>
            </w:r>
          </w:p>
        </w:tc>
        <w:tc>
          <w:tcPr>
            <w:tcW w:w="1200" w:type="dxa"/>
            <w:vAlign w:val="bottom"/>
            <w:tcBorders>
              <w:bottom w:val="single" w:sz="8" w:color="666666"/>
            </w:tcBorders>
            <w:gridSpan w:val="2"/>
          </w:tcPr>
          <w:p>
            <w:pPr>
              <w:jc w:val="center"/>
              <w:ind w:left="168"/>
              <w:spacing w:after="0"/>
              <w:rPr>
                <w:sz w:val="20"/>
                <w:szCs w:val="20"/>
                <w:color w:val="auto"/>
              </w:rPr>
            </w:pPr>
            <w:r>
              <w:rPr>
                <w:rFonts w:ascii="Arial" w:cs="Arial" w:eastAsia="Arial" w:hAnsi="Arial"/>
                <w:sz w:val="14"/>
                <w:szCs w:val="14"/>
                <w:color w:val="auto"/>
              </w:rPr>
              <w:t>7,127,486</w:t>
            </w:r>
          </w:p>
        </w:tc>
      </w:tr>
      <w:tr>
        <w:trPr>
          <w:trHeight w:val="398"/>
        </w:trPr>
        <w:tc>
          <w:tcPr>
            <w:tcW w:w="1800" w:type="dxa"/>
            <w:vAlign w:val="bottom"/>
            <w:tcBorders>
              <w:bottom w:val="single" w:sz="8" w:color="666666"/>
            </w:tcBorders>
          </w:tcPr>
          <w:p>
            <w:pPr>
              <w:ind w:left="200"/>
              <w:spacing w:after="0"/>
              <w:rPr>
                <w:sz w:val="20"/>
                <w:szCs w:val="20"/>
                <w:color w:val="auto"/>
              </w:rPr>
            </w:pPr>
            <w:r>
              <w:rPr>
                <w:rFonts w:ascii="Arial" w:cs="Arial" w:eastAsia="Arial" w:hAnsi="Arial"/>
                <w:sz w:val="14"/>
                <w:szCs w:val="14"/>
                <w:b w:val="1"/>
                <w:bCs w:val="1"/>
                <w:color w:val="auto"/>
              </w:rPr>
              <w:t>Alex Kim</w:t>
            </w:r>
          </w:p>
        </w:tc>
        <w:tc>
          <w:tcPr>
            <w:tcW w:w="9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5/20/2024</w:t>
            </w:r>
          </w:p>
        </w:tc>
        <w:tc>
          <w:tcPr>
            <w:tcW w:w="128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300,000​</w:t>
            </w:r>
          </w:p>
        </w:tc>
        <w:tc>
          <w:tcPr>
            <w:tcW w:w="1420" w:type="dxa"/>
            <w:vAlign w:val="bottom"/>
            <w:tcBorders>
              <w:bottom w:val="single" w:sz="8" w:color="666666"/>
            </w:tcBorders>
          </w:tcPr>
          <w:p>
            <w:pPr>
              <w:ind w:left="440"/>
              <w:spacing w:after="0"/>
              <w:rPr>
                <w:sz w:val="20"/>
                <w:szCs w:val="20"/>
                <w:color w:val="auto"/>
              </w:rPr>
            </w:pPr>
            <w:r>
              <w:rPr>
                <w:rFonts w:ascii="Arial" w:cs="Arial" w:eastAsia="Arial" w:hAnsi="Arial"/>
                <w:sz w:val="14"/>
                <w:szCs w:val="14"/>
                <w:color w:val="auto"/>
              </w:rPr>
              <w:t>750,000</w:t>
            </w:r>
            <w:r>
              <w:rPr>
                <w:rFonts w:ascii="Arial" w:cs="Arial" w:eastAsia="Arial" w:hAnsi="Arial"/>
                <w:sz w:val="23"/>
                <w:szCs w:val="23"/>
                <w:color w:val="auto"/>
                <w:vertAlign w:val="superscript"/>
              </w:rPr>
              <w:t>(3)</w:t>
            </w:r>
          </w:p>
        </w:tc>
        <w:tc>
          <w:tcPr>
            <w:tcW w:w="1480" w:type="dxa"/>
            <w:vAlign w:val="bottom"/>
            <w:tcBorders>
              <w:bottom w:val="single" w:sz="8" w:color="666666"/>
            </w:tcBorders>
          </w:tcPr>
          <w:p>
            <w:pPr>
              <w:ind w:left="580"/>
              <w:spacing w:after="0"/>
              <w:rPr>
                <w:sz w:val="20"/>
                <w:szCs w:val="20"/>
                <w:color w:val="auto"/>
              </w:rPr>
            </w:pPr>
            <w:r>
              <w:rPr>
                <w:rFonts w:ascii="Arial" w:cs="Arial" w:eastAsia="Arial" w:hAnsi="Arial"/>
                <w:sz w:val="14"/>
                <w:szCs w:val="14"/>
                <w:color w:val="auto"/>
              </w:rPr>
              <w:t>333,333</w:t>
            </w:r>
            <w:r>
              <w:rPr>
                <w:rFonts w:ascii="Arial" w:cs="Arial" w:eastAsia="Arial" w:hAnsi="Arial"/>
                <w:sz w:val="23"/>
                <w:szCs w:val="23"/>
                <w:color w:val="auto"/>
                <w:vertAlign w:val="superscript"/>
              </w:rPr>
              <w:t>(4)</w:t>
            </w:r>
          </w:p>
        </w:tc>
        <w:tc>
          <w:tcPr>
            <w:tcW w:w="130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2.58</w:t>
            </w:r>
          </w:p>
        </w:tc>
        <w:tc>
          <w:tcPr>
            <w:tcW w:w="1200" w:type="dxa"/>
            <w:vAlign w:val="bottom"/>
            <w:tcBorders>
              <w:bottom w:val="single" w:sz="8" w:color="666666"/>
            </w:tcBorders>
            <w:gridSpan w:val="2"/>
          </w:tcPr>
          <w:p>
            <w:pPr>
              <w:jc w:val="center"/>
              <w:ind w:left="168"/>
              <w:spacing w:after="0"/>
              <w:rPr>
                <w:sz w:val="20"/>
                <w:szCs w:val="20"/>
                <w:color w:val="auto"/>
              </w:rPr>
            </w:pPr>
            <w:r>
              <w:rPr>
                <w:rFonts w:ascii="Arial" w:cs="Arial" w:eastAsia="Arial" w:hAnsi="Arial"/>
                <w:sz w:val="14"/>
                <w:szCs w:val="14"/>
                <w:color w:val="auto"/>
              </w:rPr>
              <w:t>2,375,828</w:t>
            </w:r>
          </w:p>
        </w:tc>
      </w:tr>
      <w:tr>
        <w:trPr>
          <w:trHeight w:val="398"/>
        </w:trPr>
        <w:tc>
          <w:tcPr>
            <w:tcW w:w="1800" w:type="dxa"/>
            <w:vAlign w:val="bottom"/>
            <w:tcBorders>
              <w:bottom w:val="single" w:sz="8" w:color="666666"/>
            </w:tcBorders>
          </w:tcPr>
          <w:p>
            <w:pPr>
              <w:ind w:left="200"/>
              <w:spacing w:after="0"/>
              <w:rPr>
                <w:sz w:val="20"/>
                <w:szCs w:val="20"/>
                <w:color w:val="auto"/>
              </w:rPr>
            </w:pPr>
            <w:r>
              <w:rPr>
                <w:rFonts w:ascii="Arial" w:cs="Arial" w:eastAsia="Arial" w:hAnsi="Arial"/>
                <w:sz w:val="14"/>
                <w:szCs w:val="14"/>
                <w:b w:val="1"/>
                <w:bCs w:val="1"/>
                <w:color w:val="auto"/>
              </w:rPr>
              <w:t>Sean Mackay</w:t>
            </w:r>
          </w:p>
        </w:tc>
        <w:tc>
          <w:tcPr>
            <w:tcW w:w="92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5/20/2024</w:t>
            </w:r>
          </w:p>
        </w:tc>
        <w:tc>
          <w:tcPr>
            <w:tcW w:w="128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285,000​</w:t>
            </w:r>
          </w:p>
        </w:tc>
        <w:tc>
          <w:tcPr>
            <w:tcW w:w="1420" w:type="dxa"/>
            <w:vAlign w:val="bottom"/>
            <w:tcBorders>
              <w:bottom w:val="single" w:sz="8" w:color="666666"/>
            </w:tcBorders>
          </w:tcPr>
          <w:p>
            <w:pPr>
              <w:ind w:left="440"/>
              <w:spacing w:after="0"/>
              <w:rPr>
                <w:sz w:val="20"/>
                <w:szCs w:val="20"/>
                <w:color w:val="auto"/>
              </w:rPr>
            </w:pPr>
            <w:r>
              <w:rPr>
                <w:rFonts w:ascii="Arial" w:cs="Arial" w:eastAsia="Arial" w:hAnsi="Arial"/>
                <w:sz w:val="14"/>
                <w:szCs w:val="14"/>
                <w:color w:val="auto"/>
              </w:rPr>
              <w:t>600,000</w:t>
            </w:r>
            <w:r>
              <w:rPr>
                <w:rFonts w:ascii="Arial" w:cs="Arial" w:eastAsia="Arial" w:hAnsi="Arial"/>
                <w:sz w:val="23"/>
                <w:szCs w:val="23"/>
                <w:color w:val="auto"/>
                <w:vertAlign w:val="superscript"/>
              </w:rPr>
              <w:t>(3)</w:t>
            </w:r>
          </w:p>
        </w:tc>
        <w:tc>
          <w:tcPr>
            <w:tcW w:w="1480" w:type="dxa"/>
            <w:vAlign w:val="bottom"/>
            <w:tcBorders>
              <w:bottom w:val="single" w:sz="8" w:color="666666"/>
            </w:tcBorders>
          </w:tcPr>
          <w:p>
            <w:pPr>
              <w:ind w:left="580"/>
              <w:spacing w:after="0"/>
              <w:rPr>
                <w:sz w:val="20"/>
                <w:szCs w:val="20"/>
                <w:color w:val="auto"/>
              </w:rPr>
            </w:pPr>
            <w:r>
              <w:rPr>
                <w:rFonts w:ascii="Arial" w:cs="Arial" w:eastAsia="Arial" w:hAnsi="Arial"/>
                <w:sz w:val="14"/>
                <w:szCs w:val="14"/>
                <w:color w:val="auto"/>
              </w:rPr>
              <w:t>600,000</w:t>
            </w:r>
            <w:r>
              <w:rPr>
                <w:rFonts w:ascii="Arial" w:cs="Arial" w:eastAsia="Arial" w:hAnsi="Arial"/>
                <w:sz w:val="23"/>
                <w:szCs w:val="23"/>
                <w:color w:val="auto"/>
                <w:vertAlign w:val="superscript"/>
              </w:rPr>
              <w:t>(4)</w:t>
            </w:r>
          </w:p>
        </w:tc>
        <w:tc>
          <w:tcPr>
            <w:tcW w:w="130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2.58</w:t>
            </w:r>
          </w:p>
        </w:tc>
        <w:tc>
          <w:tcPr>
            <w:tcW w:w="1200" w:type="dxa"/>
            <w:vAlign w:val="bottom"/>
            <w:tcBorders>
              <w:bottom w:val="single" w:sz="8" w:color="666666"/>
            </w:tcBorders>
            <w:gridSpan w:val="2"/>
          </w:tcPr>
          <w:p>
            <w:pPr>
              <w:jc w:val="center"/>
              <w:ind w:left="168"/>
              <w:spacing w:after="0"/>
              <w:rPr>
                <w:sz w:val="20"/>
                <w:szCs w:val="20"/>
                <w:color w:val="auto"/>
              </w:rPr>
            </w:pPr>
            <w:r>
              <w:rPr>
                <w:rFonts w:ascii="Arial" w:cs="Arial" w:eastAsia="Arial" w:hAnsi="Arial"/>
                <w:sz w:val="14"/>
                <w:szCs w:val="14"/>
                <w:color w:val="auto"/>
              </w:rPr>
              <w:t>2,760,600</w:t>
            </w:r>
          </w:p>
        </w:tc>
      </w:tr>
      <w:tr>
        <w:trPr>
          <w:trHeight w:val="385"/>
        </w:trPr>
        <w:tc>
          <w:tcPr>
            <w:tcW w:w="1800" w:type="dxa"/>
            <w:vAlign w:val="bottom"/>
            <w:tcBorders>
              <w:bottom w:val="single" w:sz="8" w:color="24356E"/>
            </w:tcBorders>
          </w:tcPr>
          <w:p>
            <w:pPr>
              <w:ind w:left="200"/>
              <w:spacing w:after="0"/>
              <w:rPr>
                <w:sz w:val="20"/>
                <w:szCs w:val="20"/>
                <w:color w:val="auto"/>
              </w:rPr>
            </w:pPr>
            <w:r>
              <w:rPr>
                <w:rFonts w:ascii="Arial" w:cs="Arial" w:eastAsia="Arial" w:hAnsi="Arial"/>
                <w:sz w:val="14"/>
                <w:szCs w:val="14"/>
                <w:b w:val="1"/>
                <w:bCs w:val="1"/>
                <w:color w:val="auto"/>
              </w:rPr>
              <w:t>Jeffrey Black</w:t>
            </w:r>
          </w:p>
        </w:tc>
        <w:tc>
          <w:tcPr>
            <w:tcW w:w="920" w:type="dxa"/>
            <w:vAlign w:val="bottom"/>
            <w:tcBorders>
              <w:bottom w:val="single" w:sz="8" w:color="24356E"/>
            </w:tcBorders>
          </w:tcPr>
          <w:p>
            <w:pPr>
              <w:ind w:left="60"/>
              <w:spacing w:after="0"/>
              <w:rPr>
                <w:sz w:val="20"/>
                <w:szCs w:val="20"/>
                <w:color w:val="auto"/>
              </w:rPr>
            </w:pPr>
            <w:r>
              <w:rPr>
                <w:rFonts w:ascii="Arial" w:cs="Arial" w:eastAsia="Arial" w:hAnsi="Arial"/>
                <w:sz w:val="14"/>
                <w:szCs w:val="14"/>
                <w:color w:val="auto"/>
              </w:rPr>
              <w:t>5/20/2024</w:t>
            </w:r>
          </w:p>
        </w:tc>
        <w:tc>
          <w:tcPr>
            <w:tcW w:w="1280" w:type="dxa"/>
            <w:vAlign w:val="bottom"/>
            <w:tcBorders>
              <w:bottom w:val="single" w:sz="8" w:color="24356E"/>
            </w:tcBorders>
          </w:tcPr>
          <w:p>
            <w:pPr>
              <w:jc w:val="right"/>
              <w:ind w:right="128"/>
              <w:spacing w:after="0"/>
              <w:rPr>
                <w:sz w:val="20"/>
                <w:szCs w:val="20"/>
                <w:color w:val="auto"/>
              </w:rPr>
            </w:pPr>
            <w:r>
              <w:rPr>
                <w:rFonts w:ascii="Arial" w:cs="Arial" w:eastAsia="Arial" w:hAnsi="Arial"/>
                <w:sz w:val="14"/>
                <w:szCs w:val="14"/>
                <w:color w:val="auto"/>
              </w:rPr>
              <w:t>270,000​</w:t>
            </w:r>
          </w:p>
        </w:tc>
        <w:tc>
          <w:tcPr>
            <w:tcW w:w="1420" w:type="dxa"/>
            <w:vAlign w:val="bottom"/>
            <w:tcBorders>
              <w:bottom w:val="single" w:sz="8" w:color="24356E"/>
            </w:tcBorders>
          </w:tcPr>
          <w:p>
            <w:pPr>
              <w:ind w:left="440"/>
              <w:spacing w:after="0"/>
              <w:rPr>
                <w:sz w:val="20"/>
                <w:szCs w:val="20"/>
                <w:color w:val="auto"/>
              </w:rPr>
            </w:pPr>
            <w:r>
              <w:rPr>
                <w:rFonts w:ascii="Arial" w:cs="Arial" w:eastAsia="Arial" w:hAnsi="Arial"/>
                <w:sz w:val="14"/>
                <w:szCs w:val="14"/>
                <w:color w:val="auto"/>
              </w:rPr>
              <w:t>300,000</w:t>
            </w:r>
            <w:r>
              <w:rPr>
                <w:rFonts w:ascii="Arial" w:cs="Arial" w:eastAsia="Arial" w:hAnsi="Arial"/>
                <w:sz w:val="23"/>
                <w:szCs w:val="23"/>
                <w:color w:val="auto"/>
                <w:vertAlign w:val="superscript"/>
              </w:rPr>
              <w:t>(3)(5)</w:t>
            </w:r>
          </w:p>
        </w:tc>
        <w:tc>
          <w:tcPr>
            <w:tcW w:w="1480" w:type="dxa"/>
            <w:vAlign w:val="bottom"/>
            <w:tcBorders>
              <w:bottom w:val="single" w:sz="8" w:color="24356E"/>
            </w:tcBorders>
          </w:tcPr>
          <w:p>
            <w:pPr>
              <w:ind w:left="580"/>
              <w:spacing w:after="0"/>
              <w:rPr>
                <w:sz w:val="20"/>
                <w:szCs w:val="20"/>
                <w:color w:val="auto"/>
              </w:rPr>
            </w:pPr>
            <w:r>
              <w:rPr>
                <w:rFonts w:ascii="Arial" w:cs="Arial" w:eastAsia="Arial" w:hAnsi="Arial"/>
                <w:sz w:val="14"/>
                <w:szCs w:val="14"/>
                <w:color w:val="auto"/>
                <w:w w:val="99"/>
              </w:rPr>
              <w:t>400,000</w:t>
            </w:r>
            <w:r>
              <w:rPr>
                <w:rFonts w:ascii="Arial" w:cs="Arial" w:eastAsia="Arial" w:hAnsi="Arial"/>
                <w:sz w:val="23"/>
                <w:szCs w:val="23"/>
                <w:color w:val="auto"/>
                <w:w w:val="99"/>
                <w:vertAlign w:val="superscript"/>
              </w:rPr>
              <w:t>(4)(5)</w:t>
            </w:r>
          </w:p>
        </w:tc>
        <w:tc>
          <w:tcPr>
            <w:tcW w:w="1300" w:type="dxa"/>
            <w:vAlign w:val="bottom"/>
            <w:tcBorders>
              <w:bottom w:val="single" w:sz="8" w:color="24356E"/>
            </w:tcBorders>
          </w:tcPr>
          <w:p>
            <w:pPr>
              <w:jc w:val="right"/>
              <w:ind w:right="128"/>
              <w:spacing w:after="0"/>
              <w:rPr>
                <w:sz w:val="20"/>
                <w:szCs w:val="20"/>
                <w:color w:val="auto"/>
              </w:rPr>
            </w:pPr>
            <w:r>
              <w:rPr>
                <w:rFonts w:ascii="Arial" w:cs="Arial" w:eastAsia="Arial" w:hAnsi="Arial"/>
                <w:sz w:val="14"/>
                <w:szCs w:val="14"/>
                <w:color w:val="auto"/>
              </w:rPr>
              <w:t>2.58</w:t>
            </w:r>
          </w:p>
        </w:tc>
        <w:tc>
          <w:tcPr>
            <w:tcW w:w="1200" w:type="dxa"/>
            <w:vAlign w:val="bottom"/>
            <w:tcBorders>
              <w:bottom w:val="single" w:sz="8" w:color="24356E"/>
            </w:tcBorders>
            <w:gridSpan w:val="2"/>
          </w:tcPr>
          <w:p>
            <w:pPr>
              <w:jc w:val="center"/>
              <w:ind w:left="168"/>
              <w:spacing w:after="0"/>
              <w:rPr>
                <w:sz w:val="20"/>
                <w:szCs w:val="20"/>
                <w:color w:val="auto"/>
              </w:rPr>
            </w:pPr>
            <w:r>
              <w:rPr>
                <w:rFonts w:ascii="Arial" w:cs="Arial" w:eastAsia="Arial" w:hAnsi="Arial"/>
                <w:sz w:val="14"/>
                <w:szCs w:val="14"/>
                <w:color w:val="auto"/>
              </w:rPr>
              <w:t>1,582,442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-1062355</wp:posOffset>
            </wp:positionV>
            <wp:extent cx="59664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51" w:lineRule="exact"/>
        <w:rPr>
          <w:sz w:val="20"/>
          <w:szCs w:val="20"/>
          <w:color w:val="auto"/>
        </w:rPr>
      </w:pPr>
    </w:p>
    <w:p>
      <w:pPr>
        <w:ind w:left="360" w:right="20" w:hanging="354"/>
        <w:spacing w:after="0" w:line="228" w:lineRule="auto"/>
        <w:tabs>
          <w:tab w:leader="none" w:pos="36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the potential 2024 cash incentive bonus payouts assuming target achievement of goals, based upon the NEO’s cash incentive bonus target and base salary in effect on December 31, 2024. No minimum threshold amount or maximum amount beyond the target amount was established. See the column entitled “Non-Equity Incentive Plan Compensation” in the Summary Compensation Table for the cash incentive bonuses earned by the NEOs in 2024. See “Compensation Discussion and Analysis — Components of Executive Compensation — Annual Performance-Based Cash Incentive Compensation” for a description of our 2011 Equity Incentive Plan.</w:t>
      </w:r>
    </w:p>
    <w:p>
      <w:pPr>
        <w:spacing w:after="0" w:line="32" w:lineRule="exact"/>
        <w:rPr>
          <w:rFonts w:ascii="Arial" w:cs="Arial" w:eastAsia="Arial" w:hAnsi="Arial"/>
          <w:sz w:val="13"/>
          <w:szCs w:val="13"/>
          <w:b w:val="1"/>
          <w:bCs w:val="1"/>
          <w:color w:val="auto"/>
        </w:rPr>
      </w:pPr>
    </w:p>
    <w:p>
      <w:pPr>
        <w:ind w:left="360" w:right="60" w:hanging="354"/>
        <w:spacing w:after="0" w:line="293" w:lineRule="auto"/>
        <w:tabs>
          <w:tab w:leader="none" w:pos="360"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The amount represents the grant date fair value for RSU awards and options computed in accordance with ASC 718. A discussion of our methodology for determining grant date fair value may be found in Note 13 in our consolidated financial statements included in our 2024 Annual Report.</w:t>
      </w:r>
    </w:p>
    <w:p>
      <w:pPr>
        <w:spacing w:after="0" w:line="8" w:lineRule="exact"/>
        <w:rPr>
          <w:rFonts w:ascii="Arial" w:cs="Arial" w:eastAsia="Arial" w:hAnsi="Arial"/>
          <w:sz w:val="12"/>
          <w:szCs w:val="12"/>
          <w:b w:val="1"/>
          <w:bCs w:val="1"/>
          <w:color w:val="auto"/>
        </w:rPr>
      </w:pPr>
    </w:p>
    <w:p>
      <w:pPr>
        <w:ind w:left="360" w:right="540" w:hanging="354"/>
        <w:spacing w:after="0" w:line="186" w:lineRule="auto"/>
        <w:tabs>
          <w:tab w:leader="none" w:pos="360" w:val="left"/>
        </w:tabs>
        <w:numPr>
          <w:ilvl w:val="0"/>
          <w:numId w:val="33"/>
        </w:numPr>
        <w:rPr>
          <w:rFonts w:ascii="Arial" w:cs="Arial" w:eastAsia="Arial" w:hAnsi="Arial"/>
          <w:sz w:val="25"/>
          <w:szCs w:val="25"/>
          <w:b w:val="1"/>
          <w:bCs w:val="1"/>
          <w:color w:val="auto"/>
          <w:vertAlign w:val="superscript"/>
        </w:rPr>
      </w:pPr>
      <w:r>
        <w:rPr>
          <w:rFonts w:ascii="Arial" w:cs="Arial" w:eastAsia="Arial" w:hAnsi="Arial"/>
          <w:sz w:val="13"/>
          <w:szCs w:val="13"/>
          <w:b w:val="1"/>
          <w:bCs w:val="1"/>
          <w:color w:val="auto"/>
        </w:rPr>
        <w:t>The RSUs vested as to 1/16</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of the RSUs on August 20, 2024, with the remaining RSUs vesting in equal quarterly installments over four years thereafter, subject to continued service through the applicable vesting date.</w:t>
      </w:r>
    </w:p>
    <w:p>
      <w:pPr>
        <w:spacing w:after="0" w:line="52" w:lineRule="exact"/>
        <w:rPr>
          <w:rFonts w:ascii="Arial" w:cs="Arial" w:eastAsia="Arial" w:hAnsi="Arial"/>
          <w:sz w:val="25"/>
          <w:szCs w:val="25"/>
          <w:b w:val="1"/>
          <w:bCs w:val="1"/>
          <w:color w:val="auto"/>
          <w:vertAlign w:val="superscript"/>
        </w:rPr>
      </w:pPr>
    </w:p>
    <w:p>
      <w:pPr>
        <w:ind w:left="360" w:right="20" w:hanging="354"/>
        <w:spacing w:after="0" w:line="186" w:lineRule="auto"/>
        <w:tabs>
          <w:tab w:leader="none" w:pos="360" w:val="left"/>
        </w:tabs>
        <w:numPr>
          <w:ilvl w:val="0"/>
          <w:numId w:val="33"/>
        </w:numPr>
        <w:rPr>
          <w:rFonts w:ascii="Arial" w:cs="Arial" w:eastAsia="Arial" w:hAnsi="Arial"/>
          <w:sz w:val="25"/>
          <w:szCs w:val="25"/>
          <w:b w:val="1"/>
          <w:bCs w:val="1"/>
          <w:color w:val="auto"/>
          <w:vertAlign w:val="superscript"/>
        </w:rPr>
      </w:pPr>
      <w:r>
        <w:rPr>
          <w:rFonts w:ascii="Arial" w:cs="Arial" w:eastAsia="Arial" w:hAnsi="Arial"/>
          <w:sz w:val="13"/>
          <w:szCs w:val="13"/>
          <w:b w:val="1"/>
          <w:bCs w:val="1"/>
          <w:color w:val="auto"/>
        </w:rPr>
        <w:t>The shares underlying this option vested as to 1/16</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of the underlying shares on August 20, 2024, with the remaining shares vesting in equal quarterly installments over four years thereafter, subject to continued service through the applicable vesting date.</w:t>
      </w:r>
    </w:p>
    <w:p>
      <w:pPr>
        <w:spacing w:after="0" w:line="31" w:lineRule="exact"/>
        <w:rPr>
          <w:rFonts w:ascii="Arial" w:cs="Arial" w:eastAsia="Arial" w:hAnsi="Arial"/>
          <w:sz w:val="25"/>
          <w:szCs w:val="25"/>
          <w:b w:val="1"/>
          <w:bCs w:val="1"/>
          <w:color w:val="auto"/>
          <w:vertAlign w:val="superscript"/>
        </w:rPr>
      </w:pPr>
    </w:p>
    <w:p>
      <w:pPr>
        <w:ind w:left="360" w:hanging="354"/>
        <w:spacing w:after="0"/>
        <w:tabs>
          <w:tab w:leader="none" w:pos="36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Mr. Black resigned from the Company effective as of August 31, 2024 and forfeited any outstanding equity awards as of that date.</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Narrative to the Summary Compensation Table and Grant of Plan-Based Awards Table</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3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333333"/>
        </w:rPr>
        <w:t xml:space="preserve">Offer Letter with Dr. Egholm. </w:t>
      </w:r>
      <w:r>
        <w:rPr>
          <w:rFonts w:ascii="Arial" w:cs="Arial" w:eastAsia="Arial" w:hAnsi="Arial"/>
          <w:sz w:val="16"/>
          <w:szCs w:val="16"/>
          <w:color w:val="333333"/>
        </w:rPr>
        <w:t>In January 2022, Dr. Egholm and the Company entered into an agreement pursuant to which he was</w:t>
      </w:r>
      <w:r>
        <w:rPr>
          <w:rFonts w:ascii="Arial" w:cs="Arial" w:eastAsia="Arial" w:hAnsi="Arial"/>
          <w:sz w:val="16"/>
          <w:szCs w:val="16"/>
          <w:i w:val="1"/>
          <w:iCs w:val="1"/>
          <w:color w:val="333333"/>
        </w:rPr>
        <w:t xml:space="preserve"> </w:t>
      </w:r>
      <w:r>
        <w:rPr>
          <w:rFonts w:ascii="Arial" w:cs="Arial" w:eastAsia="Arial" w:hAnsi="Arial"/>
          <w:sz w:val="16"/>
          <w:szCs w:val="16"/>
          <w:color w:val="333333"/>
        </w:rPr>
        <w:t>appointed as the Company’s President and CEO (the “Egholm Letter”) on April 4, 2022.</w:t>
      </w:r>
    </w:p>
    <w:p>
      <w:pPr>
        <w:spacing w:after="0" w:line="10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333333"/>
        </w:rPr>
        <w:t>Pursuant to the Egholm Letter, Dr. Egholm serves as our CEO and President on an at-will basis, his annual base salary in 2022 was $500,000 (which was increased to $645,000 effective as of April 1, 2023 and again increased to $700,000 effective as of April 1, 2024), and he is eligible to receive an annual bonus with a target level of 100% of his base salary.</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333333"/>
        </w:rPr>
        <w:t>Pursuant to the Egholm Letter, Dr. Egholm received a one-time “staking grant” of nonqualified stock options (the “Egholm Option Award”) to purchase 4,529,773 shares of the Company’s common stock with a per share exercise price of $3.99. 25% of the shares subject to this award vested on the first anniversary of the vesting commencement date, and the remaining 75% vests in equal monthly installments over the next three years, subject to his continued employment with the Company, other than in the event of his Death/Disability as described below.</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16"/>
          <w:szCs w:val="16"/>
          <w:color w:val="333333"/>
        </w:rPr>
        <w:t>In addition, pursuant to the Egholm Letter, Dr. Egholm received a “staking grant” of 786,049 RSUs (the “Egholm RSU Award”). 25% of the Egholm RSU Award vested on the first anniversary of the vesting commencement date, and the remaining 75% vests in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238125</wp:posOffset>
            </wp:positionV>
            <wp:extent cx="59664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333333"/>
        </w:rPr>
        <w:t>annual installments over the next three years, subject to his continued employment with the Company, other than in the event of his Death/Disability as described below. Additionally, effective as of Dr. Egholm’s start date he received an additional grant of 632 RSUs, which have the same vesting terms as indicated above with respect to the Egholm RSU Award.</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333333"/>
        </w:rPr>
        <w:t>If Dr. Egholm’s employment is terminated due to his death or “disability” (as defined in the 2023 Standard BioTools Severance Plan) (“Death/Disability”), a number of unvested shares underlying the Egholm Option Award and the Egholm RSU Award (if any), that otherwise would vest during the period between the termination date and the one-year anniversary of the termination date immediately will vest.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333333"/>
        </w:rPr>
        <w:t>Dr. Egholm participates in the 2023 Standard BioTools Severance Plan, as discussed below.</w:t>
      </w:r>
    </w:p>
    <w:p>
      <w:pPr>
        <w:spacing w:after="0" w:line="16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i w:val="1"/>
          <w:iCs w:val="1"/>
          <w:color w:val="333333"/>
        </w:rPr>
        <w:t xml:space="preserve">Offer Letter with Mr. Kim. </w:t>
      </w:r>
      <w:r>
        <w:rPr>
          <w:rFonts w:ascii="Arial" w:cs="Arial" w:eastAsia="Arial" w:hAnsi="Arial"/>
          <w:sz w:val="16"/>
          <w:szCs w:val="16"/>
          <w:color w:val="333333"/>
        </w:rPr>
        <w:t>In January 2022, the Company entered into an agreement with Mr. Kim pursuant to which he was</w:t>
      </w:r>
      <w:r>
        <w:rPr>
          <w:rFonts w:ascii="Arial" w:cs="Arial" w:eastAsia="Arial" w:hAnsi="Arial"/>
          <w:sz w:val="16"/>
          <w:szCs w:val="16"/>
          <w:i w:val="1"/>
          <w:iCs w:val="1"/>
          <w:color w:val="333333"/>
        </w:rPr>
        <w:t xml:space="preserve"> </w:t>
      </w:r>
      <w:r>
        <w:rPr>
          <w:rFonts w:ascii="Arial" w:cs="Arial" w:eastAsia="Arial" w:hAnsi="Arial"/>
          <w:sz w:val="16"/>
          <w:szCs w:val="16"/>
          <w:color w:val="333333"/>
        </w:rPr>
        <w:t>appointed the Company’s Chief Operating Officer (the “Kim Letter”) on April 4, 2022. Mr. Kim has served as the Company’s Chief Financial Officer since November 11, 2024, after previously serving as Interim Chief Financial Officer since September 1, 2024.</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33333"/>
        </w:rPr>
        <w:t>Pursuant to the Kim Letter, Mr. Kim serves the Company on an at-will basis, his annual base salary was $400,000 in 2022 (which was increased to $440,000 effective as of April 1, 2023 and again increased to $500,000 effective as of April 1, 2024 and again increased to $515,000 as of April 1, 2025), and he was eligible to receive an annual bonus with a target level of 55% of his base salary in 2023 (which was increased to 60% effective as of April 1, 2024). In addition, the Company agreed to reimburse Mr. Kim for relocation expenses up to $150,000.</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Pursuant to the Kim Letter, Mr. Kim received nonqualified stock options (the “Kim Option Award”) to purchase 1,617,775 shares of common stock, with an exercise price per share of $3.99. 25% of the shares subject to the Kim Option Award vested on the first anniversary of Mr. Kim’s start date, and the remaining 75% vests in equal monthly installments over the next three years, subject to his continued employment with the Company, other than in the event of his Death/Disability as described below.</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6"/>
          <w:szCs w:val="16"/>
          <w:color w:val="333333"/>
        </w:rPr>
        <w:t>In addition, pursuant to the Kim Letter, Mr. Kim received 280,732 RSUs (the “Kim RSU Award”). 25% of the Kim RSU Award vested on the first anniversary of the vesting commencement date and the remaining 75% vests in equal annual installments over three years, subject to his continued employment with the Company, other than in the event of his Death/Disability as described below.</w:t>
      </w:r>
    </w:p>
    <w:p>
      <w:pPr>
        <w:spacing w:after="0" w:line="117"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333333"/>
        </w:rPr>
        <w:t>If Mr. Kim’s employment is terminated due to his Death/Disability, a number of unvested shares underlying the Kim Option Award and Kim RSU Award (if any) that otherwise would vest during the period between the termination date and the one-year anniversary of the termination date immediately will vest.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333333"/>
        </w:rPr>
        <w:t>Mr. Kim participates in the 2024 Standard BioTools Severance Plan, as discussed below.</w:t>
      </w:r>
    </w:p>
    <w:p>
      <w:pPr>
        <w:spacing w:after="0" w:line="16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i w:val="1"/>
          <w:iCs w:val="1"/>
          <w:color w:val="333333"/>
        </w:rPr>
        <w:t xml:space="preserve">Offer Letter with Mr. Mackay. </w:t>
      </w:r>
      <w:r>
        <w:rPr>
          <w:rFonts w:ascii="Arial" w:cs="Arial" w:eastAsia="Arial" w:hAnsi="Arial"/>
          <w:sz w:val="16"/>
          <w:szCs w:val="16"/>
          <w:color w:val="333333"/>
        </w:rPr>
        <w:t>In May 2024, the Company entered into an agreement with Mr. Mackay pursuant to which he was</w:t>
      </w:r>
      <w:r>
        <w:rPr>
          <w:rFonts w:ascii="Arial" w:cs="Arial" w:eastAsia="Arial" w:hAnsi="Arial"/>
          <w:sz w:val="16"/>
          <w:szCs w:val="16"/>
          <w:i w:val="1"/>
          <w:iCs w:val="1"/>
          <w:color w:val="333333"/>
        </w:rPr>
        <w:t xml:space="preserve"> </w:t>
      </w:r>
      <w:r>
        <w:rPr>
          <w:rFonts w:ascii="Arial" w:cs="Arial" w:eastAsia="Arial" w:hAnsi="Arial"/>
          <w:sz w:val="16"/>
          <w:szCs w:val="16"/>
          <w:color w:val="333333"/>
        </w:rPr>
        <w:t>appointed Chief Business Officer of the Company (the “Mackay Letter”) on May 20, 2024.</w:t>
      </w:r>
    </w:p>
    <w:p>
      <w:pPr>
        <w:spacing w:after="0" w:line="10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333333"/>
        </w:rPr>
        <w:t>Pursuant to the Mackay Letter, Mr. Mackay serves as the Company’s Chief Commercial Officer on an at-will basis, his 2024 annual base salary was $475,000 (which was increased to $489,250 effective as of April 1, 2025) and he is eligible to receive an annual bonus with a target level of 60% of his base salary.</w:t>
      </w:r>
    </w:p>
    <w:p>
      <w:pPr>
        <w:spacing w:after="0" w:line="117" w:lineRule="exact"/>
        <w:rPr>
          <w:sz w:val="20"/>
          <w:szCs w:val="20"/>
          <w:color w:val="auto"/>
        </w:rPr>
      </w:pPr>
    </w:p>
    <w:p>
      <w:pPr>
        <w:ind w:right="480"/>
        <w:spacing w:after="0" w:line="256" w:lineRule="auto"/>
        <w:rPr>
          <w:sz w:val="20"/>
          <w:szCs w:val="20"/>
          <w:color w:val="auto"/>
        </w:rPr>
      </w:pPr>
      <w:r>
        <w:rPr>
          <w:rFonts w:ascii="Arial" w:cs="Arial" w:eastAsia="Arial" w:hAnsi="Arial"/>
          <w:sz w:val="16"/>
          <w:szCs w:val="16"/>
          <w:color w:val="333333"/>
        </w:rPr>
        <w:t>Pursuant to the Mackay Letter, Mr. Mackay received nonqualified stock options (the “Mackay Option Award”) to purchase 600,000 shares of common stock, with an exercise price per share of $3.99. 25% of the shares subject to the Mackay Option Award vested on the first anniversary of the vesting commencement date, and the remaining 75% vests in equal monthly installments over the next three years, subject to his continued employment with the Company, other than in the event of his Death/Disability as described below.</w:t>
      </w:r>
    </w:p>
    <w:p>
      <w:pPr>
        <w:spacing w:after="0" w:line="12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333333"/>
        </w:rPr>
        <w:t>Pursuant to the Mackay Letter, Mr. Mackay received 600,000 RSUs (the “Mackay RSU Award”). 25% of the shares subject to the Mackay RSU Award vest on the first anniversary of the vesting commencement date, and the remaining 75% vests every three months over the next three years, subject to his continued employment with the Company, other than in the event of his Death/Disability.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3"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333333"/>
        </w:rPr>
        <w:t>If Mr. Mackay’s employment is terminated due to his Death/Disability, a number of unvested shares underlying the Mackay RSU Award (if any) that otherwise would vest during the period between the termination date and the one-year anniversary of the termination date immediately will vest.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333333"/>
        </w:rPr>
        <w:t>Mr. Mackay participates in the 2024 Standard BioTools Severance Plan, as discussed below.</w:t>
      </w:r>
    </w:p>
    <w:p>
      <w:pPr>
        <w:spacing w:after="0" w:line="16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i w:val="1"/>
          <w:iCs w:val="1"/>
          <w:color w:val="333333"/>
        </w:rPr>
        <w:t xml:space="preserve">Offer Letter with Mr. Black. </w:t>
      </w:r>
      <w:r>
        <w:rPr>
          <w:rFonts w:ascii="Arial" w:cs="Arial" w:eastAsia="Arial" w:hAnsi="Arial"/>
          <w:sz w:val="16"/>
          <w:szCs w:val="16"/>
          <w:color w:val="333333"/>
        </w:rPr>
        <w:t>In May 2023, the Company entered into an agreement with Mr. Black pursuant to which he was</w:t>
      </w:r>
      <w:r>
        <w:rPr>
          <w:rFonts w:ascii="Arial" w:cs="Arial" w:eastAsia="Arial" w:hAnsi="Arial"/>
          <w:sz w:val="16"/>
          <w:szCs w:val="16"/>
          <w:i w:val="1"/>
          <w:iCs w:val="1"/>
          <w:color w:val="333333"/>
        </w:rPr>
        <w:t xml:space="preserve"> </w:t>
      </w:r>
      <w:r>
        <w:rPr>
          <w:rFonts w:ascii="Arial" w:cs="Arial" w:eastAsia="Arial" w:hAnsi="Arial"/>
          <w:sz w:val="16"/>
          <w:szCs w:val="16"/>
          <w:color w:val="333333"/>
        </w:rPr>
        <w:t>appointed as the Company’s Chief Financial Officer (the “Black Letter”) on May 15, 2023.</w:t>
      </w:r>
    </w:p>
    <w:p>
      <w:pPr>
        <w:spacing w:after="0" w:line="102" w:lineRule="exact"/>
        <w:rPr>
          <w:sz w:val="20"/>
          <w:szCs w:val="20"/>
          <w:color w:val="auto"/>
        </w:rPr>
      </w:pPr>
    </w:p>
    <w:p>
      <w:pPr>
        <w:spacing w:after="0" w:line="266" w:lineRule="auto"/>
        <w:rPr>
          <w:sz w:val="20"/>
          <w:szCs w:val="20"/>
          <w:color w:val="auto"/>
        </w:rPr>
      </w:pPr>
      <w:r>
        <w:rPr>
          <w:rFonts w:ascii="Arial" w:cs="Arial" w:eastAsia="Arial" w:hAnsi="Arial"/>
          <w:sz w:val="16"/>
          <w:szCs w:val="16"/>
          <w:color w:val="333333"/>
        </w:rPr>
        <w:t>Pursuant to the Black Letter, Mr. Black served as our Chief Financial Officer on an at-will basis, his annual base salary in 2023 was $415,000 (which was increased to $450,000 effective as of April 1, 2024), and he was eligible to receive an annual bonus with a target level of 55% of his base salary in 2023 (which was increased to 60% effective as of April 1, 2024).</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333333"/>
        </w:rPr>
        <w:t>Pursuant to the Black Letter, Mr. Black received nonqualified stock options (the “Black Option Award”) to purchase 400,000 shares of common stock, with an exercise price per share of $1.90. 25% of the shares subject to the Black Option Award vested on the first anniversary of the vesting commencement date, and the remaining 75% vested in equal monthly installments thereafter until vesting terminated in August 2024 in connection with Mr. Black’s resignation.</w:t>
      </w:r>
    </w:p>
    <w:p>
      <w:pPr>
        <w:spacing w:after="0" w:line="12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333333"/>
        </w:rPr>
        <w:t>In addition, pursuant to the Black Letter, Mr. Black received 210,526 RSUs (the “Black RSU Award”). 25% of the shares subject to the Black RSU Award vested on the first anniversary of the vesting commencement date, and the remaining 75% vested in equal installments every three months thereafter until vesting terminated in August 2024 in connection with Mr. Black’s resignation.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333333"/>
        </w:rPr>
        <w:t>Mr. Black’s employment ended effective as of August 31, 2024.</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Cash Incentive Program</w:t>
      </w:r>
    </w:p>
    <w:p>
      <w:pPr>
        <w:spacing w:after="0" w:line="2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333333"/>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performance—generally as measured by revenue and cash goals established in our annual operating plan. We believe the program supports our “pay-for-performance” culture.</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333333"/>
        </w:rPr>
        <w:t>In early 2024, our Human Capital Committee, in conjunction with our compensation consultant, Pearl Meyer, reviewed our annual cash incentive program to ensure its focus on the Company’s strategic imperatives and alignment with stockholder interests. The Human Capital Committee structured the 2024 Cash Incentive Program with the financial objectives of incentivizing revenue growth and annualized cost synergies.</w:t>
      </w:r>
    </w:p>
    <w:p>
      <w:pPr>
        <w:spacing w:after="0" w:line="12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333333"/>
        </w:rPr>
        <w:t>Target incentive opportunities for the executive officers are reviewed annually to ensure they are competitive as compared to our peer group and are based on annual base salary. The 2024 base salary, target cash incentive percentage, and target cash incentive amount under our 2024 Cash Incentive Program for each NEO are set forth in the CD&amp;A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77" w:lineRule="exact"/>
        <w:rPr>
          <w:sz w:val="20"/>
          <w:szCs w:val="20"/>
          <w:color w:val="auto"/>
        </w:rPr>
      </w:pPr>
    </w:p>
    <w:p>
      <w:pPr>
        <w:jc w:val="center"/>
        <w:ind w:right="6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Policies and Procedures Related to the Grant of Certain Equity Awards</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333333"/>
        </w:rPr>
        <w:t>Historically, our Human Capital Committee has granted equity awards to new executive officers upon commencement of their employment and has considered providing additional grants to existing executive officers annually based on our overall individual and corporate performance. These options and RSUs generally vest based on continued service over four years, which is designed to ensure increased retention of our executive officers.</w:t>
      </w:r>
    </w:p>
    <w:p>
      <w:pPr>
        <w:spacing w:after="0" w:line="124" w:lineRule="exact"/>
        <w:rPr>
          <w:sz w:val="20"/>
          <w:szCs w:val="20"/>
          <w:color w:val="auto"/>
        </w:rPr>
      </w:pPr>
    </w:p>
    <w:p>
      <w:pPr>
        <w:spacing w:after="0" w:line="250" w:lineRule="auto"/>
        <w:rPr>
          <w:sz w:val="20"/>
          <w:szCs w:val="20"/>
          <w:color w:val="auto"/>
        </w:rPr>
      </w:pPr>
      <w:r>
        <w:rPr>
          <w:rFonts w:ascii="Arial" w:cs="Arial" w:eastAsia="Arial" w:hAnsi="Arial"/>
          <w:sz w:val="16"/>
          <w:szCs w:val="16"/>
          <w:color w:val="333333"/>
        </w:rPr>
        <w:t>Our equity awards, including stock options, are granted in connection with our yearly compensation cycle and regularly scheduled meetings of the compensation committee. Historically, our practice was to make annual award grants in the third quarter of each fiscal year. Beginning in 2025, we adjusted our practice to make annual award grants in the first quarter of each fiscal year. Our policy is to not grant stock options or similar awards in anticipation of the release of material non-public information and to not time the release of material non-public information based on equity award grant date, but some option grants may be granted close in time to the release of material non-public information to the extent those options are being granted upon hiring of new executive officers or in connection with annual grants being made as part of our director compensation policy. Additionally, from time to time, we may make certain award grants to new employees and existing employees related to retention and recognition. During the year ended December 31, 2024, we did not time the disclosure of material non-public information for the purpose of affecting the value of executive compensation, and none of our NEOs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59664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90" w:lineRule="exact"/>
        <w:rPr>
          <w:sz w:val="20"/>
          <w:szCs w:val="20"/>
          <w:color w:val="auto"/>
        </w:rPr>
      </w:pPr>
    </w:p>
    <w:p>
      <w:pPr>
        <w:jc w:val="center"/>
        <w:ind w:right="6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Outstanding Equity Awards at Fiscal Year-End for 2024</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333333"/>
        </w:rPr>
        <w:t>The following table presents information concerning unexercised options and unvested stock awards outstanding as of</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333333"/>
        </w:rPr>
        <w:t>December 31, 2024 for each NEO. Vesting in all instances is subject to the NEO’s continued service through the applicable vesting date, except in the event of the Death/Disability of Dr. Egholm, Mr. Kim or Mr. Mackay, as described herein. Mr. Black’s employment ended effective as of August 31, 2024 and his outstanding equity awards expired prior to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36195</wp:posOffset>
            </wp:positionV>
            <wp:extent cx="8890" cy="265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26543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1880" w:type="dxa"/>
            <w:vAlign w:val="bottom"/>
            <w:tcBorders>
              <w:right w:val="single" w:sz="8" w:color="666666"/>
            </w:tcBorders>
          </w:tcPr>
          <w:p>
            <w:pPr>
              <w:spacing w:after="0"/>
              <w:rPr>
                <w:sz w:val="24"/>
                <w:szCs w:val="24"/>
                <w:color w:val="auto"/>
              </w:rPr>
            </w:pPr>
          </w:p>
        </w:tc>
        <w:tc>
          <w:tcPr>
            <w:tcW w:w="1200" w:type="dxa"/>
            <w:vAlign w:val="bottom"/>
            <w:shd w:val="clear" w:color="auto" w:fill="9492B1"/>
          </w:tcPr>
          <w:p>
            <w:pPr>
              <w:jc w:val="right"/>
              <w:ind w:right="128"/>
              <w:spacing w:after="0"/>
              <w:rPr>
                <w:sz w:val="20"/>
                <w:szCs w:val="20"/>
                <w:color w:val="auto"/>
              </w:rPr>
            </w:pPr>
            <w:r>
              <w:rPr>
                <w:rFonts w:ascii="Arial" w:cs="Arial" w:eastAsia="Arial" w:hAnsi="Arial"/>
                <w:sz w:val="14"/>
                <w:szCs w:val="14"/>
                <w:color w:val="FFFFFF"/>
              </w:rPr>
              <w:t>Stock Options</w:t>
            </w:r>
          </w:p>
        </w:tc>
        <w:tc>
          <w:tcPr>
            <w:tcW w:w="1260" w:type="dxa"/>
            <w:vAlign w:val="bottom"/>
            <w:shd w:val="clear" w:color="auto" w:fill="9492B1"/>
          </w:tcPr>
          <w:p>
            <w:pPr>
              <w:spacing w:after="0"/>
              <w:rPr>
                <w:sz w:val="24"/>
                <w:szCs w:val="24"/>
                <w:color w:val="auto"/>
              </w:rPr>
            </w:pPr>
          </w:p>
        </w:tc>
        <w:tc>
          <w:tcPr>
            <w:tcW w:w="1080" w:type="dxa"/>
            <w:vAlign w:val="bottom"/>
            <w:shd w:val="clear" w:color="auto" w:fill="9492B1"/>
          </w:tcPr>
          <w:p>
            <w:pPr>
              <w:spacing w:after="0"/>
              <w:rPr>
                <w:sz w:val="24"/>
                <w:szCs w:val="24"/>
                <w:color w:val="auto"/>
              </w:rPr>
            </w:pPr>
          </w:p>
        </w:tc>
        <w:tc>
          <w:tcPr>
            <w:tcW w:w="1840" w:type="dxa"/>
            <w:vAlign w:val="bottom"/>
            <w:gridSpan w:val="2"/>
            <w:shd w:val="clear" w:color="auto" w:fill="9492B1"/>
          </w:tcPr>
          <w:p>
            <w:pPr>
              <w:jc w:val="right"/>
              <w:ind w:right="528"/>
              <w:spacing w:after="0"/>
              <w:rPr>
                <w:sz w:val="20"/>
                <w:szCs w:val="20"/>
                <w:color w:val="auto"/>
              </w:rPr>
            </w:pPr>
            <w:r>
              <w:rPr>
                <w:rFonts w:ascii="Arial" w:cs="Arial" w:eastAsia="Arial" w:hAnsi="Arial"/>
                <w:sz w:val="14"/>
                <w:szCs w:val="14"/>
                <w:color w:val="FFFFFF"/>
              </w:rPr>
              <w:t>Stock Awards</w:t>
            </w:r>
          </w:p>
        </w:tc>
        <w:tc>
          <w:tcPr>
            <w:tcW w:w="1080" w:type="dxa"/>
            <w:vAlign w:val="bottom"/>
            <w:shd w:val="clear" w:color="auto" w:fill="9492B1"/>
          </w:tcPr>
          <w:p>
            <w:pPr>
              <w:spacing w:after="0"/>
              <w:rPr>
                <w:sz w:val="24"/>
                <w:szCs w:val="24"/>
                <w:color w:val="auto"/>
              </w:rPr>
            </w:pPr>
          </w:p>
        </w:tc>
        <w:tc>
          <w:tcPr>
            <w:tcW w:w="260" w:type="dxa"/>
            <w:vAlign w:val="bottom"/>
            <w:shd w:val="clear" w:color="auto" w:fill="9492B1"/>
          </w:tcPr>
          <w:p>
            <w:pPr>
              <w:spacing w:after="0"/>
              <w:rPr>
                <w:sz w:val="24"/>
                <w:szCs w:val="24"/>
                <w:color w:val="auto"/>
              </w:rPr>
            </w:pPr>
          </w:p>
        </w:tc>
        <w:tc>
          <w:tcPr>
            <w:tcW w:w="800" w:type="dxa"/>
            <w:vAlign w:val="bottom"/>
            <w:shd w:val="clear" w:color="auto" w:fill="9492B1"/>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880" w:type="dxa"/>
            <w:vAlign w:val="bottom"/>
            <w:tcBorders>
              <w:right w:val="single" w:sz="8" w:color="666666"/>
            </w:tcBorders>
          </w:tcPr>
          <w:p>
            <w:pPr>
              <w:spacing w:after="0"/>
              <w:rPr>
                <w:sz w:val="5"/>
                <w:szCs w:val="5"/>
                <w:color w:val="auto"/>
              </w:rPr>
            </w:pPr>
          </w:p>
        </w:tc>
        <w:tc>
          <w:tcPr>
            <w:tcW w:w="1200" w:type="dxa"/>
            <w:vAlign w:val="bottom"/>
            <w:shd w:val="clear" w:color="auto" w:fill="9492B1"/>
          </w:tcPr>
          <w:p>
            <w:pPr>
              <w:spacing w:after="0"/>
              <w:rPr>
                <w:sz w:val="5"/>
                <w:szCs w:val="5"/>
                <w:color w:val="auto"/>
              </w:rPr>
            </w:pPr>
          </w:p>
        </w:tc>
        <w:tc>
          <w:tcPr>
            <w:tcW w:w="1260" w:type="dxa"/>
            <w:vAlign w:val="bottom"/>
            <w:shd w:val="clear" w:color="auto" w:fill="9492B1"/>
          </w:tcPr>
          <w:p>
            <w:pPr>
              <w:spacing w:after="0"/>
              <w:rPr>
                <w:sz w:val="5"/>
                <w:szCs w:val="5"/>
                <w:color w:val="auto"/>
              </w:rPr>
            </w:pPr>
          </w:p>
        </w:tc>
        <w:tc>
          <w:tcPr>
            <w:tcW w:w="1080" w:type="dxa"/>
            <w:vAlign w:val="bottom"/>
            <w:shd w:val="clear" w:color="auto" w:fill="9492B1"/>
          </w:tcPr>
          <w:p>
            <w:pPr>
              <w:spacing w:after="0"/>
              <w:rPr>
                <w:sz w:val="5"/>
                <w:szCs w:val="5"/>
                <w:color w:val="auto"/>
              </w:rPr>
            </w:pPr>
          </w:p>
        </w:tc>
        <w:tc>
          <w:tcPr>
            <w:tcW w:w="800" w:type="dxa"/>
            <w:vAlign w:val="bottom"/>
            <w:shd w:val="clear" w:color="auto" w:fill="9492B1"/>
          </w:tcPr>
          <w:p>
            <w:pPr>
              <w:spacing w:after="0"/>
              <w:rPr>
                <w:sz w:val="5"/>
                <w:szCs w:val="5"/>
                <w:color w:val="auto"/>
              </w:rPr>
            </w:pPr>
          </w:p>
        </w:tc>
        <w:tc>
          <w:tcPr>
            <w:tcW w:w="1040" w:type="dxa"/>
            <w:vAlign w:val="bottom"/>
            <w:shd w:val="clear" w:color="auto" w:fill="9492B1"/>
          </w:tcPr>
          <w:p>
            <w:pPr>
              <w:spacing w:after="0"/>
              <w:rPr>
                <w:sz w:val="5"/>
                <w:szCs w:val="5"/>
                <w:color w:val="auto"/>
              </w:rPr>
            </w:pPr>
          </w:p>
        </w:tc>
        <w:tc>
          <w:tcPr>
            <w:tcW w:w="1080" w:type="dxa"/>
            <w:vAlign w:val="bottom"/>
            <w:shd w:val="clear" w:color="auto" w:fill="9492B1"/>
          </w:tcPr>
          <w:p>
            <w:pPr>
              <w:spacing w:after="0"/>
              <w:rPr>
                <w:sz w:val="5"/>
                <w:szCs w:val="5"/>
                <w:color w:val="auto"/>
              </w:rPr>
            </w:pPr>
          </w:p>
        </w:tc>
        <w:tc>
          <w:tcPr>
            <w:tcW w:w="260" w:type="dxa"/>
            <w:vAlign w:val="bottom"/>
            <w:shd w:val="clear" w:color="auto" w:fill="9492B1"/>
          </w:tcPr>
          <w:p>
            <w:pPr>
              <w:spacing w:after="0"/>
              <w:rPr>
                <w:sz w:val="5"/>
                <w:szCs w:val="5"/>
                <w:color w:val="auto"/>
              </w:rPr>
            </w:pPr>
          </w:p>
        </w:tc>
        <w:tc>
          <w:tcPr>
            <w:tcW w:w="800" w:type="dxa"/>
            <w:vAlign w:val="bottom"/>
            <w:shd w:val="clear" w:color="auto" w:fill="9492B1"/>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880" w:type="dxa"/>
            <w:vAlign w:val="bottom"/>
            <w:tcBorders>
              <w:right w:val="single" w:sz="8" w:color="24356E"/>
            </w:tcBorders>
            <w:shd w:val="clear" w:color="auto" w:fill="24356E"/>
          </w:tcPr>
          <w:p>
            <w:pPr>
              <w:spacing w:after="0"/>
              <w:rPr>
                <w:sz w:val="19"/>
                <w:szCs w:val="19"/>
                <w:color w:val="auto"/>
              </w:rPr>
            </w:pPr>
          </w:p>
        </w:tc>
        <w:tc>
          <w:tcPr>
            <w:tcW w:w="1200" w:type="dxa"/>
            <w:vAlign w:val="bottom"/>
            <w:shd w:val="clear" w:color="auto" w:fill="24356E"/>
          </w:tcPr>
          <w:p>
            <w:pPr>
              <w:spacing w:after="0"/>
              <w:rPr>
                <w:sz w:val="19"/>
                <w:szCs w:val="19"/>
                <w:color w:val="auto"/>
              </w:rPr>
            </w:pPr>
          </w:p>
        </w:tc>
        <w:tc>
          <w:tcPr>
            <w:tcW w:w="1260" w:type="dxa"/>
            <w:vAlign w:val="bottom"/>
            <w:shd w:val="clear" w:color="auto" w:fill="24356E"/>
          </w:tcPr>
          <w:p>
            <w:pPr>
              <w:spacing w:after="0"/>
              <w:rPr>
                <w:sz w:val="19"/>
                <w:szCs w:val="19"/>
                <w:color w:val="auto"/>
              </w:rPr>
            </w:pPr>
          </w:p>
        </w:tc>
        <w:tc>
          <w:tcPr>
            <w:tcW w:w="108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Equity</w:t>
            </w:r>
          </w:p>
        </w:tc>
        <w:tc>
          <w:tcPr>
            <w:tcW w:w="800" w:type="dxa"/>
            <w:vAlign w:val="bottom"/>
            <w:shd w:val="clear" w:color="auto" w:fill="24356E"/>
          </w:tcPr>
          <w:p>
            <w:pPr>
              <w:spacing w:after="0"/>
              <w:rPr>
                <w:sz w:val="19"/>
                <w:szCs w:val="19"/>
                <w:color w:val="auto"/>
              </w:rPr>
            </w:pPr>
          </w:p>
        </w:tc>
        <w:tc>
          <w:tcPr>
            <w:tcW w:w="1040" w:type="dxa"/>
            <w:vAlign w:val="bottom"/>
            <w:shd w:val="clear" w:color="auto" w:fill="24356E"/>
          </w:tcPr>
          <w:p>
            <w:pPr>
              <w:spacing w:after="0"/>
              <w:rPr>
                <w:sz w:val="19"/>
                <w:szCs w:val="19"/>
                <w:color w:val="auto"/>
              </w:rPr>
            </w:pPr>
          </w:p>
        </w:tc>
        <w:tc>
          <w:tcPr>
            <w:tcW w:w="1080" w:type="dxa"/>
            <w:vAlign w:val="bottom"/>
            <w:shd w:val="clear" w:color="auto" w:fill="24356E"/>
          </w:tcPr>
          <w:p>
            <w:pPr>
              <w:spacing w:after="0"/>
              <w:rPr>
                <w:sz w:val="19"/>
                <w:szCs w:val="19"/>
                <w:color w:val="auto"/>
              </w:rPr>
            </w:pPr>
          </w:p>
        </w:tc>
        <w:tc>
          <w:tcPr>
            <w:tcW w:w="260" w:type="dxa"/>
            <w:vAlign w:val="bottom"/>
            <w:shd w:val="clear" w:color="auto" w:fill="24356E"/>
          </w:tcPr>
          <w:p>
            <w:pPr>
              <w:spacing w:after="0"/>
              <w:rPr>
                <w:sz w:val="19"/>
                <w:szCs w:val="19"/>
                <w:color w:val="auto"/>
              </w:rPr>
            </w:pPr>
          </w:p>
        </w:tc>
        <w:tc>
          <w:tcPr>
            <w:tcW w:w="800" w:type="dxa"/>
            <w:vAlign w:val="bottom"/>
            <w:shd w:val="clear" w:color="auto" w:fill="24356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right w:val="single" w:sz="8" w:color="24356E"/>
            </w:tcBorders>
            <w:shd w:val="clear" w:color="auto" w:fill="24356E"/>
          </w:tcPr>
          <w:p>
            <w:pPr>
              <w:spacing w:after="0"/>
              <w:rPr>
                <w:sz w:val="14"/>
                <w:szCs w:val="14"/>
                <w:color w:val="auto"/>
              </w:rPr>
            </w:pPr>
          </w:p>
        </w:tc>
        <w:tc>
          <w:tcPr>
            <w:tcW w:w="1200" w:type="dxa"/>
            <w:vAlign w:val="bottom"/>
            <w:shd w:val="clear" w:color="auto" w:fill="24356E"/>
          </w:tcPr>
          <w:p>
            <w:pPr>
              <w:spacing w:after="0"/>
              <w:rPr>
                <w:sz w:val="14"/>
                <w:szCs w:val="14"/>
                <w:color w:val="auto"/>
              </w:rPr>
            </w:pPr>
          </w:p>
        </w:tc>
        <w:tc>
          <w:tcPr>
            <w:tcW w:w="1260" w:type="dxa"/>
            <w:vAlign w:val="bottom"/>
            <w:shd w:val="clear" w:color="auto" w:fill="24356E"/>
          </w:tcPr>
          <w:p>
            <w:pPr>
              <w:spacing w:after="0"/>
              <w:rPr>
                <w:sz w:val="14"/>
                <w:szCs w:val="14"/>
                <w:color w:val="auto"/>
              </w:rPr>
            </w:pPr>
          </w:p>
        </w:tc>
        <w:tc>
          <w:tcPr>
            <w:tcW w:w="108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Incentive</w:t>
            </w:r>
          </w:p>
        </w:tc>
        <w:tc>
          <w:tcPr>
            <w:tcW w:w="800" w:type="dxa"/>
            <w:vAlign w:val="bottom"/>
            <w:shd w:val="clear" w:color="auto" w:fill="24356E"/>
          </w:tcPr>
          <w:p>
            <w:pPr>
              <w:spacing w:after="0"/>
              <w:rPr>
                <w:sz w:val="14"/>
                <w:szCs w:val="14"/>
                <w:color w:val="auto"/>
              </w:rPr>
            </w:pPr>
          </w:p>
        </w:tc>
        <w:tc>
          <w:tcPr>
            <w:tcW w:w="1040" w:type="dxa"/>
            <w:vAlign w:val="bottom"/>
            <w:shd w:val="clear" w:color="auto" w:fill="24356E"/>
          </w:tcPr>
          <w:p>
            <w:pPr>
              <w:spacing w:after="0"/>
              <w:rPr>
                <w:sz w:val="14"/>
                <w:szCs w:val="14"/>
                <w:color w:val="auto"/>
              </w:rPr>
            </w:pPr>
          </w:p>
        </w:tc>
        <w:tc>
          <w:tcPr>
            <w:tcW w:w="1080" w:type="dxa"/>
            <w:vAlign w:val="bottom"/>
            <w:shd w:val="clear" w:color="auto" w:fill="24356E"/>
          </w:tcPr>
          <w:p>
            <w:pPr>
              <w:spacing w:after="0"/>
              <w:rPr>
                <w:sz w:val="14"/>
                <w:szCs w:val="14"/>
                <w:color w:val="auto"/>
              </w:rPr>
            </w:pPr>
          </w:p>
        </w:tc>
        <w:tc>
          <w:tcPr>
            <w:tcW w:w="260" w:type="dxa"/>
            <w:vAlign w:val="bottom"/>
            <w:shd w:val="clear" w:color="auto" w:fill="24356E"/>
          </w:tcPr>
          <w:p>
            <w:pPr>
              <w:spacing w:after="0"/>
              <w:rPr>
                <w:sz w:val="14"/>
                <w:szCs w:val="14"/>
                <w:color w:val="auto"/>
              </w:rPr>
            </w:pPr>
          </w:p>
        </w:tc>
        <w:tc>
          <w:tcPr>
            <w:tcW w:w="800" w:type="dxa"/>
            <w:vAlign w:val="bottom"/>
            <w:shd w:val="clear" w:color="auto" w:fill="24356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Borders>
              <w:right w:val="single" w:sz="8" w:color="24356E"/>
            </w:tcBorders>
            <w:shd w:val="clear" w:color="auto" w:fill="24356E"/>
          </w:tcPr>
          <w:p>
            <w:pPr>
              <w:spacing w:after="0"/>
              <w:rPr>
                <w:sz w:val="14"/>
                <w:szCs w:val="14"/>
                <w:color w:val="auto"/>
              </w:rPr>
            </w:pPr>
          </w:p>
        </w:tc>
        <w:tc>
          <w:tcPr>
            <w:tcW w:w="1200" w:type="dxa"/>
            <w:vAlign w:val="bottom"/>
            <w:shd w:val="clear" w:color="auto" w:fill="24356E"/>
          </w:tcPr>
          <w:p>
            <w:pPr>
              <w:spacing w:after="0"/>
              <w:rPr>
                <w:sz w:val="14"/>
                <w:szCs w:val="14"/>
                <w:color w:val="auto"/>
              </w:rPr>
            </w:pPr>
          </w:p>
        </w:tc>
        <w:tc>
          <w:tcPr>
            <w:tcW w:w="1260" w:type="dxa"/>
            <w:vAlign w:val="bottom"/>
            <w:shd w:val="clear" w:color="auto" w:fill="24356E"/>
          </w:tcPr>
          <w:p>
            <w:pPr>
              <w:spacing w:after="0"/>
              <w:rPr>
                <w:sz w:val="14"/>
                <w:szCs w:val="14"/>
                <w:color w:val="auto"/>
              </w:rPr>
            </w:pPr>
          </w:p>
        </w:tc>
        <w:tc>
          <w:tcPr>
            <w:tcW w:w="108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Plan</w:t>
            </w:r>
          </w:p>
        </w:tc>
        <w:tc>
          <w:tcPr>
            <w:tcW w:w="800" w:type="dxa"/>
            <w:vAlign w:val="bottom"/>
            <w:shd w:val="clear" w:color="auto" w:fill="24356E"/>
          </w:tcPr>
          <w:p>
            <w:pPr>
              <w:spacing w:after="0"/>
              <w:rPr>
                <w:sz w:val="14"/>
                <w:szCs w:val="14"/>
                <w:color w:val="auto"/>
              </w:rPr>
            </w:pPr>
          </w:p>
        </w:tc>
        <w:tc>
          <w:tcPr>
            <w:tcW w:w="1040" w:type="dxa"/>
            <w:vAlign w:val="bottom"/>
            <w:shd w:val="clear" w:color="auto" w:fill="24356E"/>
          </w:tcPr>
          <w:p>
            <w:pPr>
              <w:spacing w:after="0"/>
              <w:rPr>
                <w:sz w:val="14"/>
                <w:szCs w:val="14"/>
                <w:color w:val="auto"/>
              </w:rPr>
            </w:pPr>
          </w:p>
        </w:tc>
        <w:tc>
          <w:tcPr>
            <w:tcW w:w="1080" w:type="dxa"/>
            <w:vAlign w:val="bottom"/>
            <w:shd w:val="clear" w:color="auto" w:fill="24356E"/>
          </w:tcPr>
          <w:p>
            <w:pPr>
              <w:spacing w:after="0"/>
              <w:rPr>
                <w:sz w:val="14"/>
                <w:szCs w:val="14"/>
                <w:color w:val="auto"/>
              </w:rPr>
            </w:pPr>
          </w:p>
        </w:tc>
        <w:tc>
          <w:tcPr>
            <w:tcW w:w="260" w:type="dxa"/>
            <w:vAlign w:val="bottom"/>
            <w:shd w:val="clear" w:color="auto" w:fill="24356E"/>
          </w:tcPr>
          <w:p>
            <w:pPr>
              <w:spacing w:after="0"/>
              <w:rPr>
                <w:sz w:val="14"/>
                <w:szCs w:val="14"/>
                <w:color w:val="auto"/>
              </w:rPr>
            </w:pPr>
          </w:p>
        </w:tc>
        <w:tc>
          <w:tcPr>
            <w:tcW w:w="800" w:type="dxa"/>
            <w:vAlign w:val="bottom"/>
            <w:shd w:val="clear" w:color="auto" w:fill="24356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Borders>
              <w:right w:val="single" w:sz="8" w:color="24356E"/>
            </w:tcBorders>
            <w:shd w:val="clear" w:color="auto" w:fill="24356E"/>
          </w:tcPr>
          <w:p>
            <w:pPr>
              <w:spacing w:after="0"/>
              <w:rPr>
                <w:sz w:val="14"/>
                <w:szCs w:val="14"/>
                <w:color w:val="auto"/>
              </w:rPr>
            </w:pPr>
          </w:p>
        </w:tc>
        <w:tc>
          <w:tcPr>
            <w:tcW w:w="1200" w:type="dxa"/>
            <w:vAlign w:val="bottom"/>
            <w:shd w:val="clear" w:color="auto" w:fill="24356E"/>
          </w:tcPr>
          <w:p>
            <w:pPr>
              <w:spacing w:after="0"/>
              <w:rPr>
                <w:sz w:val="14"/>
                <w:szCs w:val="14"/>
                <w:color w:val="auto"/>
              </w:rPr>
            </w:pPr>
          </w:p>
        </w:tc>
        <w:tc>
          <w:tcPr>
            <w:tcW w:w="1260" w:type="dxa"/>
            <w:vAlign w:val="bottom"/>
            <w:shd w:val="clear" w:color="auto" w:fill="24356E"/>
          </w:tcPr>
          <w:p>
            <w:pPr>
              <w:spacing w:after="0"/>
              <w:rPr>
                <w:sz w:val="14"/>
                <w:szCs w:val="14"/>
                <w:color w:val="auto"/>
              </w:rPr>
            </w:pPr>
          </w:p>
        </w:tc>
        <w:tc>
          <w:tcPr>
            <w:tcW w:w="108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Awards:</w:t>
            </w:r>
          </w:p>
        </w:tc>
        <w:tc>
          <w:tcPr>
            <w:tcW w:w="800" w:type="dxa"/>
            <w:vAlign w:val="bottom"/>
            <w:shd w:val="clear" w:color="auto" w:fill="24356E"/>
          </w:tcPr>
          <w:p>
            <w:pPr>
              <w:spacing w:after="0"/>
              <w:rPr>
                <w:sz w:val="14"/>
                <w:szCs w:val="14"/>
                <w:color w:val="auto"/>
              </w:rPr>
            </w:pPr>
          </w:p>
        </w:tc>
        <w:tc>
          <w:tcPr>
            <w:tcW w:w="1040" w:type="dxa"/>
            <w:vAlign w:val="bottom"/>
            <w:shd w:val="clear" w:color="auto" w:fill="24356E"/>
          </w:tcPr>
          <w:p>
            <w:pPr>
              <w:spacing w:after="0"/>
              <w:rPr>
                <w:sz w:val="14"/>
                <w:szCs w:val="14"/>
                <w:color w:val="auto"/>
              </w:rPr>
            </w:pPr>
          </w:p>
        </w:tc>
        <w:tc>
          <w:tcPr>
            <w:tcW w:w="1080" w:type="dxa"/>
            <w:vAlign w:val="bottom"/>
            <w:shd w:val="clear" w:color="auto" w:fill="24356E"/>
          </w:tcPr>
          <w:p>
            <w:pPr>
              <w:spacing w:after="0"/>
              <w:rPr>
                <w:sz w:val="14"/>
                <w:szCs w:val="14"/>
                <w:color w:val="auto"/>
              </w:rPr>
            </w:pPr>
          </w:p>
        </w:tc>
        <w:tc>
          <w:tcPr>
            <w:tcW w:w="260" w:type="dxa"/>
            <w:vAlign w:val="bottom"/>
            <w:shd w:val="clear" w:color="auto" w:fill="24356E"/>
          </w:tcPr>
          <w:p>
            <w:pPr>
              <w:spacing w:after="0"/>
              <w:rPr>
                <w:sz w:val="14"/>
                <w:szCs w:val="14"/>
                <w:color w:val="auto"/>
              </w:rPr>
            </w:pPr>
          </w:p>
        </w:tc>
        <w:tc>
          <w:tcPr>
            <w:tcW w:w="800" w:type="dxa"/>
            <w:vAlign w:val="bottom"/>
            <w:shd w:val="clear" w:color="auto" w:fill="24356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Borders>
              <w:right w:val="single" w:sz="8" w:color="24356E"/>
            </w:tcBorders>
            <w:shd w:val="clear" w:color="auto" w:fill="24356E"/>
          </w:tcPr>
          <w:p>
            <w:pPr>
              <w:spacing w:after="0"/>
              <w:rPr>
                <w:sz w:val="14"/>
                <w:szCs w:val="14"/>
                <w:color w:val="auto"/>
              </w:rPr>
            </w:pPr>
          </w:p>
        </w:tc>
        <w:tc>
          <w:tcPr>
            <w:tcW w:w="1200" w:type="dxa"/>
            <w:vAlign w:val="bottom"/>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Number of</w:t>
            </w:r>
          </w:p>
        </w:tc>
        <w:tc>
          <w:tcPr>
            <w:tcW w:w="126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Number of</w:t>
            </w:r>
          </w:p>
        </w:tc>
        <w:tc>
          <w:tcPr>
            <w:tcW w:w="108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24356E"/>
          </w:tcPr>
          <w:p>
            <w:pPr>
              <w:spacing w:after="0"/>
              <w:rPr>
                <w:sz w:val="14"/>
                <w:szCs w:val="14"/>
                <w:color w:val="auto"/>
              </w:rPr>
            </w:pPr>
          </w:p>
        </w:tc>
        <w:tc>
          <w:tcPr>
            <w:tcW w:w="1040" w:type="dxa"/>
            <w:vAlign w:val="bottom"/>
            <w:shd w:val="clear" w:color="auto" w:fill="24356E"/>
          </w:tcPr>
          <w:p>
            <w:pPr>
              <w:spacing w:after="0"/>
              <w:rPr>
                <w:sz w:val="14"/>
                <w:szCs w:val="14"/>
                <w:color w:val="auto"/>
              </w:rPr>
            </w:pPr>
          </w:p>
        </w:tc>
        <w:tc>
          <w:tcPr>
            <w:tcW w:w="1080" w:type="dxa"/>
            <w:vAlign w:val="bottom"/>
            <w:shd w:val="clear" w:color="auto" w:fill="24356E"/>
          </w:tcPr>
          <w:p>
            <w:pPr>
              <w:spacing w:after="0"/>
              <w:rPr>
                <w:sz w:val="14"/>
                <w:szCs w:val="14"/>
                <w:color w:val="auto"/>
              </w:rPr>
            </w:pPr>
          </w:p>
        </w:tc>
        <w:tc>
          <w:tcPr>
            <w:tcW w:w="260" w:type="dxa"/>
            <w:vAlign w:val="bottom"/>
            <w:shd w:val="clear" w:color="auto" w:fill="24356E"/>
          </w:tcPr>
          <w:p>
            <w:pPr>
              <w:spacing w:after="0"/>
              <w:rPr>
                <w:sz w:val="14"/>
                <w:szCs w:val="14"/>
                <w:color w:val="auto"/>
              </w:rPr>
            </w:pPr>
          </w:p>
        </w:tc>
        <w:tc>
          <w:tcPr>
            <w:tcW w:w="800" w:type="dxa"/>
            <w:vAlign w:val="bottom"/>
            <w:vMerge w:val="restart"/>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44"/>
        </w:trPr>
        <w:tc>
          <w:tcPr>
            <w:tcW w:w="1880" w:type="dxa"/>
            <w:vAlign w:val="bottom"/>
            <w:tcBorders>
              <w:right w:val="single" w:sz="8" w:color="24356E"/>
            </w:tcBorders>
            <w:shd w:val="clear" w:color="auto" w:fill="24356E"/>
          </w:tcPr>
          <w:p>
            <w:pPr>
              <w:spacing w:after="0"/>
              <w:rPr>
                <w:sz w:val="12"/>
                <w:szCs w:val="12"/>
                <w:color w:val="auto"/>
              </w:rPr>
            </w:pPr>
          </w:p>
        </w:tc>
        <w:tc>
          <w:tcPr>
            <w:tcW w:w="1200" w:type="dxa"/>
            <w:vAlign w:val="bottom"/>
            <w:shd w:val="clear" w:color="auto" w:fill="24356E"/>
          </w:tcPr>
          <w:p>
            <w:pPr>
              <w:jc w:val="right"/>
              <w:ind w:right="68"/>
              <w:spacing w:after="0" w:line="145" w:lineRule="exact"/>
              <w:rPr>
                <w:sz w:val="20"/>
                <w:szCs w:val="20"/>
                <w:color w:val="auto"/>
              </w:rPr>
            </w:pPr>
            <w:r>
              <w:rPr>
                <w:rFonts w:ascii="Arial" w:cs="Arial" w:eastAsia="Arial" w:hAnsi="Arial"/>
                <w:sz w:val="14"/>
                <w:szCs w:val="14"/>
                <w:b w:val="1"/>
                <w:bCs w:val="1"/>
                <w:color w:val="FFFFFF"/>
              </w:rPr>
              <w:t>Securities</w:t>
            </w:r>
          </w:p>
        </w:tc>
        <w:tc>
          <w:tcPr>
            <w:tcW w:w="1260" w:type="dxa"/>
            <w:vAlign w:val="bottom"/>
            <w:shd w:val="clear" w:color="auto" w:fill="24356E"/>
          </w:tcPr>
          <w:p>
            <w:pPr>
              <w:jc w:val="right"/>
              <w:ind w:right="28"/>
              <w:spacing w:after="0" w:line="145" w:lineRule="exact"/>
              <w:rPr>
                <w:sz w:val="20"/>
                <w:szCs w:val="20"/>
                <w:color w:val="auto"/>
              </w:rPr>
            </w:pPr>
            <w:r>
              <w:rPr>
                <w:rFonts w:ascii="Arial" w:cs="Arial" w:eastAsia="Arial" w:hAnsi="Arial"/>
                <w:sz w:val="14"/>
                <w:szCs w:val="14"/>
                <w:b w:val="1"/>
                <w:bCs w:val="1"/>
                <w:color w:val="FFFFFF"/>
              </w:rPr>
              <w:t>Securities</w:t>
            </w:r>
          </w:p>
        </w:tc>
        <w:tc>
          <w:tcPr>
            <w:tcW w:w="1080" w:type="dxa"/>
            <w:vAlign w:val="bottom"/>
            <w:shd w:val="clear" w:color="auto" w:fill="24356E"/>
          </w:tcPr>
          <w:p>
            <w:pPr>
              <w:jc w:val="right"/>
              <w:ind w:right="28"/>
              <w:spacing w:after="0" w:line="145" w:lineRule="exact"/>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24356E"/>
          </w:tcPr>
          <w:p>
            <w:pPr>
              <w:spacing w:after="0"/>
              <w:rPr>
                <w:sz w:val="12"/>
                <w:szCs w:val="12"/>
                <w:color w:val="auto"/>
              </w:rPr>
            </w:pPr>
          </w:p>
        </w:tc>
        <w:tc>
          <w:tcPr>
            <w:tcW w:w="1040" w:type="dxa"/>
            <w:vAlign w:val="bottom"/>
            <w:shd w:val="clear" w:color="auto" w:fill="24356E"/>
          </w:tcPr>
          <w:p>
            <w:pPr>
              <w:spacing w:after="0"/>
              <w:rPr>
                <w:sz w:val="12"/>
                <w:szCs w:val="12"/>
                <w:color w:val="auto"/>
              </w:rPr>
            </w:pPr>
          </w:p>
        </w:tc>
        <w:tc>
          <w:tcPr>
            <w:tcW w:w="1080" w:type="dxa"/>
            <w:vAlign w:val="bottom"/>
            <w:shd w:val="clear" w:color="auto" w:fill="24356E"/>
          </w:tcPr>
          <w:p>
            <w:pPr>
              <w:spacing w:after="0"/>
              <w:rPr>
                <w:sz w:val="12"/>
                <w:szCs w:val="12"/>
                <w:color w:val="auto"/>
              </w:rPr>
            </w:pPr>
          </w:p>
        </w:tc>
        <w:tc>
          <w:tcPr>
            <w:tcW w:w="260" w:type="dxa"/>
            <w:vAlign w:val="bottom"/>
            <w:shd w:val="clear" w:color="auto" w:fill="24356E"/>
          </w:tcPr>
          <w:p>
            <w:pPr>
              <w:spacing w:after="0"/>
              <w:rPr>
                <w:sz w:val="12"/>
                <w:szCs w:val="12"/>
                <w:color w:val="auto"/>
              </w:rPr>
            </w:pPr>
          </w:p>
        </w:tc>
        <w:tc>
          <w:tcPr>
            <w:tcW w:w="800" w:type="dxa"/>
            <w:vAlign w:val="bottom"/>
            <w:vMerge w:val="continue"/>
            <w:shd w:val="clear" w:color="auto" w:fill="24356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tcBorders>
              <w:right w:val="single" w:sz="8" w:color="24356E"/>
            </w:tcBorders>
            <w:shd w:val="clear" w:color="auto" w:fill="24356E"/>
          </w:tcPr>
          <w:p>
            <w:pPr>
              <w:spacing w:after="0"/>
              <w:rPr>
                <w:sz w:val="14"/>
                <w:szCs w:val="14"/>
                <w:color w:val="auto"/>
              </w:rPr>
            </w:pPr>
          </w:p>
        </w:tc>
        <w:tc>
          <w:tcPr>
            <w:tcW w:w="1200" w:type="dxa"/>
            <w:vAlign w:val="bottom"/>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Underlying</w:t>
            </w:r>
          </w:p>
        </w:tc>
        <w:tc>
          <w:tcPr>
            <w:tcW w:w="126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Underlying</w:t>
            </w:r>
          </w:p>
        </w:tc>
        <w:tc>
          <w:tcPr>
            <w:tcW w:w="108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24356E"/>
          </w:tcPr>
          <w:p>
            <w:pPr>
              <w:spacing w:after="0"/>
              <w:rPr>
                <w:sz w:val="14"/>
                <w:szCs w:val="14"/>
                <w:color w:val="auto"/>
              </w:rPr>
            </w:pPr>
          </w:p>
        </w:tc>
        <w:tc>
          <w:tcPr>
            <w:tcW w:w="1040" w:type="dxa"/>
            <w:vAlign w:val="bottom"/>
            <w:shd w:val="clear" w:color="auto" w:fill="24356E"/>
          </w:tcPr>
          <w:p>
            <w:pPr>
              <w:spacing w:after="0"/>
              <w:rPr>
                <w:sz w:val="14"/>
                <w:szCs w:val="14"/>
                <w:color w:val="auto"/>
              </w:rPr>
            </w:pPr>
          </w:p>
        </w:tc>
        <w:tc>
          <w:tcPr>
            <w:tcW w:w="1080" w:type="dxa"/>
            <w:vAlign w:val="bottom"/>
            <w:shd w:val="clear" w:color="auto" w:fill="24356E"/>
          </w:tcPr>
          <w:p>
            <w:pPr>
              <w:ind w:left="240"/>
              <w:spacing w:after="0"/>
              <w:rPr>
                <w:sz w:val="20"/>
                <w:szCs w:val="20"/>
                <w:color w:val="auto"/>
              </w:rPr>
            </w:pPr>
            <w:r>
              <w:rPr>
                <w:rFonts w:ascii="Arial" w:cs="Arial" w:eastAsia="Arial" w:hAnsi="Arial"/>
                <w:sz w:val="14"/>
                <w:szCs w:val="14"/>
                <w:b w:val="1"/>
                <w:bCs w:val="1"/>
                <w:color w:val="FFFFFF"/>
              </w:rPr>
              <w:t>Number of</w:t>
            </w:r>
          </w:p>
        </w:tc>
        <w:tc>
          <w:tcPr>
            <w:tcW w:w="260" w:type="dxa"/>
            <w:vAlign w:val="bottom"/>
            <w:shd w:val="clear" w:color="auto" w:fill="24356E"/>
          </w:tcPr>
          <w:p>
            <w:pPr>
              <w:spacing w:after="0"/>
              <w:rPr>
                <w:sz w:val="14"/>
                <w:szCs w:val="14"/>
                <w:color w:val="auto"/>
              </w:rPr>
            </w:pPr>
          </w:p>
        </w:tc>
        <w:tc>
          <w:tcPr>
            <w:tcW w:w="800" w:type="dxa"/>
            <w:vAlign w:val="bottom"/>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62"/>
        </w:trPr>
        <w:tc>
          <w:tcPr>
            <w:tcW w:w="1880" w:type="dxa"/>
            <w:vAlign w:val="bottom"/>
            <w:tcBorders>
              <w:right w:val="single" w:sz="8" w:color="24356E"/>
            </w:tcBorders>
            <w:shd w:val="clear" w:color="auto" w:fill="24356E"/>
          </w:tcPr>
          <w:p>
            <w:pPr>
              <w:spacing w:after="0"/>
              <w:rPr>
                <w:sz w:val="14"/>
                <w:szCs w:val="14"/>
                <w:color w:val="auto"/>
              </w:rPr>
            </w:pPr>
          </w:p>
        </w:tc>
        <w:tc>
          <w:tcPr>
            <w:tcW w:w="1200" w:type="dxa"/>
            <w:vAlign w:val="bottom"/>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Unexercised</w:t>
            </w:r>
          </w:p>
        </w:tc>
        <w:tc>
          <w:tcPr>
            <w:tcW w:w="126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Unexercised</w:t>
            </w:r>
          </w:p>
        </w:tc>
        <w:tc>
          <w:tcPr>
            <w:tcW w:w="108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Unexercised</w:t>
            </w:r>
          </w:p>
        </w:tc>
        <w:tc>
          <w:tcPr>
            <w:tcW w:w="80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Option</w:t>
            </w:r>
          </w:p>
        </w:tc>
        <w:tc>
          <w:tcPr>
            <w:tcW w:w="1040" w:type="dxa"/>
            <w:vAlign w:val="bottom"/>
            <w:shd w:val="clear" w:color="auto" w:fill="24356E"/>
          </w:tcPr>
          <w:p>
            <w:pPr>
              <w:jc w:val="right"/>
              <w:ind w:right="88"/>
              <w:spacing w:after="0"/>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24356E"/>
          </w:tcPr>
          <w:p>
            <w:pPr>
              <w:jc w:val="right"/>
              <w:ind w:right="48"/>
              <w:spacing w:after="0"/>
              <w:rPr>
                <w:sz w:val="20"/>
                <w:szCs w:val="20"/>
                <w:color w:val="auto"/>
              </w:rPr>
            </w:pPr>
            <w:r>
              <w:rPr>
                <w:rFonts w:ascii="Arial" w:cs="Arial" w:eastAsia="Arial" w:hAnsi="Arial"/>
                <w:sz w:val="14"/>
                <w:szCs w:val="14"/>
                <w:b w:val="1"/>
                <w:bCs w:val="1"/>
                <w:color w:val="FFFFFF"/>
              </w:rPr>
              <w:t>Shares that</w:t>
            </w:r>
          </w:p>
        </w:tc>
        <w:tc>
          <w:tcPr>
            <w:tcW w:w="1060" w:type="dxa"/>
            <w:vAlign w:val="bottom"/>
            <w:gridSpan w:val="2"/>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Shares that</w:t>
            </w:r>
          </w:p>
        </w:tc>
        <w:tc>
          <w:tcPr>
            <w:tcW w:w="0" w:type="dxa"/>
            <w:vAlign w:val="bottom"/>
          </w:tcPr>
          <w:p>
            <w:pPr>
              <w:spacing w:after="0"/>
              <w:rPr>
                <w:sz w:val="1"/>
                <w:szCs w:val="1"/>
                <w:color w:val="auto"/>
              </w:rPr>
            </w:pPr>
          </w:p>
        </w:tc>
      </w:tr>
      <w:tr>
        <w:trPr>
          <w:trHeight w:val="162"/>
        </w:trPr>
        <w:tc>
          <w:tcPr>
            <w:tcW w:w="1880" w:type="dxa"/>
            <w:vAlign w:val="bottom"/>
            <w:tcBorders>
              <w:right w:val="single" w:sz="8" w:color="24356E"/>
            </w:tcBorders>
            <w:shd w:val="clear" w:color="auto" w:fill="24356E"/>
          </w:tcPr>
          <w:p>
            <w:pPr>
              <w:spacing w:after="0"/>
              <w:rPr>
                <w:sz w:val="14"/>
                <w:szCs w:val="14"/>
                <w:color w:val="auto"/>
              </w:rPr>
            </w:pPr>
          </w:p>
        </w:tc>
        <w:tc>
          <w:tcPr>
            <w:tcW w:w="1200" w:type="dxa"/>
            <w:vAlign w:val="bottom"/>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Options</w:t>
            </w:r>
          </w:p>
        </w:tc>
        <w:tc>
          <w:tcPr>
            <w:tcW w:w="126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Options</w:t>
            </w:r>
          </w:p>
        </w:tc>
        <w:tc>
          <w:tcPr>
            <w:tcW w:w="108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Unearned</w:t>
            </w:r>
          </w:p>
        </w:tc>
        <w:tc>
          <w:tcPr>
            <w:tcW w:w="80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Exercise</w:t>
            </w:r>
          </w:p>
        </w:tc>
        <w:tc>
          <w:tcPr>
            <w:tcW w:w="1040" w:type="dxa"/>
            <w:vAlign w:val="bottom"/>
            <w:shd w:val="clear" w:color="auto" w:fill="24356E"/>
          </w:tcPr>
          <w:p>
            <w:pPr>
              <w:jc w:val="right"/>
              <w:ind w:right="88"/>
              <w:spacing w:after="0"/>
              <w:rPr>
                <w:sz w:val="20"/>
                <w:szCs w:val="20"/>
                <w:color w:val="auto"/>
              </w:rPr>
            </w:pPr>
            <w:r>
              <w:rPr>
                <w:rFonts w:ascii="Arial" w:cs="Arial" w:eastAsia="Arial" w:hAnsi="Arial"/>
                <w:sz w:val="14"/>
                <w:szCs w:val="14"/>
                <w:b w:val="1"/>
                <w:bCs w:val="1"/>
                <w:color w:val="FFFFFF"/>
              </w:rPr>
              <w:t>Expiration</w:t>
            </w:r>
          </w:p>
        </w:tc>
        <w:tc>
          <w:tcPr>
            <w:tcW w:w="1080" w:type="dxa"/>
            <w:vAlign w:val="bottom"/>
            <w:shd w:val="clear" w:color="auto" w:fill="24356E"/>
          </w:tcPr>
          <w:p>
            <w:pPr>
              <w:jc w:val="right"/>
              <w:ind w:right="48"/>
              <w:spacing w:after="0"/>
              <w:rPr>
                <w:sz w:val="20"/>
                <w:szCs w:val="20"/>
                <w:color w:val="auto"/>
              </w:rPr>
            </w:pPr>
            <w:r>
              <w:rPr>
                <w:rFonts w:ascii="Arial" w:cs="Arial" w:eastAsia="Arial" w:hAnsi="Arial"/>
                <w:sz w:val="14"/>
                <w:szCs w:val="14"/>
                <w:b w:val="1"/>
                <w:bCs w:val="1"/>
                <w:color w:val="FFFFFF"/>
              </w:rPr>
              <w:t>Have Not</w:t>
            </w:r>
          </w:p>
        </w:tc>
        <w:tc>
          <w:tcPr>
            <w:tcW w:w="260" w:type="dxa"/>
            <w:vAlign w:val="bottom"/>
            <w:shd w:val="clear" w:color="auto" w:fill="24356E"/>
          </w:tcPr>
          <w:p>
            <w:pPr>
              <w:spacing w:after="0"/>
              <w:rPr>
                <w:sz w:val="14"/>
                <w:szCs w:val="14"/>
                <w:color w:val="auto"/>
              </w:rPr>
            </w:pPr>
          </w:p>
        </w:tc>
        <w:tc>
          <w:tcPr>
            <w:tcW w:w="800" w:type="dxa"/>
            <w:vAlign w:val="bottom"/>
            <w:shd w:val="clear" w:color="auto" w:fill="24356E"/>
          </w:tcPr>
          <w:p>
            <w:pPr>
              <w:ind w:left="40"/>
              <w:spacing w:after="0"/>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270"/>
        </w:trPr>
        <w:tc>
          <w:tcPr>
            <w:tcW w:w="1880" w:type="dxa"/>
            <w:vAlign w:val="bottom"/>
            <w:tcBorders>
              <w:right w:val="single" w:sz="8" w:color="24356E"/>
            </w:tcBorders>
            <w:shd w:val="clear" w:color="auto" w:fill="24356E"/>
          </w:tcPr>
          <w:p>
            <w:pPr>
              <w:ind w:left="200"/>
              <w:spacing w:after="0"/>
              <w:rPr>
                <w:sz w:val="20"/>
                <w:szCs w:val="20"/>
                <w:color w:val="auto"/>
              </w:rPr>
            </w:pPr>
            <w:r>
              <w:rPr>
                <w:rFonts w:ascii="Arial" w:cs="Arial" w:eastAsia="Arial" w:hAnsi="Arial"/>
                <w:sz w:val="14"/>
                <w:szCs w:val="14"/>
                <w:b w:val="1"/>
                <w:bCs w:val="1"/>
                <w:color w:val="FFFFFF"/>
              </w:rPr>
              <w:t>Name</w:t>
            </w:r>
          </w:p>
        </w:tc>
        <w:tc>
          <w:tcPr>
            <w:tcW w:w="1200" w:type="dxa"/>
            <w:vAlign w:val="bottom"/>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Exercisable</w:t>
            </w:r>
          </w:p>
        </w:tc>
        <w:tc>
          <w:tcPr>
            <w:tcW w:w="126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Unexercisable</w:t>
            </w:r>
          </w:p>
        </w:tc>
        <w:tc>
          <w:tcPr>
            <w:tcW w:w="108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Options</w:t>
            </w:r>
          </w:p>
        </w:tc>
        <w:tc>
          <w:tcPr>
            <w:tcW w:w="80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Price</w:t>
            </w:r>
          </w:p>
        </w:tc>
        <w:tc>
          <w:tcPr>
            <w:tcW w:w="1040" w:type="dxa"/>
            <w:vAlign w:val="bottom"/>
            <w:shd w:val="clear" w:color="auto" w:fill="24356E"/>
          </w:tcPr>
          <w:p>
            <w:pPr>
              <w:jc w:val="right"/>
              <w:ind w:right="88"/>
              <w:spacing w:after="0"/>
              <w:rPr>
                <w:sz w:val="20"/>
                <w:szCs w:val="20"/>
                <w:color w:val="auto"/>
              </w:rPr>
            </w:pPr>
            <w:r>
              <w:rPr>
                <w:rFonts w:ascii="Arial" w:cs="Arial" w:eastAsia="Arial" w:hAnsi="Arial"/>
                <w:sz w:val="14"/>
                <w:szCs w:val="14"/>
                <w:b w:val="1"/>
                <w:bCs w:val="1"/>
                <w:color w:val="FFFFFF"/>
              </w:rPr>
              <w:t>Date</w:t>
            </w:r>
          </w:p>
        </w:tc>
        <w:tc>
          <w:tcPr>
            <w:tcW w:w="1080" w:type="dxa"/>
            <w:vAlign w:val="bottom"/>
            <w:shd w:val="clear" w:color="auto" w:fill="24356E"/>
          </w:tcPr>
          <w:p>
            <w:pPr>
              <w:jc w:val="right"/>
              <w:ind w:right="48"/>
              <w:spacing w:after="0"/>
              <w:rPr>
                <w:sz w:val="20"/>
                <w:szCs w:val="20"/>
                <w:color w:val="auto"/>
              </w:rPr>
            </w:pPr>
            <w:r>
              <w:rPr>
                <w:rFonts w:ascii="Arial" w:cs="Arial" w:eastAsia="Arial" w:hAnsi="Arial"/>
                <w:sz w:val="14"/>
                <w:szCs w:val="14"/>
                <w:b w:val="1"/>
                <w:bCs w:val="1"/>
                <w:color w:val="FFFFFF"/>
              </w:rPr>
              <w:t>Vested</w:t>
            </w:r>
          </w:p>
        </w:tc>
        <w:tc>
          <w:tcPr>
            <w:tcW w:w="260" w:type="dxa"/>
            <w:vAlign w:val="bottom"/>
            <w:shd w:val="clear" w:color="auto" w:fill="24356E"/>
          </w:tcPr>
          <w:p>
            <w:pPr>
              <w:spacing w:after="0"/>
              <w:rPr>
                <w:sz w:val="23"/>
                <w:szCs w:val="23"/>
                <w:color w:val="auto"/>
              </w:rPr>
            </w:pPr>
          </w:p>
        </w:tc>
        <w:tc>
          <w:tcPr>
            <w:tcW w:w="800" w:type="dxa"/>
            <w:vAlign w:val="bottom"/>
            <w:shd w:val="clear" w:color="auto" w:fill="24356E"/>
          </w:tcPr>
          <w:p>
            <w:pPr>
              <w:ind w:left="60"/>
              <w:spacing w:after="0"/>
              <w:rPr>
                <w:sz w:val="20"/>
                <w:szCs w:val="20"/>
                <w:color w:val="auto"/>
              </w:rPr>
            </w:pPr>
            <w:r>
              <w:rPr>
                <w:rFonts w:ascii="Arial" w:cs="Arial" w:eastAsia="Arial" w:hAnsi="Arial"/>
                <w:sz w:val="14"/>
                <w:szCs w:val="14"/>
                <w:b w:val="1"/>
                <w:bCs w:val="1"/>
                <w:color w:val="FFFFFF"/>
              </w:rPr>
              <w:t>Vested</w:t>
            </w:r>
            <w:r>
              <w:rPr>
                <w:rFonts w:ascii="Arial" w:cs="Arial" w:eastAsia="Arial" w:hAnsi="Arial"/>
                <w:sz w:val="23"/>
                <w:szCs w:val="23"/>
                <w:b w:val="1"/>
                <w:bCs w:val="1"/>
                <w:color w:val="FFFFFF"/>
                <w:vertAlign w:val="superscript"/>
              </w:rPr>
              <w:t>(1)</w:t>
            </w:r>
          </w:p>
        </w:tc>
        <w:tc>
          <w:tcPr>
            <w:tcW w:w="0" w:type="dxa"/>
            <w:vAlign w:val="bottom"/>
          </w:tcPr>
          <w:p>
            <w:pPr>
              <w:spacing w:after="0"/>
              <w:rPr>
                <w:sz w:val="1"/>
                <w:szCs w:val="1"/>
                <w:color w:val="auto"/>
              </w:rPr>
            </w:pPr>
          </w:p>
        </w:tc>
      </w:tr>
      <w:tr>
        <w:trPr>
          <w:trHeight w:val="338"/>
        </w:trPr>
        <w:tc>
          <w:tcPr>
            <w:tcW w:w="1880" w:type="dxa"/>
            <w:vAlign w:val="bottom"/>
          </w:tcPr>
          <w:p>
            <w:pPr>
              <w:spacing w:after="0"/>
              <w:rPr>
                <w:sz w:val="24"/>
                <w:szCs w:val="24"/>
                <w:color w:val="auto"/>
              </w:rPr>
            </w:pPr>
          </w:p>
        </w:tc>
        <w:tc>
          <w:tcPr>
            <w:tcW w:w="1200" w:type="dxa"/>
            <w:vAlign w:val="bottom"/>
            <w:tcBorders>
              <w:bottom w:val="single" w:sz="8" w:color="666666"/>
            </w:tcBorders>
          </w:tcPr>
          <w:p>
            <w:pPr>
              <w:jc w:val="right"/>
              <w:ind w:right="68"/>
              <w:spacing w:after="0"/>
              <w:rPr>
                <w:sz w:val="20"/>
                <w:szCs w:val="20"/>
                <w:color w:val="auto"/>
              </w:rPr>
            </w:pPr>
            <w:r>
              <w:rPr>
                <w:rFonts w:ascii="Arial" w:cs="Arial" w:eastAsia="Arial" w:hAnsi="Arial"/>
                <w:sz w:val="14"/>
                <w:szCs w:val="14"/>
                <w:color w:val="auto"/>
              </w:rPr>
              <w:t>3,019,853</w:t>
            </w:r>
            <w:r>
              <w:rPr>
                <w:rFonts w:ascii="Arial" w:cs="Arial" w:eastAsia="Arial" w:hAnsi="Arial"/>
                <w:sz w:val="23"/>
                <w:szCs w:val="23"/>
                <w:color w:val="auto"/>
                <w:vertAlign w:val="superscript"/>
              </w:rPr>
              <w:t>(2)</w:t>
            </w:r>
          </w:p>
        </w:tc>
        <w:tc>
          <w:tcPr>
            <w:tcW w:w="126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1,509,920</w:t>
            </w:r>
            <w:r>
              <w:rPr>
                <w:rFonts w:ascii="Arial" w:cs="Arial" w:eastAsia="Arial" w:hAnsi="Arial"/>
                <w:sz w:val="23"/>
                <w:szCs w:val="23"/>
                <w:color w:val="auto"/>
                <w:vertAlign w:val="superscript"/>
              </w:rPr>
              <w:t>(2)</w:t>
            </w:r>
          </w:p>
        </w:tc>
        <w:tc>
          <w:tcPr>
            <w:tcW w:w="1080" w:type="dxa"/>
            <w:vAlign w:val="bottom"/>
            <w:tcBorders>
              <w:bottom w:val="single" w:sz="8" w:color="666666"/>
            </w:tcBorders>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$3.99</w:t>
            </w:r>
          </w:p>
        </w:tc>
        <w:tc>
          <w:tcPr>
            <w:tcW w:w="1040" w:type="dxa"/>
            <w:vAlign w:val="bottom"/>
            <w:tcBorders>
              <w:bottom w:val="single" w:sz="8" w:color="666666"/>
            </w:tcBorders>
          </w:tcPr>
          <w:p>
            <w:pPr>
              <w:jc w:val="right"/>
              <w:ind w:right="208"/>
              <w:spacing w:after="0"/>
              <w:rPr>
                <w:sz w:val="20"/>
                <w:szCs w:val="20"/>
                <w:color w:val="auto"/>
              </w:rPr>
            </w:pPr>
            <w:r>
              <w:rPr>
                <w:rFonts w:ascii="Arial" w:cs="Arial" w:eastAsia="Arial" w:hAnsi="Arial"/>
                <w:sz w:val="14"/>
                <w:szCs w:val="14"/>
                <w:color w:val="auto"/>
              </w:rPr>
              <w:t>4/4/2032</w:t>
            </w:r>
          </w:p>
        </w:tc>
        <w:tc>
          <w:tcPr>
            <w:tcW w:w="1080" w:type="dxa"/>
            <w:vAlign w:val="bottom"/>
            <w:tcBorders>
              <w:bottom w:val="single" w:sz="8" w:color="666666"/>
            </w:tcBorders>
          </w:tcPr>
          <w:p>
            <w:pPr>
              <w:ind w:left="6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66666"/>
            </w:tcBorders>
          </w:tcPr>
          <w:p>
            <w:pPr>
              <w:spacing w:after="0"/>
              <w:rPr>
                <w:sz w:val="24"/>
                <w:szCs w:val="24"/>
                <w:color w:val="auto"/>
              </w:rPr>
            </w:pPr>
          </w:p>
        </w:tc>
        <w:tc>
          <w:tcPr>
            <w:tcW w:w="800" w:type="dxa"/>
            <w:vAlign w:val="bottom"/>
            <w:tcBorders>
              <w:bottom w:val="single" w:sz="8" w:color="666666"/>
            </w:tcBorders>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1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Michael Egholm, Ph.D.</w:t>
            </w:r>
          </w:p>
        </w:tc>
        <w:tc>
          <w:tcPr>
            <w:tcW w:w="1200" w:type="dxa"/>
            <w:vAlign w:val="bottom"/>
            <w:tcBorders>
              <w:bottom w:val="single" w:sz="8" w:color="666666"/>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ind w:left="260"/>
              <w:spacing w:after="0"/>
              <w:rPr>
                <w:sz w:val="20"/>
                <w:szCs w:val="20"/>
                <w:color w:val="auto"/>
              </w:rPr>
            </w:pPr>
            <w:r>
              <w:rPr>
                <w:rFonts w:ascii="Arial" w:cs="Arial" w:eastAsia="Arial" w:hAnsi="Arial"/>
                <w:sz w:val="14"/>
                <w:szCs w:val="14"/>
                <w:color w:val="auto"/>
              </w:rPr>
              <w:t>393,025</w:t>
            </w:r>
            <w:r>
              <w:rPr>
                <w:rFonts w:ascii="Arial" w:cs="Arial" w:eastAsia="Arial" w:hAnsi="Arial"/>
                <w:sz w:val="23"/>
                <w:szCs w:val="23"/>
                <w:color w:val="auto"/>
                <w:vertAlign w:val="superscript"/>
              </w:rPr>
              <w:t>(3)</w:t>
            </w:r>
          </w:p>
        </w:tc>
        <w:tc>
          <w:tcPr>
            <w:tcW w:w="260" w:type="dxa"/>
            <w:vAlign w:val="bottom"/>
            <w:tcBorders>
              <w:bottom w:val="single" w:sz="8" w:color="666666"/>
            </w:tcBorders>
          </w:tcPr>
          <w:p>
            <w:pPr>
              <w:ind w:lef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687,794</w:t>
            </w:r>
          </w:p>
        </w:tc>
        <w:tc>
          <w:tcPr>
            <w:tcW w:w="0" w:type="dxa"/>
            <w:vAlign w:val="bottom"/>
          </w:tcPr>
          <w:p>
            <w:pPr>
              <w:spacing w:after="0"/>
              <w:rPr>
                <w:sz w:val="1"/>
                <w:szCs w:val="1"/>
                <w:color w:val="auto"/>
              </w:rPr>
            </w:pPr>
          </w:p>
        </w:tc>
      </w:tr>
      <w:tr>
        <w:trPr>
          <w:trHeight w:val="86"/>
        </w:trPr>
        <w:tc>
          <w:tcPr>
            <w:tcW w:w="1880" w:type="dxa"/>
            <w:vAlign w:val="bottom"/>
            <w:vMerge w:val="continue"/>
          </w:tcPr>
          <w:p>
            <w:pPr>
              <w:spacing w:after="0"/>
              <w:rPr>
                <w:sz w:val="7"/>
                <w:szCs w:val="7"/>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281,250</w:t>
            </w:r>
            <w:r>
              <w:rPr>
                <w:rFonts w:ascii="Arial" w:cs="Arial" w:eastAsia="Arial" w:hAnsi="Arial"/>
                <w:sz w:val="23"/>
                <w:szCs w:val="23"/>
                <w:color w:val="auto"/>
                <w:vertAlign w:val="superscript"/>
              </w:rPr>
              <w:t>(4)</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1,968,750</w:t>
            </w:r>
            <w:r>
              <w:rPr>
                <w:rFonts w:ascii="Arial" w:cs="Arial" w:eastAsia="Arial" w:hAnsi="Arial"/>
                <w:sz w:val="23"/>
                <w:szCs w:val="23"/>
                <w:color w:val="auto"/>
                <w:vertAlign w:val="superscript"/>
              </w:rPr>
              <w:t>(4)</w:t>
            </w:r>
          </w:p>
        </w:tc>
        <w:tc>
          <w:tcPr>
            <w:tcW w:w="1080" w:type="dxa"/>
            <w:vAlign w:val="bottom"/>
            <w:vMerge w:val="restart"/>
          </w:tcPr>
          <w:p>
            <w:pPr>
              <w:ind w:left="8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$2.58</w:t>
            </w: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color w:val="auto"/>
              </w:rPr>
              <w:t>5/19/2034</w:t>
            </w:r>
          </w:p>
        </w:tc>
        <w:tc>
          <w:tcPr>
            <w:tcW w:w="10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7"/>
                <w:szCs w:val="7"/>
                <w:color w:val="auto"/>
              </w:rPr>
            </w:pPr>
          </w:p>
        </w:tc>
        <w:tc>
          <w:tcPr>
            <w:tcW w:w="8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880" w:type="dxa"/>
            <w:vAlign w:val="bottom"/>
          </w:tcPr>
          <w:p>
            <w:pPr>
              <w:spacing w:after="0"/>
              <w:rPr>
                <w:sz w:val="20"/>
                <w:szCs w:val="20"/>
                <w:color w:val="auto"/>
              </w:rPr>
            </w:pPr>
          </w:p>
        </w:tc>
        <w:tc>
          <w:tcPr>
            <w:tcW w:w="1200" w:type="dxa"/>
            <w:vAlign w:val="bottom"/>
            <w:tcBorders>
              <w:bottom w:val="single" w:sz="8" w:color="666666"/>
            </w:tcBorders>
            <w:vMerge w:val="continue"/>
          </w:tcPr>
          <w:p>
            <w:pPr>
              <w:spacing w:after="0"/>
              <w:rPr>
                <w:sz w:val="20"/>
                <w:szCs w:val="20"/>
                <w:color w:val="auto"/>
              </w:rPr>
            </w:pPr>
          </w:p>
        </w:tc>
        <w:tc>
          <w:tcPr>
            <w:tcW w:w="1260" w:type="dxa"/>
            <w:vAlign w:val="bottom"/>
            <w:tcBorders>
              <w:bottom w:val="single" w:sz="8" w:color="666666"/>
            </w:tcBorders>
            <w:vMerge w:val="continue"/>
          </w:tcPr>
          <w:p>
            <w:pPr>
              <w:spacing w:after="0"/>
              <w:rPr>
                <w:sz w:val="20"/>
                <w:szCs w:val="20"/>
                <w:color w:val="auto"/>
              </w:rPr>
            </w:pPr>
          </w:p>
        </w:tc>
        <w:tc>
          <w:tcPr>
            <w:tcW w:w="1080" w:type="dxa"/>
            <w:vAlign w:val="bottom"/>
            <w:tcBorders>
              <w:bottom w:val="single" w:sz="8" w:color="666666"/>
            </w:tcBorders>
            <w:vMerge w:val="continue"/>
          </w:tcPr>
          <w:p>
            <w:pPr>
              <w:spacing w:after="0"/>
              <w:rPr>
                <w:sz w:val="20"/>
                <w:szCs w:val="20"/>
                <w:color w:val="auto"/>
              </w:rPr>
            </w:pPr>
          </w:p>
        </w:tc>
        <w:tc>
          <w:tcPr>
            <w:tcW w:w="800" w:type="dxa"/>
            <w:vAlign w:val="bottom"/>
            <w:tcBorders>
              <w:bottom w:val="single" w:sz="8" w:color="666666"/>
            </w:tcBorders>
            <w:vMerge w:val="continue"/>
          </w:tcPr>
          <w:p>
            <w:pPr>
              <w:spacing w:after="0"/>
              <w:rPr>
                <w:sz w:val="20"/>
                <w:szCs w:val="20"/>
                <w:color w:val="auto"/>
              </w:rPr>
            </w:pPr>
          </w:p>
        </w:tc>
        <w:tc>
          <w:tcPr>
            <w:tcW w:w="1040" w:type="dxa"/>
            <w:vAlign w:val="bottom"/>
            <w:tcBorders>
              <w:bottom w:val="single" w:sz="8" w:color="666666"/>
            </w:tcBorders>
            <w:vMerge w:val="continue"/>
          </w:tcPr>
          <w:p>
            <w:pPr>
              <w:spacing w:after="0"/>
              <w:rPr>
                <w:sz w:val="20"/>
                <w:szCs w:val="20"/>
                <w:color w:val="auto"/>
              </w:rPr>
            </w:pPr>
          </w:p>
        </w:tc>
        <w:tc>
          <w:tcPr>
            <w:tcW w:w="1080" w:type="dxa"/>
            <w:vAlign w:val="bottom"/>
            <w:tcBorders>
              <w:bottom w:val="single" w:sz="8" w:color="666666"/>
            </w:tcBorders>
            <w:vMerge w:val="continue"/>
          </w:tcPr>
          <w:p>
            <w:pPr>
              <w:spacing w:after="0"/>
              <w:rPr>
                <w:sz w:val="20"/>
                <w:szCs w:val="20"/>
                <w:color w:val="auto"/>
              </w:rPr>
            </w:pPr>
          </w:p>
        </w:tc>
        <w:tc>
          <w:tcPr>
            <w:tcW w:w="260" w:type="dxa"/>
            <w:vAlign w:val="bottom"/>
            <w:tcBorders>
              <w:bottom w:val="single" w:sz="8" w:color="666666"/>
            </w:tcBorders>
          </w:tcPr>
          <w:p>
            <w:pPr>
              <w:spacing w:after="0"/>
              <w:rPr>
                <w:sz w:val="20"/>
                <w:szCs w:val="20"/>
                <w:color w:val="auto"/>
              </w:rPr>
            </w:pPr>
          </w:p>
        </w:tc>
        <w:tc>
          <w:tcPr>
            <w:tcW w:w="800" w:type="dxa"/>
            <w:vAlign w:val="bottom"/>
            <w:tcBorders>
              <w:bottom w:val="single" w:sz="8" w:color="666666"/>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880" w:type="dxa"/>
            <w:vAlign w:val="bottom"/>
            <w:tcBorders>
              <w:bottom w:val="single" w:sz="8" w:color="24356E"/>
            </w:tcBorders>
          </w:tcPr>
          <w:p>
            <w:pPr>
              <w:spacing w:after="0"/>
              <w:rPr>
                <w:sz w:val="24"/>
                <w:szCs w:val="24"/>
                <w:color w:val="auto"/>
              </w:rPr>
            </w:pPr>
          </w:p>
        </w:tc>
        <w:tc>
          <w:tcPr>
            <w:tcW w:w="1200" w:type="dxa"/>
            <w:vAlign w:val="bottom"/>
            <w:tcBorders>
              <w:bottom w:val="single" w:sz="8" w:color="24356E"/>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24356E"/>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4356E"/>
            </w:tcBorders>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4356E"/>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4356E"/>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4356E"/>
            </w:tcBorders>
          </w:tcPr>
          <w:p>
            <w:pPr>
              <w:ind w:left="260"/>
              <w:spacing w:after="0"/>
              <w:rPr>
                <w:sz w:val="20"/>
                <w:szCs w:val="20"/>
                <w:color w:val="auto"/>
              </w:rPr>
            </w:pPr>
            <w:r>
              <w:rPr>
                <w:rFonts w:ascii="Arial" w:cs="Arial" w:eastAsia="Arial" w:hAnsi="Arial"/>
                <w:sz w:val="14"/>
                <w:szCs w:val="14"/>
                <w:color w:val="auto"/>
              </w:rPr>
              <w:t xml:space="preserve">875,000 </w:t>
            </w:r>
            <w:r>
              <w:rPr>
                <w:rFonts w:ascii="Arial" w:cs="Arial" w:eastAsia="Arial" w:hAnsi="Arial"/>
                <w:sz w:val="23"/>
                <w:szCs w:val="23"/>
                <w:color w:val="auto"/>
                <w:vertAlign w:val="superscript"/>
              </w:rPr>
              <w:t>(5)</w:t>
            </w:r>
          </w:p>
        </w:tc>
        <w:tc>
          <w:tcPr>
            <w:tcW w:w="1060" w:type="dxa"/>
            <w:vAlign w:val="bottom"/>
            <w:tcBorders>
              <w:bottom w:val="single" w:sz="8" w:color="24356E"/>
            </w:tcBorders>
            <w:gridSpan w:val="2"/>
          </w:tcPr>
          <w:p>
            <w:pPr>
              <w:ind w:left="140"/>
              <w:spacing w:after="0"/>
              <w:rPr>
                <w:sz w:val="20"/>
                <w:szCs w:val="20"/>
                <w:color w:val="auto"/>
              </w:rPr>
            </w:pPr>
            <w:r>
              <w:rPr>
                <w:rFonts w:ascii="Arial" w:cs="Arial" w:eastAsia="Arial" w:hAnsi="Arial"/>
                <w:sz w:val="14"/>
                <w:szCs w:val="14"/>
                <w:color w:val="auto"/>
              </w:rPr>
              <w:t>$1,531,250</w:t>
            </w:r>
          </w:p>
        </w:tc>
        <w:tc>
          <w:tcPr>
            <w:tcW w:w="0" w:type="dxa"/>
            <w:vAlign w:val="bottom"/>
          </w:tcPr>
          <w:p>
            <w:pPr>
              <w:spacing w:after="0"/>
              <w:rPr>
                <w:sz w:val="1"/>
                <w:szCs w:val="1"/>
                <w:color w:val="auto"/>
              </w:rPr>
            </w:pPr>
          </w:p>
        </w:tc>
      </w:tr>
      <w:tr>
        <w:trPr>
          <w:trHeight w:val="318"/>
        </w:trPr>
        <w:tc>
          <w:tcPr>
            <w:tcW w:w="1880" w:type="dxa"/>
            <w:vAlign w:val="bottom"/>
          </w:tcPr>
          <w:p>
            <w:pPr>
              <w:spacing w:after="0"/>
              <w:rPr>
                <w:sz w:val="24"/>
                <w:szCs w:val="24"/>
                <w:color w:val="auto"/>
              </w:rPr>
            </w:pPr>
          </w:p>
        </w:tc>
        <w:tc>
          <w:tcPr>
            <w:tcW w:w="1200" w:type="dxa"/>
            <w:vAlign w:val="bottom"/>
            <w:tcBorders>
              <w:bottom w:val="single" w:sz="8" w:color="666666"/>
            </w:tcBorders>
          </w:tcPr>
          <w:p>
            <w:pPr>
              <w:jc w:val="right"/>
              <w:ind w:right="68"/>
              <w:spacing w:after="0"/>
              <w:rPr>
                <w:sz w:val="20"/>
                <w:szCs w:val="20"/>
                <w:color w:val="auto"/>
              </w:rPr>
            </w:pPr>
            <w:r>
              <w:rPr>
                <w:rFonts w:ascii="Arial" w:cs="Arial" w:eastAsia="Arial" w:hAnsi="Arial"/>
                <w:sz w:val="14"/>
                <w:szCs w:val="14"/>
                <w:color w:val="auto"/>
              </w:rPr>
              <w:t>1,078,524</w:t>
            </w:r>
            <w:r>
              <w:rPr>
                <w:rFonts w:ascii="Arial" w:cs="Arial" w:eastAsia="Arial" w:hAnsi="Arial"/>
                <w:sz w:val="23"/>
                <w:szCs w:val="23"/>
                <w:color w:val="auto"/>
                <w:vertAlign w:val="superscript"/>
              </w:rPr>
              <w:t>(2)</w:t>
            </w:r>
          </w:p>
        </w:tc>
        <w:tc>
          <w:tcPr>
            <w:tcW w:w="1260" w:type="dxa"/>
            <w:vAlign w:val="bottom"/>
            <w:tcBorders>
              <w:bottom w:val="single" w:sz="8" w:color="666666"/>
            </w:tcBorders>
          </w:tcPr>
          <w:p>
            <w:pPr>
              <w:jc w:val="right"/>
              <w:ind w:right="68"/>
              <w:spacing w:after="0"/>
              <w:rPr>
                <w:sz w:val="20"/>
                <w:szCs w:val="20"/>
                <w:color w:val="auto"/>
              </w:rPr>
            </w:pPr>
            <w:r>
              <w:rPr>
                <w:rFonts w:ascii="Arial" w:cs="Arial" w:eastAsia="Arial" w:hAnsi="Arial"/>
                <w:sz w:val="14"/>
                <w:szCs w:val="14"/>
                <w:color w:val="auto"/>
              </w:rPr>
              <w:t>539,251</w:t>
            </w:r>
            <w:r>
              <w:rPr>
                <w:rFonts w:ascii="Arial" w:cs="Arial" w:eastAsia="Arial" w:hAnsi="Arial"/>
                <w:sz w:val="23"/>
                <w:szCs w:val="23"/>
                <w:color w:val="auto"/>
                <w:vertAlign w:val="superscript"/>
              </w:rPr>
              <w:t>(2)</w:t>
            </w:r>
          </w:p>
        </w:tc>
        <w:tc>
          <w:tcPr>
            <w:tcW w:w="1080" w:type="dxa"/>
            <w:vAlign w:val="bottom"/>
            <w:tcBorders>
              <w:bottom w:val="single" w:sz="8" w:color="666666"/>
            </w:tcBorders>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$3.99</w:t>
            </w:r>
          </w:p>
        </w:tc>
        <w:tc>
          <w:tcPr>
            <w:tcW w:w="1040" w:type="dxa"/>
            <w:vAlign w:val="bottom"/>
            <w:tcBorders>
              <w:bottom w:val="single" w:sz="8" w:color="666666"/>
            </w:tcBorders>
          </w:tcPr>
          <w:p>
            <w:pPr>
              <w:jc w:val="right"/>
              <w:ind w:right="208"/>
              <w:spacing w:after="0"/>
              <w:rPr>
                <w:sz w:val="20"/>
                <w:szCs w:val="20"/>
                <w:color w:val="auto"/>
              </w:rPr>
            </w:pPr>
            <w:r>
              <w:rPr>
                <w:rFonts w:ascii="Arial" w:cs="Arial" w:eastAsia="Arial" w:hAnsi="Arial"/>
                <w:sz w:val="14"/>
                <w:szCs w:val="14"/>
                <w:color w:val="auto"/>
              </w:rPr>
              <w:t>4/4/2032</w:t>
            </w:r>
          </w:p>
        </w:tc>
        <w:tc>
          <w:tcPr>
            <w:tcW w:w="1080" w:type="dxa"/>
            <w:vAlign w:val="bottom"/>
            <w:tcBorders>
              <w:bottom w:val="single" w:sz="8" w:color="666666"/>
            </w:tcBorders>
          </w:tcPr>
          <w:p>
            <w:pPr>
              <w:ind w:left="6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66666"/>
            </w:tcBorders>
          </w:tcPr>
          <w:p>
            <w:pPr>
              <w:spacing w:after="0"/>
              <w:rPr>
                <w:sz w:val="24"/>
                <w:szCs w:val="24"/>
                <w:color w:val="auto"/>
              </w:rPr>
            </w:pPr>
          </w:p>
        </w:tc>
        <w:tc>
          <w:tcPr>
            <w:tcW w:w="800" w:type="dxa"/>
            <w:vAlign w:val="bottom"/>
            <w:tcBorders>
              <w:bottom w:val="single" w:sz="8" w:color="666666"/>
            </w:tcBorders>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1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Alex Kim</w:t>
            </w:r>
          </w:p>
        </w:tc>
        <w:tc>
          <w:tcPr>
            <w:tcW w:w="1200" w:type="dxa"/>
            <w:vAlign w:val="bottom"/>
            <w:tcBorders>
              <w:bottom w:val="single" w:sz="8" w:color="666666"/>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ind w:left="260"/>
              <w:spacing w:after="0"/>
              <w:rPr>
                <w:sz w:val="20"/>
                <w:szCs w:val="20"/>
                <w:color w:val="auto"/>
              </w:rPr>
            </w:pPr>
            <w:r>
              <w:rPr>
                <w:rFonts w:ascii="Arial" w:cs="Arial" w:eastAsia="Arial" w:hAnsi="Arial"/>
                <w:sz w:val="14"/>
                <w:szCs w:val="14"/>
                <w:color w:val="auto"/>
              </w:rPr>
              <w:t>140,366</w:t>
            </w:r>
            <w:r>
              <w:rPr>
                <w:rFonts w:ascii="Arial" w:cs="Arial" w:eastAsia="Arial" w:hAnsi="Arial"/>
                <w:sz w:val="23"/>
                <w:szCs w:val="23"/>
                <w:color w:val="auto"/>
                <w:vertAlign w:val="superscript"/>
              </w:rPr>
              <w:t>(3)</w:t>
            </w:r>
          </w:p>
        </w:tc>
        <w:tc>
          <w:tcPr>
            <w:tcW w:w="260" w:type="dxa"/>
            <w:vAlign w:val="bottom"/>
            <w:tcBorders>
              <w:bottom w:val="single" w:sz="8" w:color="666666"/>
            </w:tcBorders>
          </w:tcPr>
          <w:p>
            <w:pPr>
              <w:ind w:lef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245,640</w:t>
            </w:r>
          </w:p>
        </w:tc>
        <w:tc>
          <w:tcPr>
            <w:tcW w:w="0" w:type="dxa"/>
            <w:vAlign w:val="bottom"/>
          </w:tcPr>
          <w:p>
            <w:pPr>
              <w:spacing w:after="0"/>
              <w:rPr>
                <w:sz w:val="1"/>
                <w:szCs w:val="1"/>
                <w:color w:val="auto"/>
              </w:rPr>
            </w:pPr>
          </w:p>
        </w:tc>
      </w:tr>
      <w:tr>
        <w:trPr>
          <w:trHeight w:val="86"/>
        </w:trPr>
        <w:tc>
          <w:tcPr>
            <w:tcW w:w="1880" w:type="dxa"/>
            <w:vAlign w:val="bottom"/>
            <w:vMerge w:val="continue"/>
          </w:tcPr>
          <w:p>
            <w:pPr>
              <w:spacing w:after="0"/>
              <w:rPr>
                <w:sz w:val="7"/>
                <w:szCs w:val="7"/>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93,750</w:t>
            </w:r>
            <w:r>
              <w:rPr>
                <w:rFonts w:ascii="Arial" w:cs="Arial" w:eastAsia="Arial" w:hAnsi="Arial"/>
                <w:sz w:val="23"/>
                <w:szCs w:val="23"/>
                <w:color w:val="auto"/>
                <w:vertAlign w:val="superscript"/>
              </w:rPr>
              <w:t>(4)</w:t>
            </w: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656,250</w:t>
            </w:r>
            <w:r>
              <w:rPr>
                <w:rFonts w:ascii="Arial" w:cs="Arial" w:eastAsia="Arial" w:hAnsi="Arial"/>
                <w:sz w:val="23"/>
                <w:szCs w:val="23"/>
                <w:color w:val="auto"/>
                <w:vertAlign w:val="superscript"/>
              </w:rPr>
              <w:t>(4)</w:t>
            </w:r>
          </w:p>
        </w:tc>
        <w:tc>
          <w:tcPr>
            <w:tcW w:w="1080" w:type="dxa"/>
            <w:vAlign w:val="bottom"/>
            <w:vMerge w:val="restart"/>
          </w:tcPr>
          <w:p>
            <w:pPr>
              <w:ind w:left="8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2.58</w:t>
            </w: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color w:val="auto"/>
              </w:rPr>
              <w:t>5/19/2034</w:t>
            </w:r>
          </w:p>
        </w:tc>
        <w:tc>
          <w:tcPr>
            <w:tcW w:w="10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7"/>
                <w:szCs w:val="7"/>
                <w:color w:val="auto"/>
              </w:rPr>
            </w:pPr>
          </w:p>
        </w:tc>
        <w:tc>
          <w:tcPr>
            <w:tcW w:w="8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880" w:type="dxa"/>
            <w:vAlign w:val="bottom"/>
          </w:tcPr>
          <w:p>
            <w:pPr>
              <w:spacing w:after="0"/>
              <w:rPr>
                <w:sz w:val="20"/>
                <w:szCs w:val="20"/>
                <w:color w:val="auto"/>
              </w:rPr>
            </w:pPr>
          </w:p>
        </w:tc>
        <w:tc>
          <w:tcPr>
            <w:tcW w:w="1200" w:type="dxa"/>
            <w:vAlign w:val="bottom"/>
            <w:tcBorders>
              <w:bottom w:val="single" w:sz="8" w:color="666666"/>
            </w:tcBorders>
            <w:vMerge w:val="continue"/>
          </w:tcPr>
          <w:p>
            <w:pPr>
              <w:spacing w:after="0"/>
              <w:rPr>
                <w:sz w:val="20"/>
                <w:szCs w:val="20"/>
                <w:color w:val="auto"/>
              </w:rPr>
            </w:pPr>
          </w:p>
        </w:tc>
        <w:tc>
          <w:tcPr>
            <w:tcW w:w="1260" w:type="dxa"/>
            <w:vAlign w:val="bottom"/>
            <w:tcBorders>
              <w:bottom w:val="single" w:sz="8" w:color="666666"/>
            </w:tcBorders>
            <w:vMerge w:val="continue"/>
          </w:tcPr>
          <w:p>
            <w:pPr>
              <w:spacing w:after="0"/>
              <w:rPr>
                <w:sz w:val="20"/>
                <w:szCs w:val="20"/>
                <w:color w:val="auto"/>
              </w:rPr>
            </w:pPr>
          </w:p>
        </w:tc>
        <w:tc>
          <w:tcPr>
            <w:tcW w:w="1080" w:type="dxa"/>
            <w:vAlign w:val="bottom"/>
            <w:tcBorders>
              <w:bottom w:val="single" w:sz="8" w:color="666666"/>
            </w:tcBorders>
            <w:vMerge w:val="continue"/>
          </w:tcPr>
          <w:p>
            <w:pPr>
              <w:spacing w:after="0"/>
              <w:rPr>
                <w:sz w:val="20"/>
                <w:szCs w:val="20"/>
                <w:color w:val="auto"/>
              </w:rPr>
            </w:pPr>
          </w:p>
        </w:tc>
        <w:tc>
          <w:tcPr>
            <w:tcW w:w="800" w:type="dxa"/>
            <w:vAlign w:val="bottom"/>
            <w:tcBorders>
              <w:bottom w:val="single" w:sz="8" w:color="666666"/>
            </w:tcBorders>
            <w:vMerge w:val="continue"/>
          </w:tcPr>
          <w:p>
            <w:pPr>
              <w:spacing w:after="0"/>
              <w:rPr>
                <w:sz w:val="20"/>
                <w:szCs w:val="20"/>
                <w:color w:val="auto"/>
              </w:rPr>
            </w:pPr>
          </w:p>
        </w:tc>
        <w:tc>
          <w:tcPr>
            <w:tcW w:w="1040" w:type="dxa"/>
            <w:vAlign w:val="bottom"/>
            <w:tcBorders>
              <w:bottom w:val="single" w:sz="8" w:color="666666"/>
            </w:tcBorders>
            <w:vMerge w:val="continue"/>
          </w:tcPr>
          <w:p>
            <w:pPr>
              <w:spacing w:after="0"/>
              <w:rPr>
                <w:sz w:val="20"/>
                <w:szCs w:val="20"/>
                <w:color w:val="auto"/>
              </w:rPr>
            </w:pPr>
          </w:p>
        </w:tc>
        <w:tc>
          <w:tcPr>
            <w:tcW w:w="1080" w:type="dxa"/>
            <w:vAlign w:val="bottom"/>
            <w:tcBorders>
              <w:bottom w:val="single" w:sz="8" w:color="666666"/>
            </w:tcBorders>
            <w:vMerge w:val="continue"/>
          </w:tcPr>
          <w:p>
            <w:pPr>
              <w:spacing w:after="0"/>
              <w:rPr>
                <w:sz w:val="20"/>
                <w:szCs w:val="20"/>
                <w:color w:val="auto"/>
              </w:rPr>
            </w:pPr>
          </w:p>
        </w:tc>
        <w:tc>
          <w:tcPr>
            <w:tcW w:w="260" w:type="dxa"/>
            <w:vAlign w:val="bottom"/>
            <w:tcBorders>
              <w:bottom w:val="single" w:sz="8" w:color="666666"/>
            </w:tcBorders>
          </w:tcPr>
          <w:p>
            <w:pPr>
              <w:spacing w:after="0"/>
              <w:rPr>
                <w:sz w:val="20"/>
                <w:szCs w:val="20"/>
                <w:color w:val="auto"/>
              </w:rPr>
            </w:pPr>
          </w:p>
        </w:tc>
        <w:tc>
          <w:tcPr>
            <w:tcW w:w="800" w:type="dxa"/>
            <w:vAlign w:val="bottom"/>
            <w:tcBorders>
              <w:bottom w:val="single" w:sz="8" w:color="666666"/>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880" w:type="dxa"/>
            <w:vAlign w:val="bottom"/>
            <w:tcBorders>
              <w:bottom w:val="single" w:sz="8" w:color="24356E"/>
            </w:tcBorders>
          </w:tcPr>
          <w:p>
            <w:pPr>
              <w:spacing w:after="0"/>
              <w:rPr>
                <w:sz w:val="24"/>
                <w:szCs w:val="24"/>
                <w:color w:val="auto"/>
              </w:rPr>
            </w:pPr>
          </w:p>
        </w:tc>
        <w:tc>
          <w:tcPr>
            <w:tcW w:w="1200" w:type="dxa"/>
            <w:vAlign w:val="bottom"/>
            <w:tcBorders>
              <w:bottom w:val="single" w:sz="8" w:color="24356E"/>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24356E"/>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4356E"/>
            </w:tcBorders>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4356E"/>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4356E"/>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4356E"/>
            </w:tcBorders>
          </w:tcPr>
          <w:p>
            <w:pPr>
              <w:ind w:left="260"/>
              <w:spacing w:after="0"/>
              <w:rPr>
                <w:sz w:val="20"/>
                <w:szCs w:val="20"/>
                <w:color w:val="auto"/>
              </w:rPr>
            </w:pPr>
            <w:r>
              <w:rPr>
                <w:rFonts w:ascii="Arial" w:cs="Arial" w:eastAsia="Arial" w:hAnsi="Arial"/>
                <w:sz w:val="14"/>
                <w:szCs w:val="14"/>
                <w:color w:val="auto"/>
              </w:rPr>
              <w:t>291,667</w:t>
            </w:r>
            <w:r>
              <w:rPr>
                <w:rFonts w:ascii="Arial" w:cs="Arial" w:eastAsia="Arial" w:hAnsi="Arial"/>
                <w:sz w:val="23"/>
                <w:szCs w:val="23"/>
                <w:color w:val="auto"/>
                <w:vertAlign w:val="superscript"/>
              </w:rPr>
              <w:t>(5)</w:t>
            </w:r>
          </w:p>
        </w:tc>
        <w:tc>
          <w:tcPr>
            <w:tcW w:w="260" w:type="dxa"/>
            <w:vAlign w:val="bottom"/>
            <w:tcBorders>
              <w:bottom w:val="single" w:sz="8" w:color="24356E"/>
            </w:tcBorders>
          </w:tcPr>
          <w:p>
            <w:pPr>
              <w:ind w:lef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4356E"/>
            </w:tcBorders>
          </w:tcPr>
          <w:p>
            <w:pPr>
              <w:ind w:left="60"/>
              <w:spacing w:after="0"/>
              <w:rPr>
                <w:sz w:val="20"/>
                <w:szCs w:val="20"/>
                <w:color w:val="auto"/>
              </w:rPr>
            </w:pPr>
            <w:r>
              <w:rPr>
                <w:rFonts w:ascii="Arial" w:cs="Arial" w:eastAsia="Arial" w:hAnsi="Arial"/>
                <w:sz w:val="14"/>
                <w:szCs w:val="14"/>
                <w:color w:val="auto"/>
              </w:rPr>
              <w:t>510,417</w:t>
            </w:r>
          </w:p>
        </w:tc>
        <w:tc>
          <w:tcPr>
            <w:tcW w:w="0" w:type="dxa"/>
            <w:vAlign w:val="bottom"/>
          </w:tcPr>
          <w:p>
            <w:pPr>
              <w:spacing w:after="0"/>
              <w:rPr>
                <w:sz w:val="1"/>
                <w:szCs w:val="1"/>
                <w:color w:val="auto"/>
              </w:rPr>
            </w:pPr>
          </w:p>
        </w:tc>
      </w:tr>
      <w:tr>
        <w:trPr>
          <w:trHeight w:val="304"/>
        </w:trPr>
        <w:tc>
          <w:tcPr>
            <w:tcW w:w="1880" w:type="dxa"/>
            <w:vAlign w:val="bottom"/>
          </w:tcPr>
          <w:p>
            <w:pPr>
              <w:spacing w:after="0"/>
              <w:rPr>
                <w:sz w:val="24"/>
                <w:szCs w:val="24"/>
                <w:color w:val="auto"/>
              </w:rPr>
            </w:pPr>
          </w:p>
        </w:tc>
        <w:tc>
          <w:tcPr>
            <w:tcW w:w="1200" w:type="dxa"/>
            <w:vAlign w:val="bottom"/>
            <w:tcBorders>
              <w:bottom w:val="single" w:sz="8" w:color="666666"/>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68"/>
              <w:spacing w:after="0"/>
              <w:rPr>
                <w:sz w:val="20"/>
                <w:szCs w:val="20"/>
                <w:color w:val="auto"/>
              </w:rPr>
            </w:pPr>
            <w:r>
              <w:rPr>
                <w:rFonts w:ascii="Arial" w:cs="Arial" w:eastAsia="Arial" w:hAnsi="Arial"/>
                <w:sz w:val="14"/>
                <w:szCs w:val="14"/>
                <w:color w:val="auto"/>
              </w:rPr>
              <w:t>600,000</w:t>
            </w:r>
            <w:r>
              <w:rPr>
                <w:rFonts w:ascii="Arial" w:cs="Arial" w:eastAsia="Arial" w:hAnsi="Arial"/>
                <w:sz w:val="23"/>
                <w:szCs w:val="23"/>
                <w:color w:val="auto"/>
                <w:vertAlign w:val="superscript"/>
              </w:rPr>
              <w:t>(6)</w:t>
            </w:r>
          </w:p>
        </w:tc>
        <w:tc>
          <w:tcPr>
            <w:tcW w:w="1080" w:type="dxa"/>
            <w:vAlign w:val="bottom"/>
            <w:tcBorders>
              <w:bottom w:val="single" w:sz="8" w:color="666666"/>
            </w:tcBorders>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$2.58</w:t>
            </w:r>
          </w:p>
        </w:tc>
        <w:tc>
          <w:tcPr>
            <w:tcW w:w="1040" w:type="dxa"/>
            <w:vAlign w:val="bottom"/>
            <w:tcBorders>
              <w:bottom w:val="single" w:sz="8" w:color="666666"/>
            </w:tcBorders>
          </w:tcPr>
          <w:p>
            <w:pPr>
              <w:jc w:val="right"/>
              <w:ind w:right="208"/>
              <w:spacing w:after="0"/>
              <w:rPr>
                <w:sz w:val="20"/>
                <w:szCs w:val="20"/>
                <w:color w:val="auto"/>
              </w:rPr>
            </w:pPr>
            <w:r>
              <w:rPr>
                <w:rFonts w:ascii="Arial" w:cs="Arial" w:eastAsia="Arial" w:hAnsi="Arial"/>
                <w:sz w:val="14"/>
                <w:szCs w:val="14"/>
                <w:color w:val="auto"/>
              </w:rPr>
              <w:t>5/19/2034</w:t>
            </w:r>
          </w:p>
        </w:tc>
        <w:tc>
          <w:tcPr>
            <w:tcW w:w="1080" w:type="dxa"/>
            <w:vAlign w:val="bottom"/>
            <w:tcBorders>
              <w:bottom w:val="single" w:sz="8" w:color="666666"/>
            </w:tcBorders>
          </w:tcPr>
          <w:p>
            <w:pPr>
              <w:ind w:left="6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66666"/>
            </w:tcBorders>
          </w:tcPr>
          <w:p>
            <w:pPr>
              <w:spacing w:after="0"/>
              <w:rPr>
                <w:sz w:val="24"/>
                <w:szCs w:val="24"/>
                <w:color w:val="auto"/>
              </w:rPr>
            </w:pPr>
          </w:p>
        </w:tc>
        <w:tc>
          <w:tcPr>
            <w:tcW w:w="800" w:type="dxa"/>
            <w:vAlign w:val="bottom"/>
            <w:tcBorders>
              <w:bottom w:val="single" w:sz="8" w:color="666666"/>
            </w:tcBorders>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1880" w:type="dxa"/>
            <w:vAlign w:val="bottom"/>
          </w:tcPr>
          <w:p>
            <w:pPr>
              <w:ind w:left="200"/>
              <w:spacing w:after="0"/>
              <w:rPr>
                <w:sz w:val="20"/>
                <w:szCs w:val="20"/>
                <w:color w:val="auto"/>
              </w:rPr>
            </w:pPr>
            <w:r>
              <w:rPr>
                <w:rFonts w:ascii="Arial" w:cs="Arial" w:eastAsia="Arial" w:hAnsi="Arial"/>
                <w:sz w:val="14"/>
                <w:szCs w:val="14"/>
                <w:b w:val="1"/>
                <w:bCs w:val="1"/>
                <w:color w:val="auto"/>
              </w:rPr>
              <w:t>Sean Mackay</w:t>
            </w:r>
          </w:p>
        </w:tc>
        <w:tc>
          <w:tcPr>
            <w:tcW w:w="1200" w:type="dxa"/>
            <w:vAlign w:val="bottom"/>
            <w:tcBorders>
              <w:bottom w:val="single" w:sz="8" w:color="666666"/>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66666"/>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666666"/>
            </w:tcBorders>
          </w:tcPr>
          <w:p>
            <w:pPr>
              <w:ind w:left="260"/>
              <w:spacing w:after="0"/>
              <w:rPr>
                <w:sz w:val="20"/>
                <w:szCs w:val="20"/>
                <w:color w:val="auto"/>
              </w:rPr>
            </w:pPr>
            <w:r>
              <w:rPr>
                <w:rFonts w:ascii="Arial" w:cs="Arial" w:eastAsia="Arial" w:hAnsi="Arial"/>
                <w:sz w:val="14"/>
                <w:szCs w:val="14"/>
                <w:color w:val="auto"/>
              </w:rPr>
              <w:t>392,168</w:t>
            </w:r>
            <w:r>
              <w:rPr>
                <w:rFonts w:ascii="Arial" w:cs="Arial" w:eastAsia="Arial" w:hAnsi="Arial"/>
                <w:sz w:val="23"/>
                <w:szCs w:val="23"/>
                <w:color w:val="auto"/>
                <w:vertAlign w:val="superscript"/>
              </w:rPr>
              <w:t>(7)</w:t>
            </w:r>
          </w:p>
        </w:tc>
        <w:tc>
          <w:tcPr>
            <w:tcW w:w="260" w:type="dxa"/>
            <w:vAlign w:val="bottom"/>
            <w:tcBorders>
              <w:bottom w:val="single" w:sz="8" w:color="666666"/>
            </w:tcBorders>
          </w:tcPr>
          <w:p>
            <w:pPr>
              <w:ind w:lef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ind w:left="60"/>
              <w:spacing w:after="0"/>
              <w:rPr>
                <w:sz w:val="20"/>
                <w:szCs w:val="20"/>
                <w:color w:val="auto"/>
              </w:rPr>
            </w:pPr>
            <w:r>
              <w:rPr>
                <w:rFonts w:ascii="Arial" w:cs="Arial" w:eastAsia="Arial" w:hAnsi="Arial"/>
                <w:sz w:val="14"/>
                <w:szCs w:val="14"/>
                <w:color w:val="auto"/>
              </w:rPr>
              <w:t>686,294</w:t>
            </w:r>
          </w:p>
        </w:tc>
        <w:tc>
          <w:tcPr>
            <w:tcW w:w="0" w:type="dxa"/>
            <w:vAlign w:val="bottom"/>
          </w:tcPr>
          <w:p>
            <w:pPr>
              <w:spacing w:after="0"/>
              <w:rPr>
                <w:sz w:val="1"/>
                <w:szCs w:val="1"/>
                <w:color w:val="auto"/>
              </w:rPr>
            </w:pPr>
          </w:p>
        </w:tc>
      </w:tr>
      <w:tr>
        <w:trPr>
          <w:trHeight w:val="345"/>
        </w:trPr>
        <w:tc>
          <w:tcPr>
            <w:tcW w:w="1880" w:type="dxa"/>
            <w:vAlign w:val="bottom"/>
            <w:tcBorders>
              <w:bottom w:val="single" w:sz="8" w:color="24356E"/>
            </w:tcBorders>
          </w:tcPr>
          <w:p>
            <w:pPr>
              <w:spacing w:after="0"/>
              <w:rPr>
                <w:sz w:val="24"/>
                <w:szCs w:val="24"/>
                <w:color w:val="auto"/>
              </w:rPr>
            </w:pPr>
          </w:p>
        </w:tc>
        <w:tc>
          <w:tcPr>
            <w:tcW w:w="1200" w:type="dxa"/>
            <w:vAlign w:val="bottom"/>
            <w:tcBorders>
              <w:bottom w:val="single" w:sz="8" w:color="24356E"/>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24356E"/>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4356E"/>
            </w:tcBorders>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4356E"/>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24356E"/>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4356E"/>
            </w:tcBorders>
          </w:tcPr>
          <w:p>
            <w:pPr>
              <w:ind w:left="260"/>
              <w:spacing w:after="0"/>
              <w:rPr>
                <w:sz w:val="20"/>
                <w:szCs w:val="20"/>
                <w:color w:val="auto"/>
              </w:rPr>
            </w:pPr>
            <w:r>
              <w:rPr>
                <w:rFonts w:ascii="Arial" w:cs="Arial" w:eastAsia="Arial" w:hAnsi="Arial"/>
                <w:sz w:val="14"/>
                <w:szCs w:val="14"/>
                <w:color w:val="auto"/>
              </w:rPr>
              <w:t>207,832</w:t>
            </w:r>
            <w:r>
              <w:rPr>
                <w:rFonts w:ascii="Arial" w:cs="Arial" w:eastAsia="Arial" w:hAnsi="Arial"/>
                <w:sz w:val="23"/>
                <w:szCs w:val="23"/>
                <w:color w:val="auto"/>
                <w:vertAlign w:val="superscript"/>
              </w:rPr>
              <w:t>(7)</w:t>
            </w:r>
          </w:p>
        </w:tc>
        <w:tc>
          <w:tcPr>
            <w:tcW w:w="260" w:type="dxa"/>
            <w:vAlign w:val="bottom"/>
            <w:tcBorders>
              <w:bottom w:val="single" w:sz="8" w:color="24356E"/>
            </w:tcBorders>
          </w:tcPr>
          <w:p>
            <w:pPr>
              <w:ind w:lef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4356E"/>
            </w:tcBorders>
          </w:tcPr>
          <w:p>
            <w:pPr>
              <w:ind w:left="60"/>
              <w:spacing w:after="0"/>
              <w:rPr>
                <w:sz w:val="20"/>
                <w:szCs w:val="20"/>
                <w:color w:val="auto"/>
              </w:rPr>
            </w:pPr>
            <w:r>
              <w:rPr>
                <w:rFonts w:ascii="Arial" w:cs="Arial" w:eastAsia="Arial" w:hAnsi="Arial"/>
                <w:sz w:val="14"/>
                <w:szCs w:val="14"/>
                <w:color w:val="auto"/>
              </w:rPr>
              <w:t>363,706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60" w:right="180" w:hanging="354"/>
        <w:spacing w:after="0" w:line="252" w:lineRule="auto"/>
        <w:tabs>
          <w:tab w:leader="none" w:pos="36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Based on the closing price of our common stock of $1.75 per share on December 31, 2024, as reported on The Nasdaq Global Select Market, and the number of RSUs and performance-based RSUs that had not vested as of December 31, 2024.</w:t>
      </w:r>
    </w:p>
    <w:p>
      <w:pPr>
        <w:spacing w:after="0" w:line="17" w:lineRule="exact"/>
        <w:rPr>
          <w:rFonts w:ascii="Arial" w:cs="Arial" w:eastAsia="Arial" w:hAnsi="Arial"/>
          <w:sz w:val="13"/>
          <w:szCs w:val="13"/>
          <w:b w:val="1"/>
          <w:bCs w:val="1"/>
          <w:color w:val="auto"/>
        </w:rPr>
      </w:pPr>
    </w:p>
    <w:p>
      <w:pPr>
        <w:ind w:left="360" w:right="400" w:hanging="354"/>
        <w:spacing w:after="0" w:line="186" w:lineRule="auto"/>
        <w:tabs>
          <w:tab w:leader="none" w:pos="360" w:val="left"/>
        </w:tabs>
        <w:numPr>
          <w:ilvl w:val="0"/>
          <w:numId w:val="34"/>
        </w:numPr>
        <w:rPr>
          <w:rFonts w:ascii="Arial" w:cs="Arial" w:eastAsia="Arial" w:hAnsi="Arial"/>
          <w:sz w:val="25"/>
          <w:szCs w:val="25"/>
          <w:b w:val="1"/>
          <w:bCs w:val="1"/>
          <w:color w:val="auto"/>
          <w:vertAlign w:val="superscript"/>
        </w:rPr>
      </w:pPr>
      <w:r>
        <w:rPr>
          <w:rFonts w:ascii="Arial" w:cs="Arial" w:eastAsia="Arial" w:hAnsi="Arial"/>
          <w:sz w:val="13"/>
          <w:szCs w:val="13"/>
          <w:b w:val="1"/>
          <w:bCs w:val="1"/>
          <w:color w:val="auto"/>
        </w:rPr>
        <w:t>The stock options vest over four years, with 1/4</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of the total number of shares subject thereto vested on April 4, 2023, and 1/48</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of such shares vesting monthly thereafter until fully vested.</w:t>
      </w:r>
    </w:p>
    <w:p>
      <w:pPr>
        <w:spacing w:after="0" w:line="25" w:lineRule="exact"/>
        <w:rPr>
          <w:rFonts w:ascii="Arial" w:cs="Arial" w:eastAsia="Arial" w:hAnsi="Arial"/>
          <w:sz w:val="25"/>
          <w:szCs w:val="25"/>
          <w:b w:val="1"/>
          <w:bCs w:val="1"/>
          <w:color w:val="auto"/>
          <w:vertAlign w:val="superscript"/>
        </w:rPr>
      </w:pPr>
    </w:p>
    <w:p>
      <w:pPr>
        <w:ind w:left="360" w:right="120" w:hanging="354"/>
        <w:spacing w:after="0" w:line="186" w:lineRule="auto"/>
        <w:tabs>
          <w:tab w:leader="none" w:pos="360" w:val="left"/>
        </w:tabs>
        <w:numPr>
          <w:ilvl w:val="0"/>
          <w:numId w:val="34"/>
        </w:numPr>
        <w:rPr>
          <w:rFonts w:ascii="Arial" w:cs="Arial" w:eastAsia="Arial" w:hAnsi="Arial"/>
          <w:sz w:val="25"/>
          <w:szCs w:val="25"/>
          <w:b w:val="1"/>
          <w:bCs w:val="1"/>
          <w:color w:val="auto"/>
          <w:vertAlign w:val="superscript"/>
        </w:rPr>
      </w:pPr>
      <w:r>
        <w:rPr>
          <w:rFonts w:ascii="Arial" w:cs="Arial" w:eastAsia="Arial" w:hAnsi="Arial"/>
          <w:sz w:val="13"/>
          <w:szCs w:val="13"/>
          <w:b w:val="1"/>
          <w:bCs w:val="1"/>
          <w:color w:val="auto"/>
        </w:rPr>
        <w:t>The RSUs vest over four years, with 1/4</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of the total number of shares subject thereto vested on April 4, 2023, and 1/4</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of such shares vesting every twelve months thereafter until fully vested.</w:t>
      </w:r>
    </w:p>
    <w:p>
      <w:pPr>
        <w:spacing w:after="0" w:line="25" w:lineRule="exact"/>
        <w:rPr>
          <w:rFonts w:ascii="Arial" w:cs="Arial" w:eastAsia="Arial" w:hAnsi="Arial"/>
          <w:sz w:val="25"/>
          <w:szCs w:val="25"/>
          <w:b w:val="1"/>
          <w:bCs w:val="1"/>
          <w:color w:val="auto"/>
          <w:vertAlign w:val="superscript"/>
        </w:rPr>
      </w:pPr>
    </w:p>
    <w:p>
      <w:pPr>
        <w:ind w:left="360" w:right="40" w:hanging="354"/>
        <w:spacing w:after="0" w:line="186" w:lineRule="auto"/>
        <w:tabs>
          <w:tab w:leader="none" w:pos="360" w:val="left"/>
        </w:tabs>
        <w:numPr>
          <w:ilvl w:val="0"/>
          <w:numId w:val="34"/>
        </w:numPr>
        <w:rPr>
          <w:rFonts w:ascii="Arial" w:cs="Arial" w:eastAsia="Arial" w:hAnsi="Arial"/>
          <w:sz w:val="25"/>
          <w:szCs w:val="25"/>
          <w:b w:val="1"/>
          <w:bCs w:val="1"/>
          <w:color w:val="auto"/>
          <w:vertAlign w:val="superscript"/>
        </w:rPr>
      </w:pPr>
      <w:r>
        <w:rPr>
          <w:rFonts w:ascii="Arial" w:cs="Arial" w:eastAsia="Arial" w:hAnsi="Arial"/>
          <w:sz w:val="13"/>
          <w:szCs w:val="13"/>
          <w:b w:val="1"/>
          <w:bCs w:val="1"/>
          <w:color w:val="auto"/>
        </w:rPr>
        <w:t>The stock options vest as to 1/16</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of the total number of shares subject thereto vested on August 20, 2024, with the remaining shares vesting in equal quarterly installments thereafter until fully vested.</w:t>
      </w:r>
    </w:p>
    <w:p>
      <w:pPr>
        <w:spacing w:after="0" w:line="25" w:lineRule="exact"/>
        <w:rPr>
          <w:rFonts w:ascii="Arial" w:cs="Arial" w:eastAsia="Arial" w:hAnsi="Arial"/>
          <w:sz w:val="25"/>
          <w:szCs w:val="25"/>
          <w:b w:val="1"/>
          <w:bCs w:val="1"/>
          <w:color w:val="auto"/>
          <w:vertAlign w:val="superscript"/>
        </w:rPr>
      </w:pPr>
    </w:p>
    <w:p>
      <w:pPr>
        <w:ind w:left="360" w:right="420" w:hanging="354"/>
        <w:spacing w:after="0" w:line="186" w:lineRule="auto"/>
        <w:tabs>
          <w:tab w:leader="none" w:pos="360" w:val="left"/>
        </w:tabs>
        <w:numPr>
          <w:ilvl w:val="0"/>
          <w:numId w:val="34"/>
        </w:numPr>
        <w:rPr>
          <w:rFonts w:ascii="Arial" w:cs="Arial" w:eastAsia="Arial" w:hAnsi="Arial"/>
          <w:sz w:val="25"/>
          <w:szCs w:val="25"/>
          <w:b w:val="1"/>
          <w:bCs w:val="1"/>
          <w:color w:val="auto"/>
          <w:vertAlign w:val="superscript"/>
        </w:rPr>
      </w:pPr>
      <w:r>
        <w:rPr>
          <w:rFonts w:ascii="Arial" w:cs="Arial" w:eastAsia="Arial" w:hAnsi="Arial"/>
          <w:sz w:val="13"/>
          <w:szCs w:val="13"/>
          <w:b w:val="1"/>
          <w:bCs w:val="1"/>
          <w:color w:val="auto"/>
        </w:rPr>
        <w:t>The RSUs vest as to 1/16</w:t>
      </w:r>
      <w:r>
        <w:rPr>
          <w:rFonts w:ascii="Arial" w:cs="Arial" w:eastAsia="Arial" w:hAnsi="Arial"/>
          <w:sz w:val="20"/>
          <w:szCs w:val="20"/>
          <w:b w:val="1"/>
          <w:bCs w:val="1"/>
          <w:color w:val="auto"/>
          <w:vertAlign w:val="superscript"/>
        </w:rPr>
        <w:t>th</w:t>
      </w:r>
      <w:r>
        <w:rPr>
          <w:rFonts w:ascii="Arial" w:cs="Arial" w:eastAsia="Arial" w:hAnsi="Arial"/>
          <w:sz w:val="13"/>
          <w:szCs w:val="13"/>
          <w:b w:val="1"/>
          <w:bCs w:val="1"/>
          <w:color w:val="auto"/>
        </w:rPr>
        <w:t xml:space="preserve"> of the total number of shares subject thereto vested on August 20, 2024, with the remaining shares vesting in equally quarterly installments thereafter until fully vested.</w:t>
      </w:r>
    </w:p>
    <w:p>
      <w:pPr>
        <w:spacing w:after="0" w:line="18" w:lineRule="exact"/>
        <w:rPr>
          <w:rFonts w:ascii="Arial" w:cs="Arial" w:eastAsia="Arial" w:hAnsi="Arial"/>
          <w:sz w:val="25"/>
          <w:szCs w:val="25"/>
          <w:b w:val="1"/>
          <w:bCs w:val="1"/>
          <w:color w:val="auto"/>
          <w:vertAlign w:val="superscript"/>
        </w:rPr>
      </w:pPr>
    </w:p>
    <w:p>
      <w:pPr>
        <w:ind w:left="360" w:right="100" w:hanging="354"/>
        <w:spacing w:after="0" w:line="252" w:lineRule="auto"/>
        <w:tabs>
          <w:tab w:leader="none" w:pos="36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The stock options vest as to 25% of the total number of shares subject thereto vesting on May 20, 2025, with the remaining shares vesting in 12 equal quarterly installments thereafter until fully vested.</w:t>
      </w:r>
    </w:p>
    <w:p>
      <w:pPr>
        <w:spacing w:after="0" w:line="10" w:lineRule="exact"/>
        <w:rPr>
          <w:rFonts w:ascii="Arial" w:cs="Arial" w:eastAsia="Arial" w:hAnsi="Arial"/>
          <w:sz w:val="13"/>
          <w:szCs w:val="13"/>
          <w:b w:val="1"/>
          <w:bCs w:val="1"/>
          <w:color w:val="auto"/>
        </w:rPr>
      </w:pPr>
    </w:p>
    <w:p>
      <w:pPr>
        <w:ind w:left="360" w:right="80" w:hanging="354"/>
        <w:spacing w:after="0" w:line="252" w:lineRule="auto"/>
        <w:tabs>
          <w:tab w:leader="none" w:pos="36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The RSUs vest as to 1/4 of the total number of shares subject thereto vesting on May 20, 2025, with the remaining shares vesting in 12 equal quarterly installments thereafter until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59664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82"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Option Exercises and Stock Vested in 2024</w:t>
      </w:r>
    </w:p>
    <w:p>
      <w:pPr>
        <w:spacing w:after="0" w:line="13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333333"/>
        </w:rPr>
        <w:t>The following table shows information regarding exercises of options to purchase our common stock and vesting of stock awards held by each of our NEOs during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22225</wp:posOffset>
            </wp:positionV>
            <wp:extent cx="8890" cy="265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26543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2720" w:type="dxa"/>
            <w:vAlign w:val="bottom"/>
            <w:tcBorders>
              <w:right w:val="single" w:sz="8" w:color="666666"/>
            </w:tcBorders>
          </w:tcPr>
          <w:p>
            <w:pPr>
              <w:spacing w:after="0"/>
              <w:rPr>
                <w:sz w:val="24"/>
                <w:szCs w:val="24"/>
                <w:color w:val="auto"/>
              </w:rPr>
            </w:pPr>
          </w:p>
        </w:tc>
        <w:tc>
          <w:tcPr>
            <w:tcW w:w="1260" w:type="dxa"/>
            <w:vAlign w:val="bottom"/>
            <w:shd w:val="clear" w:color="auto" w:fill="9492B1"/>
          </w:tcPr>
          <w:p>
            <w:pPr>
              <w:spacing w:after="0"/>
              <w:rPr>
                <w:sz w:val="24"/>
                <w:szCs w:val="24"/>
                <w:color w:val="auto"/>
              </w:rPr>
            </w:pPr>
          </w:p>
        </w:tc>
        <w:tc>
          <w:tcPr>
            <w:tcW w:w="2260" w:type="dxa"/>
            <w:vAlign w:val="bottom"/>
            <w:shd w:val="clear" w:color="auto" w:fill="9492B1"/>
          </w:tcPr>
          <w:p>
            <w:pPr>
              <w:jc w:val="right"/>
              <w:ind w:right="1228"/>
              <w:spacing w:after="0"/>
              <w:rPr>
                <w:sz w:val="20"/>
                <w:szCs w:val="20"/>
                <w:color w:val="auto"/>
              </w:rPr>
            </w:pPr>
            <w:r>
              <w:rPr>
                <w:rFonts w:ascii="Arial" w:cs="Arial" w:eastAsia="Arial" w:hAnsi="Arial"/>
                <w:sz w:val="14"/>
                <w:szCs w:val="14"/>
                <w:color w:val="FFFFFF"/>
              </w:rPr>
              <w:t>Option Awards</w:t>
            </w:r>
          </w:p>
        </w:tc>
        <w:tc>
          <w:tcPr>
            <w:tcW w:w="1220" w:type="dxa"/>
            <w:vAlign w:val="bottom"/>
            <w:shd w:val="clear" w:color="auto" w:fill="9492B1"/>
          </w:tcPr>
          <w:p>
            <w:pPr>
              <w:spacing w:after="0"/>
              <w:rPr>
                <w:sz w:val="24"/>
                <w:szCs w:val="24"/>
                <w:color w:val="auto"/>
              </w:rPr>
            </w:pPr>
          </w:p>
        </w:tc>
        <w:tc>
          <w:tcPr>
            <w:tcW w:w="1100" w:type="dxa"/>
            <w:vAlign w:val="bottom"/>
            <w:shd w:val="clear" w:color="auto" w:fill="9492B1"/>
          </w:tcPr>
          <w:p>
            <w:pPr>
              <w:jc w:val="right"/>
              <w:ind w:right="108"/>
              <w:spacing w:after="0"/>
              <w:rPr>
                <w:sz w:val="20"/>
                <w:szCs w:val="20"/>
                <w:color w:val="auto"/>
              </w:rPr>
            </w:pPr>
            <w:r>
              <w:rPr>
                <w:rFonts w:ascii="Arial" w:cs="Arial" w:eastAsia="Arial" w:hAnsi="Arial"/>
                <w:sz w:val="14"/>
                <w:szCs w:val="14"/>
                <w:color w:val="FFFFFF"/>
              </w:rPr>
              <w:t>Stock Awards</w:t>
            </w:r>
          </w:p>
        </w:tc>
        <w:tc>
          <w:tcPr>
            <w:tcW w:w="840" w:type="dxa"/>
            <w:vAlign w:val="bottom"/>
            <w:shd w:val="clear" w:color="auto" w:fill="9492B1"/>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666666"/>
            </w:tcBorders>
          </w:tcPr>
          <w:p>
            <w:pPr>
              <w:spacing w:after="0"/>
              <w:rPr>
                <w:sz w:val="5"/>
                <w:szCs w:val="5"/>
                <w:color w:val="auto"/>
              </w:rPr>
            </w:pPr>
          </w:p>
        </w:tc>
        <w:tc>
          <w:tcPr>
            <w:tcW w:w="1260" w:type="dxa"/>
            <w:vAlign w:val="bottom"/>
            <w:shd w:val="clear" w:color="auto" w:fill="9492B1"/>
          </w:tcPr>
          <w:p>
            <w:pPr>
              <w:spacing w:after="0"/>
              <w:rPr>
                <w:sz w:val="5"/>
                <w:szCs w:val="5"/>
                <w:color w:val="auto"/>
              </w:rPr>
            </w:pPr>
          </w:p>
        </w:tc>
        <w:tc>
          <w:tcPr>
            <w:tcW w:w="2260" w:type="dxa"/>
            <w:vAlign w:val="bottom"/>
            <w:shd w:val="clear" w:color="auto" w:fill="9492B1"/>
          </w:tcPr>
          <w:p>
            <w:pPr>
              <w:spacing w:after="0"/>
              <w:rPr>
                <w:sz w:val="5"/>
                <w:szCs w:val="5"/>
                <w:color w:val="auto"/>
              </w:rPr>
            </w:pPr>
          </w:p>
        </w:tc>
        <w:tc>
          <w:tcPr>
            <w:tcW w:w="1220" w:type="dxa"/>
            <w:vAlign w:val="bottom"/>
            <w:shd w:val="clear" w:color="auto" w:fill="9492B1"/>
          </w:tcPr>
          <w:p>
            <w:pPr>
              <w:spacing w:after="0"/>
              <w:rPr>
                <w:sz w:val="5"/>
                <w:szCs w:val="5"/>
                <w:color w:val="auto"/>
              </w:rPr>
            </w:pPr>
          </w:p>
        </w:tc>
        <w:tc>
          <w:tcPr>
            <w:tcW w:w="1100" w:type="dxa"/>
            <w:vAlign w:val="bottom"/>
            <w:shd w:val="clear" w:color="auto" w:fill="9492B1"/>
          </w:tcPr>
          <w:p>
            <w:pPr>
              <w:spacing w:after="0"/>
              <w:rPr>
                <w:sz w:val="5"/>
                <w:szCs w:val="5"/>
                <w:color w:val="auto"/>
              </w:rPr>
            </w:pPr>
          </w:p>
        </w:tc>
        <w:tc>
          <w:tcPr>
            <w:tcW w:w="840" w:type="dxa"/>
            <w:vAlign w:val="bottom"/>
            <w:shd w:val="clear" w:color="auto" w:fill="9492B1"/>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720" w:type="dxa"/>
            <w:vAlign w:val="bottom"/>
            <w:tcBorders>
              <w:right w:val="single" w:sz="8" w:color="24356E"/>
            </w:tcBorders>
            <w:shd w:val="clear" w:color="auto" w:fill="24356E"/>
          </w:tcPr>
          <w:p>
            <w:pPr>
              <w:spacing w:after="0"/>
              <w:rPr>
                <w:sz w:val="19"/>
                <w:szCs w:val="19"/>
                <w:color w:val="auto"/>
              </w:rPr>
            </w:pPr>
          </w:p>
        </w:tc>
        <w:tc>
          <w:tcPr>
            <w:tcW w:w="1260" w:type="dxa"/>
            <w:vAlign w:val="bottom"/>
            <w:shd w:val="clear" w:color="auto" w:fill="24356E"/>
          </w:tcPr>
          <w:p>
            <w:pPr>
              <w:jc w:val="right"/>
              <w:spacing w:after="0"/>
              <w:rPr>
                <w:sz w:val="20"/>
                <w:szCs w:val="20"/>
                <w:color w:val="auto"/>
              </w:rPr>
            </w:pPr>
            <w:r>
              <w:rPr>
                <w:rFonts w:ascii="Arial" w:cs="Arial" w:eastAsia="Arial" w:hAnsi="Arial"/>
                <w:sz w:val="14"/>
                <w:szCs w:val="14"/>
                <w:b w:val="1"/>
                <w:bCs w:val="1"/>
                <w:color w:val="FFFFFF"/>
              </w:rPr>
              <w:t>Number of</w:t>
            </w:r>
          </w:p>
        </w:tc>
        <w:tc>
          <w:tcPr>
            <w:tcW w:w="2260" w:type="dxa"/>
            <w:vAlign w:val="bottom"/>
            <w:shd w:val="clear" w:color="auto" w:fill="24356E"/>
          </w:tcPr>
          <w:p>
            <w:pPr>
              <w:spacing w:after="0"/>
              <w:rPr>
                <w:sz w:val="19"/>
                <w:szCs w:val="19"/>
                <w:color w:val="auto"/>
              </w:rPr>
            </w:pPr>
          </w:p>
        </w:tc>
        <w:tc>
          <w:tcPr>
            <w:tcW w:w="1220" w:type="dxa"/>
            <w:vAlign w:val="bottom"/>
            <w:shd w:val="clear" w:color="auto" w:fill="24356E"/>
          </w:tcPr>
          <w:p>
            <w:pPr>
              <w:jc w:val="right"/>
              <w:spacing w:after="0"/>
              <w:rPr>
                <w:sz w:val="20"/>
                <w:szCs w:val="20"/>
                <w:color w:val="auto"/>
              </w:rPr>
            </w:pPr>
            <w:r>
              <w:rPr>
                <w:rFonts w:ascii="Arial" w:cs="Arial" w:eastAsia="Arial" w:hAnsi="Arial"/>
                <w:sz w:val="14"/>
                <w:szCs w:val="14"/>
                <w:b w:val="1"/>
                <w:bCs w:val="1"/>
                <w:color w:val="FFFFFF"/>
              </w:rPr>
              <w:t>Number of</w:t>
            </w:r>
          </w:p>
        </w:tc>
        <w:tc>
          <w:tcPr>
            <w:tcW w:w="1100" w:type="dxa"/>
            <w:vAlign w:val="bottom"/>
            <w:shd w:val="clear" w:color="auto" w:fill="24356E"/>
          </w:tcPr>
          <w:p>
            <w:pPr>
              <w:spacing w:after="0"/>
              <w:rPr>
                <w:sz w:val="19"/>
                <w:szCs w:val="19"/>
                <w:color w:val="auto"/>
              </w:rPr>
            </w:pPr>
          </w:p>
        </w:tc>
        <w:tc>
          <w:tcPr>
            <w:tcW w:w="840" w:type="dxa"/>
            <w:vAlign w:val="bottom"/>
            <w:shd w:val="clear" w:color="auto" w:fill="24356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720" w:type="dxa"/>
            <w:vAlign w:val="bottom"/>
            <w:tcBorders>
              <w:right w:val="single" w:sz="8" w:color="24356E"/>
            </w:tcBorders>
            <w:shd w:val="clear" w:color="auto" w:fill="24356E"/>
          </w:tcPr>
          <w:p>
            <w:pPr>
              <w:spacing w:after="0"/>
              <w:rPr>
                <w:sz w:val="14"/>
                <w:szCs w:val="14"/>
                <w:color w:val="auto"/>
              </w:rPr>
            </w:pPr>
          </w:p>
        </w:tc>
        <w:tc>
          <w:tcPr>
            <w:tcW w:w="1260" w:type="dxa"/>
            <w:vAlign w:val="bottom"/>
            <w:shd w:val="clear" w:color="auto" w:fill="24356E"/>
          </w:tcPr>
          <w:p>
            <w:pPr>
              <w:jc w:val="right"/>
              <w:spacing w:after="0"/>
              <w:rPr>
                <w:sz w:val="20"/>
                <w:szCs w:val="20"/>
                <w:color w:val="auto"/>
              </w:rPr>
            </w:pPr>
            <w:r>
              <w:rPr>
                <w:rFonts w:ascii="Arial" w:cs="Arial" w:eastAsia="Arial" w:hAnsi="Arial"/>
                <w:sz w:val="14"/>
                <w:szCs w:val="14"/>
                <w:b w:val="1"/>
                <w:bCs w:val="1"/>
                <w:color w:val="FFFFFF"/>
              </w:rPr>
              <w:t>Shares</w:t>
            </w:r>
          </w:p>
        </w:tc>
        <w:tc>
          <w:tcPr>
            <w:tcW w:w="2260" w:type="dxa"/>
            <w:vAlign w:val="bottom"/>
            <w:vMerge w:val="restart"/>
            <w:shd w:val="clear" w:color="auto" w:fill="24356E"/>
          </w:tcPr>
          <w:p>
            <w:pPr>
              <w:jc w:val="right"/>
              <w:ind w:right="368"/>
              <w:spacing w:after="0"/>
              <w:rPr>
                <w:sz w:val="20"/>
                <w:szCs w:val="20"/>
                <w:color w:val="auto"/>
              </w:rPr>
            </w:pPr>
            <w:r>
              <w:rPr>
                <w:rFonts w:ascii="Arial" w:cs="Arial" w:eastAsia="Arial" w:hAnsi="Arial"/>
                <w:sz w:val="14"/>
                <w:szCs w:val="14"/>
                <w:b w:val="1"/>
                <w:bCs w:val="1"/>
                <w:color w:val="FFFFFF"/>
              </w:rPr>
              <w:t>Value Realized</w:t>
            </w:r>
          </w:p>
        </w:tc>
        <w:tc>
          <w:tcPr>
            <w:tcW w:w="1220" w:type="dxa"/>
            <w:vAlign w:val="bottom"/>
            <w:shd w:val="clear" w:color="auto" w:fill="24356E"/>
          </w:tcPr>
          <w:p>
            <w:pPr>
              <w:jc w:val="right"/>
              <w:spacing w:after="0"/>
              <w:rPr>
                <w:sz w:val="20"/>
                <w:szCs w:val="20"/>
                <w:color w:val="auto"/>
              </w:rPr>
            </w:pPr>
            <w:r>
              <w:rPr>
                <w:rFonts w:ascii="Arial" w:cs="Arial" w:eastAsia="Arial" w:hAnsi="Arial"/>
                <w:sz w:val="14"/>
                <w:szCs w:val="14"/>
                <w:b w:val="1"/>
                <w:bCs w:val="1"/>
                <w:color w:val="FFFFFF"/>
              </w:rPr>
              <w:t>Shares</w:t>
            </w:r>
          </w:p>
        </w:tc>
        <w:tc>
          <w:tcPr>
            <w:tcW w:w="1940" w:type="dxa"/>
            <w:vAlign w:val="bottom"/>
            <w:gridSpan w:val="2"/>
            <w:vMerge w:val="restart"/>
            <w:shd w:val="clear" w:color="auto" w:fill="24356E"/>
          </w:tcPr>
          <w:p>
            <w:pPr>
              <w:jc w:val="right"/>
              <w:ind w:right="88"/>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144"/>
        </w:trPr>
        <w:tc>
          <w:tcPr>
            <w:tcW w:w="2720" w:type="dxa"/>
            <w:vAlign w:val="bottom"/>
            <w:tcBorders>
              <w:right w:val="single" w:sz="8" w:color="24356E"/>
            </w:tcBorders>
            <w:shd w:val="clear" w:color="auto" w:fill="24356E"/>
          </w:tcPr>
          <w:p>
            <w:pPr>
              <w:spacing w:after="0"/>
              <w:rPr>
                <w:sz w:val="12"/>
                <w:szCs w:val="12"/>
                <w:color w:val="auto"/>
              </w:rPr>
            </w:pPr>
          </w:p>
        </w:tc>
        <w:tc>
          <w:tcPr>
            <w:tcW w:w="1260" w:type="dxa"/>
            <w:vAlign w:val="bottom"/>
            <w:shd w:val="clear" w:color="auto" w:fill="24356E"/>
          </w:tcPr>
          <w:p>
            <w:pPr>
              <w:jc w:val="right"/>
              <w:spacing w:after="0" w:line="145" w:lineRule="exact"/>
              <w:rPr>
                <w:sz w:val="20"/>
                <w:szCs w:val="20"/>
                <w:color w:val="auto"/>
              </w:rPr>
            </w:pPr>
            <w:r>
              <w:rPr>
                <w:rFonts w:ascii="Arial" w:cs="Arial" w:eastAsia="Arial" w:hAnsi="Arial"/>
                <w:sz w:val="14"/>
                <w:szCs w:val="14"/>
                <w:b w:val="1"/>
                <w:bCs w:val="1"/>
                <w:color w:val="FFFFFF"/>
              </w:rPr>
              <w:t>Acquired</w:t>
            </w:r>
          </w:p>
        </w:tc>
        <w:tc>
          <w:tcPr>
            <w:tcW w:w="2260" w:type="dxa"/>
            <w:vAlign w:val="bottom"/>
            <w:vMerge w:val="continue"/>
            <w:shd w:val="clear" w:color="auto" w:fill="24356E"/>
          </w:tcPr>
          <w:p>
            <w:pPr>
              <w:spacing w:after="0"/>
              <w:rPr>
                <w:sz w:val="12"/>
                <w:szCs w:val="12"/>
                <w:color w:val="auto"/>
              </w:rPr>
            </w:pPr>
          </w:p>
        </w:tc>
        <w:tc>
          <w:tcPr>
            <w:tcW w:w="1220" w:type="dxa"/>
            <w:vAlign w:val="bottom"/>
            <w:shd w:val="clear" w:color="auto" w:fill="24356E"/>
          </w:tcPr>
          <w:p>
            <w:pPr>
              <w:jc w:val="right"/>
              <w:spacing w:after="0" w:line="145" w:lineRule="exact"/>
              <w:rPr>
                <w:sz w:val="20"/>
                <w:szCs w:val="20"/>
                <w:color w:val="auto"/>
              </w:rPr>
            </w:pPr>
            <w:r>
              <w:rPr>
                <w:rFonts w:ascii="Arial" w:cs="Arial" w:eastAsia="Arial" w:hAnsi="Arial"/>
                <w:sz w:val="14"/>
                <w:szCs w:val="14"/>
                <w:b w:val="1"/>
                <w:bCs w:val="1"/>
                <w:color w:val="FFFFFF"/>
              </w:rPr>
              <w:t>Acquired</w:t>
            </w:r>
          </w:p>
        </w:tc>
        <w:tc>
          <w:tcPr>
            <w:tcW w:w="1940" w:type="dxa"/>
            <w:vAlign w:val="bottom"/>
            <w:gridSpan w:val="2"/>
            <w:vMerge w:val="continue"/>
            <w:shd w:val="clear" w:color="auto" w:fill="24356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Borders>
              <w:right w:val="single" w:sz="8" w:color="24356E"/>
            </w:tcBorders>
            <w:shd w:val="clear" w:color="auto" w:fill="24356E"/>
          </w:tcPr>
          <w:p>
            <w:pPr>
              <w:spacing w:after="0"/>
              <w:rPr>
                <w:sz w:val="14"/>
                <w:szCs w:val="14"/>
                <w:color w:val="auto"/>
              </w:rPr>
            </w:pPr>
          </w:p>
        </w:tc>
        <w:tc>
          <w:tcPr>
            <w:tcW w:w="1260" w:type="dxa"/>
            <w:vAlign w:val="bottom"/>
            <w:shd w:val="clear" w:color="auto" w:fill="24356E"/>
          </w:tcPr>
          <w:p>
            <w:pPr>
              <w:jc w:val="right"/>
              <w:spacing w:after="0"/>
              <w:rPr>
                <w:sz w:val="20"/>
                <w:szCs w:val="20"/>
                <w:color w:val="auto"/>
              </w:rPr>
            </w:pPr>
            <w:r>
              <w:rPr>
                <w:rFonts w:ascii="Arial" w:cs="Arial" w:eastAsia="Arial" w:hAnsi="Arial"/>
                <w:sz w:val="14"/>
                <w:szCs w:val="14"/>
                <w:b w:val="1"/>
                <w:bCs w:val="1"/>
                <w:color w:val="FFFFFF"/>
              </w:rPr>
              <w:t>on Exercise</w:t>
            </w:r>
          </w:p>
        </w:tc>
        <w:tc>
          <w:tcPr>
            <w:tcW w:w="2260" w:type="dxa"/>
            <w:vAlign w:val="bottom"/>
            <w:shd w:val="clear" w:color="auto" w:fill="24356E"/>
          </w:tcPr>
          <w:p>
            <w:pPr>
              <w:jc w:val="right"/>
              <w:ind w:right="368"/>
              <w:spacing w:after="0"/>
              <w:rPr>
                <w:sz w:val="20"/>
                <w:szCs w:val="20"/>
                <w:color w:val="auto"/>
              </w:rPr>
            </w:pPr>
            <w:r>
              <w:rPr>
                <w:rFonts w:ascii="Arial" w:cs="Arial" w:eastAsia="Arial" w:hAnsi="Arial"/>
                <w:sz w:val="14"/>
                <w:szCs w:val="14"/>
                <w:b w:val="1"/>
                <w:bCs w:val="1"/>
                <w:color w:val="FFFFFF"/>
              </w:rPr>
              <w:t>on Exercise</w:t>
            </w:r>
          </w:p>
        </w:tc>
        <w:tc>
          <w:tcPr>
            <w:tcW w:w="1220" w:type="dxa"/>
            <w:vAlign w:val="bottom"/>
            <w:shd w:val="clear" w:color="auto" w:fill="24356E"/>
          </w:tcPr>
          <w:p>
            <w:pPr>
              <w:jc w:val="right"/>
              <w:spacing w:after="0"/>
              <w:rPr>
                <w:sz w:val="20"/>
                <w:szCs w:val="20"/>
                <w:color w:val="auto"/>
              </w:rPr>
            </w:pPr>
            <w:r>
              <w:rPr>
                <w:rFonts w:ascii="Arial" w:cs="Arial" w:eastAsia="Arial" w:hAnsi="Arial"/>
                <w:sz w:val="14"/>
                <w:szCs w:val="14"/>
                <w:b w:val="1"/>
                <w:bCs w:val="1"/>
                <w:color w:val="FFFFFF"/>
              </w:rPr>
              <w:t>on Vesting</w:t>
            </w:r>
          </w:p>
        </w:tc>
        <w:tc>
          <w:tcPr>
            <w:tcW w:w="1940" w:type="dxa"/>
            <w:vAlign w:val="bottom"/>
            <w:gridSpan w:val="2"/>
            <w:shd w:val="clear" w:color="auto" w:fill="24356E"/>
          </w:tcPr>
          <w:p>
            <w:pPr>
              <w:jc w:val="right"/>
              <w:ind w:right="88"/>
              <w:spacing w:after="0"/>
              <w:rPr>
                <w:sz w:val="20"/>
                <w:szCs w:val="20"/>
                <w:color w:val="auto"/>
              </w:rPr>
            </w:pPr>
            <w:r>
              <w:rPr>
                <w:rFonts w:ascii="Arial" w:cs="Arial" w:eastAsia="Arial" w:hAnsi="Arial"/>
                <w:sz w:val="14"/>
                <w:szCs w:val="14"/>
                <w:b w:val="1"/>
                <w:bCs w:val="1"/>
                <w:color w:val="FFFFFF"/>
              </w:rPr>
              <w:t>on Vesting</w:t>
            </w:r>
          </w:p>
        </w:tc>
        <w:tc>
          <w:tcPr>
            <w:tcW w:w="0" w:type="dxa"/>
            <w:vAlign w:val="bottom"/>
          </w:tcPr>
          <w:p>
            <w:pPr>
              <w:spacing w:after="0"/>
              <w:rPr>
                <w:sz w:val="1"/>
                <w:szCs w:val="1"/>
                <w:color w:val="auto"/>
              </w:rPr>
            </w:pPr>
          </w:p>
        </w:tc>
      </w:tr>
      <w:tr>
        <w:trPr>
          <w:trHeight w:val="270"/>
        </w:trPr>
        <w:tc>
          <w:tcPr>
            <w:tcW w:w="2720" w:type="dxa"/>
            <w:vAlign w:val="bottom"/>
            <w:tcBorders>
              <w:right w:val="single" w:sz="8" w:color="24356E"/>
            </w:tcBorders>
            <w:shd w:val="clear" w:color="auto" w:fill="24356E"/>
          </w:tcPr>
          <w:p>
            <w:pPr>
              <w:ind w:left="260"/>
              <w:spacing w:after="0"/>
              <w:rPr>
                <w:sz w:val="20"/>
                <w:szCs w:val="20"/>
                <w:color w:val="auto"/>
              </w:rPr>
            </w:pPr>
            <w:r>
              <w:rPr>
                <w:rFonts w:ascii="Arial" w:cs="Arial" w:eastAsia="Arial" w:hAnsi="Arial"/>
                <w:sz w:val="14"/>
                <w:szCs w:val="14"/>
                <w:b w:val="1"/>
                <w:bCs w:val="1"/>
                <w:color w:val="FFFFFF"/>
              </w:rPr>
              <w:t>Name</w:t>
            </w:r>
          </w:p>
        </w:tc>
        <w:tc>
          <w:tcPr>
            <w:tcW w:w="1260" w:type="dxa"/>
            <w:vAlign w:val="bottom"/>
            <w:shd w:val="clear" w:color="auto" w:fill="24356E"/>
          </w:tcPr>
          <w:p>
            <w:pPr>
              <w:jc w:val="right"/>
              <w:spacing w:after="0"/>
              <w:rPr>
                <w:sz w:val="20"/>
                <w:szCs w:val="20"/>
                <w:color w:val="auto"/>
              </w:rPr>
            </w:pPr>
            <w:r>
              <w:rPr>
                <w:rFonts w:ascii="Arial" w:cs="Arial" w:eastAsia="Arial" w:hAnsi="Arial"/>
                <w:sz w:val="14"/>
                <w:szCs w:val="14"/>
                <w:b w:val="1"/>
                <w:bCs w:val="1"/>
                <w:color w:val="FFFFFF"/>
              </w:rPr>
              <w:t>(#)</w:t>
            </w:r>
          </w:p>
        </w:tc>
        <w:tc>
          <w:tcPr>
            <w:tcW w:w="2260" w:type="dxa"/>
            <w:vAlign w:val="bottom"/>
            <w:shd w:val="clear" w:color="auto" w:fill="24356E"/>
          </w:tcPr>
          <w:p>
            <w:pPr>
              <w:jc w:val="right"/>
              <w:ind w:right="3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220" w:type="dxa"/>
            <w:vAlign w:val="bottom"/>
            <w:shd w:val="clear" w:color="auto" w:fill="24356E"/>
          </w:tcPr>
          <w:p>
            <w:pPr>
              <w:jc w:val="right"/>
              <w:ind w:right="28"/>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24356E"/>
          </w:tcPr>
          <w:p>
            <w:pPr>
              <w:spacing w:after="0"/>
              <w:rPr>
                <w:sz w:val="23"/>
                <w:szCs w:val="23"/>
                <w:color w:val="auto"/>
              </w:rPr>
            </w:pPr>
          </w:p>
        </w:tc>
        <w:tc>
          <w:tcPr>
            <w:tcW w:w="840" w:type="dxa"/>
            <w:vAlign w:val="bottom"/>
            <w:shd w:val="clear" w:color="auto" w:fill="24356E"/>
          </w:tcPr>
          <w:p>
            <w:pPr>
              <w:jc w:val="right"/>
              <w:ind w:right="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0" w:type="dxa"/>
            <w:vAlign w:val="bottom"/>
          </w:tcPr>
          <w:p>
            <w:pPr>
              <w:spacing w:after="0"/>
              <w:rPr>
                <w:sz w:val="1"/>
                <w:szCs w:val="1"/>
                <w:color w:val="auto"/>
              </w:rPr>
            </w:pPr>
          </w:p>
        </w:tc>
      </w:tr>
      <w:tr>
        <w:trPr>
          <w:trHeight w:val="254"/>
        </w:trPr>
        <w:tc>
          <w:tcPr>
            <w:tcW w:w="2720" w:type="dxa"/>
            <w:vAlign w:val="bottom"/>
          </w:tcPr>
          <w:p>
            <w:pPr>
              <w:ind w:left="260"/>
              <w:spacing w:after="0"/>
              <w:rPr>
                <w:sz w:val="20"/>
                <w:szCs w:val="20"/>
                <w:color w:val="auto"/>
              </w:rPr>
            </w:pPr>
            <w:r>
              <w:rPr>
                <w:rFonts w:ascii="Arial" w:cs="Arial" w:eastAsia="Arial" w:hAnsi="Arial"/>
                <w:sz w:val="14"/>
                <w:szCs w:val="14"/>
                <w:b w:val="1"/>
                <w:bCs w:val="1"/>
                <w:color w:val="auto"/>
              </w:rPr>
              <w:t>Michael Egholm, Ph.D.</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533,638</w:t>
            </w:r>
          </w:p>
        </w:tc>
        <w:tc>
          <w:tcPr>
            <w:tcW w:w="1940" w:type="dxa"/>
            <w:vAlign w:val="bottom"/>
            <w:gridSpan w:val="2"/>
          </w:tcPr>
          <w:p>
            <w:pPr>
              <w:jc w:val="right"/>
              <w:ind w:right="188"/>
              <w:spacing w:after="0"/>
              <w:rPr>
                <w:sz w:val="20"/>
                <w:szCs w:val="20"/>
                <w:color w:val="auto"/>
              </w:rPr>
            </w:pPr>
            <w:r>
              <w:rPr>
                <w:rFonts w:ascii="Arial" w:cs="Arial" w:eastAsia="Arial" w:hAnsi="Arial"/>
                <w:sz w:val="14"/>
                <w:szCs w:val="14"/>
                <w:color w:val="auto"/>
              </w:rPr>
              <w:t>$1,311,333</w:t>
            </w:r>
          </w:p>
        </w:tc>
        <w:tc>
          <w:tcPr>
            <w:tcW w:w="0" w:type="dxa"/>
            <w:vAlign w:val="bottom"/>
          </w:tcPr>
          <w:p>
            <w:pPr>
              <w:spacing w:after="0"/>
              <w:rPr>
                <w:sz w:val="1"/>
                <w:szCs w:val="1"/>
                <w:color w:val="auto"/>
              </w:rPr>
            </w:pPr>
          </w:p>
        </w:tc>
      </w:tr>
      <w:tr>
        <w:trPr>
          <w:trHeight w:val="43"/>
        </w:trPr>
        <w:tc>
          <w:tcPr>
            <w:tcW w:w="2720" w:type="dxa"/>
            <w:vAlign w:val="bottom"/>
            <w:tcBorders>
              <w:bottom w:val="single" w:sz="8" w:color="666666"/>
            </w:tcBorders>
          </w:tcPr>
          <w:p>
            <w:pPr>
              <w:spacing w:after="0"/>
              <w:rPr>
                <w:sz w:val="3"/>
                <w:szCs w:val="3"/>
                <w:color w:val="auto"/>
              </w:rPr>
            </w:pPr>
          </w:p>
        </w:tc>
        <w:tc>
          <w:tcPr>
            <w:tcW w:w="1260" w:type="dxa"/>
            <w:vAlign w:val="bottom"/>
            <w:tcBorders>
              <w:bottom w:val="single" w:sz="8" w:color="666666"/>
            </w:tcBorders>
          </w:tcPr>
          <w:p>
            <w:pPr>
              <w:spacing w:after="0"/>
              <w:rPr>
                <w:sz w:val="3"/>
                <w:szCs w:val="3"/>
                <w:color w:val="auto"/>
              </w:rPr>
            </w:pPr>
          </w:p>
        </w:tc>
        <w:tc>
          <w:tcPr>
            <w:tcW w:w="2260" w:type="dxa"/>
            <w:vAlign w:val="bottom"/>
            <w:tcBorders>
              <w:bottom w:val="single" w:sz="8" w:color="666666"/>
            </w:tcBorders>
          </w:tcPr>
          <w:p>
            <w:pPr>
              <w:spacing w:after="0"/>
              <w:rPr>
                <w:sz w:val="3"/>
                <w:szCs w:val="3"/>
                <w:color w:val="auto"/>
              </w:rPr>
            </w:pPr>
          </w:p>
        </w:tc>
        <w:tc>
          <w:tcPr>
            <w:tcW w:w="1220" w:type="dxa"/>
            <w:vAlign w:val="bottom"/>
            <w:tcBorders>
              <w:bottom w:val="single" w:sz="8" w:color="666666"/>
            </w:tcBorders>
          </w:tcPr>
          <w:p>
            <w:pPr>
              <w:spacing w:after="0"/>
              <w:rPr>
                <w:sz w:val="3"/>
                <w:szCs w:val="3"/>
                <w:color w:val="auto"/>
              </w:rPr>
            </w:pPr>
          </w:p>
        </w:tc>
        <w:tc>
          <w:tcPr>
            <w:tcW w:w="1100" w:type="dxa"/>
            <w:vAlign w:val="bottom"/>
            <w:tcBorders>
              <w:bottom w:val="single" w:sz="8" w:color="666666"/>
            </w:tcBorders>
          </w:tcPr>
          <w:p>
            <w:pPr>
              <w:spacing w:after="0"/>
              <w:rPr>
                <w:sz w:val="3"/>
                <w:szCs w:val="3"/>
                <w:color w:val="auto"/>
              </w:rPr>
            </w:pPr>
          </w:p>
        </w:tc>
        <w:tc>
          <w:tcPr>
            <w:tcW w:w="84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720" w:type="dxa"/>
            <w:vAlign w:val="bottom"/>
          </w:tcPr>
          <w:p>
            <w:pPr>
              <w:ind w:left="260"/>
              <w:spacing w:after="0"/>
              <w:rPr>
                <w:sz w:val="20"/>
                <w:szCs w:val="20"/>
                <w:color w:val="auto"/>
              </w:rPr>
            </w:pPr>
            <w:r>
              <w:rPr>
                <w:rFonts w:ascii="Arial" w:cs="Arial" w:eastAsia="Arial" w:hAnsi="Arial"/>
                <w:sz w:val="14"/>
                <w:szCs w:val="14"/>
                <w:b w:val="1"/>
                <w:bCs w:val="1"/>
                <w:color w:val="auto"/>
              </w:rPr>
              <w:t>Alex Kim</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182,551</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449,538</w:t>
            </w:r>
          </w:p>
        </w:tc>
        <w:tc>
          <w:tcPr>
            <w:tcW w:w="0" w:type="dxa"/>
            <w:vAlign w:val="bottom"/>
          </w:tcPr>
          <w:p>
            <w:pPr>
              <w:spacing w:after="0"/>
              <w:rPr>
                <w:sz w:val="1"/>
                <w:szCs w:val="1"/>
                <w:color w:val="auto"/>
              </w:rPr>
            </w:pPr>
          </w:p>
        </w:tc>
      </w:tr>
      <w:tr>
        <w:trPr>
          <w:trHeight w:val="43"/>
        </w:trPr>
        <w:tc>
          <w:tcPr>
            <w:tcW w:w="2720" w:type="dxa"/>
            <w:vAlign w:val="bottom"/>
            <w:tcBorders>
              <w:bottom w:val="single" w:sz="8" w:color="666666"/>
            </w:tcBorders>
          </w:tcPr>
          <w:p>
            <w:pPr>
              <w:spacing w:after="0"/>
              <w:rPr>
                <w:sz w:val="3"/>
                <w:szCs w:val="3"/>
                <w:color w:val="auto"/>
              </w:rPr>
            </w:pPr>
          </w:p>
        </w:tc>
        <w:tc>
          <w:tcPr>
            <w:tcW w:w="1260" w:type="dxa"/>
            <w:vAlign w:val="bottom"/>
            <w:tcBorders>
              <w:bottom w:val="single" w:sz="8" w:color="666666"/>
            </w:tcBorders>
          </w:tcPr>
          <w:p>
            <w:pPr>
              <w:spacing w:after="0"/>
              <w:rPr>
                <w:sz w:val="3"/>
                <w:szCs w:val="3"/>
                <w:color w:val="auto"/>
              </w:rPr>
            </w:pPr>
          </w:p>
        </w:tc>
        <w:tc>
          <w:tcPr>
            <w:tcW w:w="2260" w:type="dxa"/>
            <w:vAlign w:val="bottom"/>
            <w:tcBorders>
              <w:bottom w:val="single" w:sz="8" w:color="666666"/>
            </w:tcBorders>
          </w:tcPr>
          <w:p>
            <w:pPr>
              <w:spacing w:after="0"/>
              <w:rPr>
                <w:sz w:val="3"/>
                <w:szCs w:val="3"/>
                <w:color w:val="auto"/>
              </w:rPr>
            </w:pPr>
          </w:p>
        </w:tc>
        <w:tc>
          <w:tcPr>
            <w:tcW w:w="1220" w:type="dxa"/>
            <w:vAlign w:val="bottom"/>
            <w:tcBorders>
              <w:bottom w:val="single" w:sz="8" w:color="666666"/>
            </w:tcBorders>
          </w:tcPr>
          <w:p>
            <w:pPr>
              <w:spacing w:after="0"/>
              <w:rPr>
                <w:sz w:val="3"/>
                <w:szCs w:val="3"/>
                <w:color w:val="auto"/>
              </w:rPr>
            </w:pPr>
          </w:p>
        </w:tc>
        <w:tc>
          <w:tcPr>
            <w:tcW w:w="1100" w:type="dxa"/>
            <w:vAlign w:val="bottom"/>
            <w:tcBorders>
              <w:bottom w:val="single" w:sz="8" w:color="666666"/>
            </w:tcBorders>
          </w:tcPr>
          <w:p>
            <w:pPr>
              <w:spacing w:after="0"/>
              <w:rPr>
                <w:sz w:val="3"/>
                <w:szCs w:val="3"/>
                <w:color w:val="auto"/>
              </w:rPr>
            </w:pPr>
          </w:p>
        </w:tc>
        <w:tc>
          <w:tcPr>
            <w:tcW w:w="84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720" w:type="dxa"/>
            <w:vAlign w:val="bottom"/>
          </w:tcPr>
          <w:p>
            <w:pPr>
              <w:ind w:left="260"/>
              <w:spacing w:after="0"/>
              <w:rPr>
                <w:sz w:val="20"/>
                <w:szCs w:val="20"/>
                <w:color w:val="auto"/>
              </w:rPr>
            </w:pPr>
            <w:r>
              <w:rPr>
                <w:rFonts w:ascii="Arial" w:cs="Arial" w:eastAsia="Arial" w:hAnsi="Arial"/>
                <w:sz w:val="14"/>
                <w:szCs w:val="14"/>
                <w:b w:val="1"/>
                <w:bCs w:val="1"/>
                <w:color w:val="auto"/>
              </w:rPr>
              <w:t>Sean Mackay</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21"/>
                <w:szCs w:val="21"/>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
        </w:trPr>
        <w:tc>
          <w:tcPr>
            <w:tcW w:w="2720" w:type="dxa"/>
            <w:vAlign w:val="bottom"/>
            <w:tcBorders>
              <w:bottom w:val="single" w:sz="8" w:color="666666"/>
            </w:tcBorders>
          </w:tcPr>
          <w:p>
            <w:pPr>
              <w:spacing w:after="0"/>
              <w:rPr>
                <w:sz w:val="3"/>
                <w:szCs w:val="3"/>
                <w:color w:val="auto"/>
              </w:rPr>
            </w:pPr>
          </w:p>
        </w:tc>
        <w:tc>
          <w:tcPr>
            <w:tcW w:w="1260" w:type="dxa"/>
            <w:vAlign w:val="bottom"/>
            <w:tcBorders>
              <w:bottom w:val="single" w:sz="8" w:color="666666"/>
            </w:tcBorders>
          </w:tcPr>
          <w:p>
            <w:pPr>
              <w:spacing w:after="0"/>
              <w:rPr>
                <w:sz w:val="3"/>
                <w:szCs w:val="3"/>
                <w:color w:val="auto"/>
              </w:rPr>
            </w:pPr>
          </w:p>
        </w:tc>
        <w:tc>
          <w:tcPr>
            <w:tcW w:w="2260" w:type="dxa"/>
            <w:vAlign w:val="bottom"/>
            <w:tcBorders>
              <w:bottom w:val="single" w:sz="8" w:color="666666"/>
            </w:tcBorders>
          </w:tcPr>
          <w:p>
            <w:pPr>
              <w:spacing w:after="0"/>
              <w:rPr>
                <w:sz w:val="3"/>
                <w:szCs w:val="3"/>
                <w:color w:val="auto"/>
              </w:rPr>
            </w:pPr>
          </w:p>
        </w:tc>
        <w:tc>
          <w:tcPr>
            <w:tcW w:w="1220" w:type="dxa"/>
            <w:vAlign w:val="bottom"/>
            <w:tcBorders>
              <w:bottom w:val="single" w:sz="8" w:color="666666"/>
            </w:tcBorders>
          </w:tcPr>
          <w:p>
            <w:pPr>
              <w:spacing w:after="0"/>
              <w:rPr>
                <w:sz w:val="3"/>
                <w:szCs w:val="3"/>
                <w:color w:val="auto"/>
              </w:rPr>
            </w:pPr>
          </w:p>
        </w:tc>
        <w:tc>
          <w:tcPr>
            <w:tcW w:w="1100" w:type="dxa"/>
            <w:vAlign w:val="bottom"/>
            <w:tcBorders>
              <w:bottom w:val="single" w:sz="8" w:color="666666"/>
            </w:tcBorders>
          </w:tcPr>
          <w:p>
            <w:pPr>
              <w:spacing w:after="0"/>
              <w:rPr>
                <w:sz w:val="3"/>
                <w:szCs w:val="3"/>
                <w:color w:val="auto"/>
              </w:rPr>
            </w:pPr>
          </w:p>
        </w:tc>
        <w:tc>
          <w:tcPr>
            <w:tcW w:w="84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720" w:type="dxa"/>
            <w:vAlign w:val="bottom"/>
          </w:tcPr>
          <w:p>
            <w:pPr>
              <w:ind w:left="260"/>
              <w:spacing w:after="0"/>
              <w:rPr>
                <w:sz w:val="20"/>
                <w:szCs w:val="20"/>
                <w:color w:val="auto"/>
              </w:rPr>
            </w:pPr>
            <w:r>
              <w:rPr>
                <w:rFonts w:ascii="Arial" w:cs="Arial" w:eastAsia="Arial" w:hAnsi="Arial"/>
                <w:sz w:val="14"/>
                <w:szCs w:val="14"/>
                <w:b w:val="1"/>
                <w:bCs w:val="1"/>
                <w:color w:val="auto"/>
              </w:rPr>
              <w:t>Jeffrey Black</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125,003</w:t>
            </w:r>
          </w:p>
        </w:tc>
        <w:tc>
          <w:tcPr>
            <w:tcW w:w="2260" w:type="dxa"/>
            <w:vAlign w:val="bottom"/>
          </w:tcPr>
          <w:p>
            <w:pPr>
              <w:jc w:val="right"/>
              <w:ind w:right="448"/>
              <w:spacing w:after="0"/>
              <w:rPr>
                <w:sz w:val="20"/>
                <w:szCs w:val="20"/>
                <w:color w:val="auto"/>
              </w:rPr>
            </w:pPr>
            <w:r>
              <w:rPr>
                <w:rFonts w:ascii="Arial" w:cs="Arial" w:eastAsia="Arial" w:hAnsi="Arial"/>
                <w:sz w:val="14"/>
                <w:szCs w:val="14"/>
                <w:color w:val="auto"/>
              </w:rPr>
              <w:t>$35,001</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84,538</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189,889</w:t>
            </w:r>
          </w:p>
        </w:tc>
        <w:tc>
          <w:tcPr>
            <w:tcW w:w="0" w:type="dxa"/>
            <w:vAlign w:val="bottom"/>
          </w:tcPr>
          <w:p>
            <w:pPr>
              <w:spacing w:after="0"/>
              <w:rPr>
                <w:sz w:val="1"/>
                <w:szCs w:val="1"/>
                <w:color w:val="auto"/>
              </w:rPr>
            </w:pPr>
          </w:p>
        </w:tc>
      </w:tr>
      <w:tr>
        <w:trPr>
          <w:trHeight w:val="70"/>
        </w:trPr>
        <w:tc>
          <w:tcPr>
            <w:tcW w:w="2720" w:type="dxa"/>
            <w:vAlign w:val="bottom"/>
            <w:tcBorders>
              <w:bottom w:val="single" w:sz="8" w:color="24356E"/>
            </w:tcBorders>
          </w:tcPr>
          <w:p>
            <w:pPr>
              <w:spacing w:after="0"/>
              <w:rPr>
                <w:sz w:val="6"/>
                <w:szCs w:val="6"/>
                <w:color w:val="auto"/>
              </w:rPr>
            </w:pPr>
          </w:p>
        </w:tc>
        <w:tc>
          <w:tcPr>
            <w:tcW w:w="1260" w:type="dxa"/>
            <w:vAlign w:val="bottom"/>
            <w:tcBorders>
              <w:bottom w:val="single" w:sz="8" w:color="24356E"/>
            </w:tcBorders>
          </w:tcPr>
          <w:p>
            <w:pPr>
              <w:spacing w:after="0"/>
              <w:rPr>
                <w:sz w:val="6"/>
                <w:szCs w:val="6"/>
                <w:color w:val="auto"/>
              </w:rPr>
            </w:pPr>
          </w:p>
        </w:tc>
        <w:tc>
          <w:tcPr>
            <w:tcW w:w="2260" w:type="dxa"/>
            <w:vAlign w:val="bottom"/>
            <w:tcBorders>
              <w:bottom w:val="single" w:sz="8" w:color="24356E"/>
            </w:tcBorders>
          </w:tcPr>
          <w:p>
            <w:pPr>
              <w:spacing w:after="0"/>
              <w:rPr>
                <w:sz w:val="6"/>
                <w:szCs w:val="6"/>
                <w:color w:val="auto"/>
              </w:rPr>
            </w:pPr>
          </w:p>
        </w:tc>
        <w:tc>
          <w:tcPr>
            <w:tcW w:w="1220" w:type="dxa"/>
            <w:vAlign w:val="bottom"/>
            <w:tcBorders>
              <w:bottom w:val="single" w:sz="8" w:color="24356E"/>
            </w:tcBorders>
          </w:tcPr>
          <w:p>
            <w:pPr>
              <w:spacing w:after="0"/>
              <w:rPr>
                <w:sz w:val="6"/>
                <w:szCs w:val="6"/>
                <w:color w:val="auto"/>
              </w:rPr>
            </w:pPr>
          </w:p>
        </w:tc>
        <w:tc>
          <w:tcPr>
            <w:tcW w:w="1100" w:type="dxa"/>
            <w:vAlign w:val="bottom"/>
            <w:tcBorders>
              <w:bottom w:val="single" w:sz="8" w:color="24356E"/>
            </w:tcBorders>
          </w:tcPr>
          <w:p>
            <w:pPr>
              <w:spacing w:after="0"/>
              <w:rPr>
                <w:sz w:val="6"/>
                <w:szCs w:val="6"/>
                <w:color w:val="auto"/>
              </w:rPr>
            </w:pPr>
          </w:p>
        </w:tc>
        <w:tc>
          <w:tcPr>
            <w:tcW w:w="840" w:type="dxa"/>
            <w:vAlign w:val="bottom"/>
            <w:tcBorders>
              <w:bottom w:val="single" w:sz="8" w:color="24356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60" w:right="60" w:hanging="354"/>
        <w:spacing w:after="0" w:line="231" w:lineRule="auto"/>
        <w:tabs>
          <w:tab w:leader="none" w:pos="36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Amounts shown in this column do not necessarily represent actual value realized from the sale of the shares acquired upon exercise of options because in many cases the shares are not sold on exercise but continue to be held by the executive officer exercising the option. The amounts shown represent the difference between the option exercise price and the market price on the date of exercise, which is the amount that would have been realized if the shares had been sold immediately upon exercise.</w:t>
      </w:r>
    </w:p>
    <w:p>
      <w:pPr>
        <w:spacing w:after="0" w:line="18" w:lineRule="exact"/>
        <w:rPr>
          <w:rFonts w:ascii="Arial" w:cs="Arial" w:eastAsia="Arial" w:hAnsi="Arial"/>
          <w:sz w:val="13"/>
          <w:szCs w:val="13"/>
          <w:b w:val="1"/>
          <w:bCs w:val="1"/>
          <w:color w:val="auto"/>
        </w:rPr>
      </w:pPr>
    </w:p>
    <w:p>
      <w:pPr>
        <w:ind w:left="360" w:right="260" w:hanging="354"/>
        <w:spacing w:after="0" w:line="252" w:lineRule="auto"/>
        <w:tabs>
          <w:tab w:leader="none" w:pos="36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The value realized is calculated by multiplying the number of vested shares by the closing price of our common stock on the Nasdaq Global Select Market on the applicable vesting date.</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Pension Benefits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333333"/>
        </w:rPr>
        <w:t>We do not have any qualified or non-qualified defined benefit plans.</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Nonqualified Deferred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333333"/>
        </w:rPr>
        <w:t>We do not have any nonqualified defined contribution plans or other deferred compensation plan.</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Employee Benefits</w:t>
      </w:r>
    </w:p>
    <w:p>
      <w:pPr>
        <w:spacing w:after="0" w:line="139"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333333"/>
        </w:rPr>
        <w:t>Our NEOs participate in employee benefit programs available to our employees generally, including medical, vision and dental insurance, a relocation program, and a tax-qualified 401(k) plan.</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Potential Payments Upon Termination or Change of Control</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333333"/>
        </w:rPr>
        <w:t>The following table sets out the estimated potential payments upon termination or a change in control for each of our NEOs, based on the assumptions discussed above and assuming such event occurred on December 31, 2024, the last business day of 2024. In accordance with SEC rules, the potential payments were determined under the terms of our contracts, agreements, plans and arrangements as in effect on December 31, 2024. The tables do not include any previously vested equity awards or accrued benefits. Because the payments to be made to an NEO depend on several factors, the actual amounts to be paid out upon a triggering event can only be determined at the time of the triggering event. Mr. Black resigned from the Company effective as of August 31, 2024 and did not receive any severance in connection with the termination of his employment under his employment agreement, and therefore, is not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8"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39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0000EE"/>
            </w:tcBorders>
          </w:tcPr>
          <w:p>
            <w:pPr>
              <w:spacing w:after="0"/>
              <w:rPr>
                <w:sz w:val="12"/>
                <w:szCs w:val="12"/>
                <w:color w:val="auto"/>
              </w:rPr>
            </w:pPr>
          </w:p>
        </w:tc>
        <w:tc>
          <w:tcPr>
            <w:tcW w:w="1400" w:type="dxa"/>
            <w:vAlign w:val="bottom"/>
            <w:tcBorders>
              <w:top w:val="single" w:sz="8" w:color="0000EE"/>
            </w:tcBorders>
          </w:tcPr>
          <w:p>
            <w:pPr>
              <w:spacing w:after="0"/>
              <w:rPr>
                <w:sz w:val="12"/>
                <w:szCs w:val="12"/>
                <w:color w:val="auto"/>
              </w:rPr>
            </w:pPr>
          </w:p>
        </w:tc>
        <w:tc>
          <w:tcPr>
            <w:tcW w:w="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140" w:type="dxa"/>
            <w:vAlign w:val="bottom"/>
            <w:shd w:val="clear" w:color="auto" w:fill="24356E"/>
          </w:tcPr>
          <w:p>
            <w:pPr>
              <w:spacing w:after="0"/>
              <w:rPr>
                <w:sz w:val="24"/>
                <w:szCs w:val="24"/>
                <w:color w:val="auto"/>
              </w:rPr>
            </w:pPr>
          </w:p>
        </w:tc>
        <w:tc>
          <w:tcPr>
            <w:tcW w:w="1400" w:type="dxa"/>
            <w:vAlign w:val="bottom"/>
            <w:shd w:val="clear" w:color="auto" w:fill="24356E"/>
          </w:tcPr>
          <w:p>
            <w:pPr>
              <w:spacing w:after="0"/>
              <w:rPr>
                <w:sz w:val="24"/>
                <w:szCs w:val="24"/>
                <w:color w:val="auto"/>
              </w:rPr>
            </w:pPr>
          </w:p>
        </w:tc>
        <w:tc>
          <w:tcPr>
            <w:tcW w:w="440" w:type="dxa"/>
            <w:vAlign w:val="bottom"/>
            <w:shd w:val="clear" w:color="auto" w:fill="24356E"/>
          </w:tcPr>
          <w:p>
            <w:pPr>
              <w:spacing w:after="0"/>
              <w:rPr>
                <w:sz w:val="24"/>
                <w:szCs w:val="24"/>
                <w:color w:val="auto"/>
              </w:rPr>
            </w:pPr>
          </w:p>
        </w:tc>
        <w:tc>
          <w:tcPr>
            <w:tcW w:w="2640" w:type="dxa"/>
            <w:vAlign w:val="bottom"/>
            <w:shd w:val="clear" w:color="auto" w:fill="24356E"/>
          </w:tcPr>
          <w:p>
            <w:pPr>
              <w:spacing w:after="0"/>
              <w:rPr>
                <w:sz w:val="24"/>
                <w:szCs w:val="24"/>
                <w:color w:val="auto"/>
              </w:rPr>
            </w:pPr>
          </w:p>
        </w:tc>
        <w:tc>
          <w:tcPr>
            <w:tcW w:w="166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Change in Control</w:t>
            </w:r>
          </w:p>
        </w:tc>
        <w:tc>
          <w:tcPr>
            <w:tcW w:w="1880" w:type="dxa"/>
            <w:vAlign w:val="bottom"/>
            <w:shd w:val="clear" w:color="auto" w:fill="24356E"/>
          </w:tcPr>
          <w:p>
            <w:pPr>
              <w:spacing w:after="0"/>
              <w:rPr>
                <w:sz w:val="24"/>
                <w:szCs w:val="24"/>
                <w:color w:val="auto"/>
              </w:rPr>
            </w:pPr>
          </w:p>
        </w:tc>
        <w:tc>
          <w:tcPr>
            <w:tcW w:w="1240" w:type="dxa"/>
            <w:vAlign w:val="bottom"/>
            <w:shd w:val="clear" w:color="auto" w:fill="24356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24356E"/>
          </w:tcPr>
          <w:p>
            <w:pPr>
              <w:spacing w:after="0"/>
              <w:rPr>
                <w:sz w:val="14"/>
                <w:szCs w:val="14"/>
                <w:color w:val="auto"/>
              </w:rPr>
            </w:pPr>
          </w:p>
        </w:tc>
        <w:tc>
          <w:tcPr>
            <w:tcW w:w="1400" w:type="dxa"/>
            <w:vAlign w:val="bottom"/>
            <w:shd w:val="clear" w:color="auto" w:fill="24356E"/>
          </w:tcPr>
          <w:p>
            <w:pPr>
              <w:spacing w:after="0"/>
              <w:rPr>
                <w:sz w:val="14"/>
                <w:szCs w:val="14"/>
                <w:color w:val="auto"/>
              </w:rPr>
            </w:pPr>
          </w:p>
        </w:tc>
        <w:tc>
          <w:tcPr>
            <w:tcW w:w="440" w:type="dxa"/>
            <w:vAlign w:val="bottom"/>
            <w:shd w:val="clear" w:color="auto" w:fill="24356E"/>
          </w:tcPr>
          <w:p>
            <w:pPr>
              <w:spacing w:after="0"/>
              <w:rPr>
                <w:sz w:val="14"/>
                <w:szCs w:val="14"/>
                <w:color w:val="auto"/>
              </w:rPr>
            </w:pPr>
          </w:p>
        </w:tc>
        <w:tc>
          <w:tcPr>
            <w:tcW w:w="2640" w:type="dxa"/>
            <w:vAlign w:val="bottom"/>
            <w:shd w:val="clear" w:color="auto" w:fill="24356E"/>
          </w:tcPr>
          <w:p>
            <w:pPr>
              <w:spacing w:after="0"/>
              <w:rPr>
                <w:sz w:val="14"/>
                <w:szCs w:val="14"/>
                <w:color w:val="auto"/>
              </w:rPr>
            </w:pPr>
          </w:p>
        </w:tc>
        <w:tc>
          <w:tcPr>
            <w:tcW w:w="166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and Involuntary</w:t>
            </w:r>
          </w:p>
        </w:tc>
        <w:tc>
          <w:tcPr>
            <w:tcW w:w="188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Involuntary</w:t>
            </w:r>
          </w:p>
        </w:tc>
        <w:tc>
          <w:tcPr>
            <w:tcW w:w="1240" w:type="dxa"/>
            <w:vAlign w:val="bottom"/>
            <w:shd w:val="clear" w:color="auto" w:fill="24356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24356E"/>
          </w:tcPr>
          <w:p>
            <w:pPr>
              <w:spacing w:after="0"/>
              <w:rPr>
                <w:sz w:val="14"/>
                <w:szCs w:val="14"/>
                <w:color w:val="auto"/>
              </w:rPr>
            </w:pPr>
          </w:p>
        </w:tc>
        <w:tc>
          <w:tcPr>
            <w:tcW w:w="1400" w:type="dxa"/>
            <w:vAlign w:val="bottom"/>
            <w:shd w:val="clear" w:color="auto" w:fill="24356E"/>
          </w:tcPr>
          <w:p>
            <w:pPr>
              <w:spacing w:after="0"/>
              <w:rPr>
                <w:sz w:val="14"/>
                <w:szCs w:val="14"/>
                <w:color w:val="auto"/>
              </w:rPr>
            </w:pPr>
          </w:p>
        </w:tc>
        <w:tc>
          <w:tcPr>
            <w:tcW w:w="440" w:type="dxa"/>
            <w:vAlign w:val="bottom"/>
            <w:shd w:val="clear" w:color="auto" w:fill="24356E"/>
          </w:tcPr>
          <w:p>
            <w:pPr>
              <w:spacing w:after="0"/>
              <w:rPr>
                <w:sz w:val="14"/>
                <w:szCs w:val="14"/>
                <w:color w:val="auto"/>
              </w:rPr>
            </w:pPr>
          </w:p>
        </w:tc>
        <w:tc>
          <w:tcPr>
            <w:tcW w:w="2640" w:type="dxa"/>
            <w:vAlign w:val="bottom"/>
            <w:shd w:val="clear" w:color="auto" w:fill="24356E"/>
          </w:tcPr>
          <w:p>
            <w:pPr>
              <w:spacing w:after="0"/>
              <w:rPr>
                <w:sz w:val="14"/>
                <w:szCs w:val="14"/>
                <w:color w:val="auto"/>
              </w:rPr>
            </w:pPr>
          </w:p>
        </w:tc>
        <w:tc>
          <w:tcPr>
            <w:tcW w:w="1660" w:type="dxa"/>
            <w:vAlign w:val="bottom"/>
            <w:shd w:val="clear" w:color="auto" w:fill="24356E"/>
          </w:tcPr>
          <w:p>
            <w:pPr>
              <w:jc w:val="right"/>
              <w:ind w:right="168"/>
              <w:spacing w:after="0"/>
              <w:rPr>
                <w:sz w:val="20"/>
                <w:szCs w:val="20"/>
                <w:color w:val="auto"/>
              </w:rPr>
            </w:pPr>
            <w:r>
              <w:rPr>
                <w:rFonts w:ascii="Arial" w:cs="Arial" w:eastAsia="Arial" w:hAnsi="Arial"/>
                <w:sz w:val="14"/>
                <w:szCs w:val="14"/>
                <w:b w:val="1"/>
                <w:bCs w:val="1"/>
                <w:color w:val="FFFFFF"/>
              </w:rPr>
              <w:t>Termination</w:t>
            </w:r>
          </w:p>
        </w:tc>
        <w:tc>
          <w:tcPr>
            <w:tcW w:w="188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Termination</w:t>
            </w:r>
          </w:p>
        </w:tc>
        <w:tc>
          <w:tcPr>
            <w:tcW w:w="1240" w:type="dxa"/>
            <w:vAlign w:val="bottom"/>
            <w:shd w:val="clear" w:color="auto" w:fill="24356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shd w:val="clear" w:color="auto" w:fill="24356E"/>
          </w:tcPr>
          <w:p>
            <w:pPr>
              <w:spacing w:after="0"/>
              <w:rPr>
                <w:sz w:val="14"/>
                <w:szCs w:val="14"/>
                <w:color w:val="auto"/>
              </w:rPr>
            </w:pPr>
          </w:p>
        </w:tc>
        <w:tc>
          <w:tcPr>
            <w:tcW w:w="1400" w:type="dxa"/>
            <w:vAlign w:val="bottom"/>
            <w:shd w:val="clear" w:color="auto" w:fill="24356E"/>
          </w:tcPr>
          <w:p>
            <w:pPr>
              <w:spacing w:after="0"/>
              <w:rPr>
                <w:sz w:val="14"/>
                <w:szCs w:val="14"/>
                <w:color w:val="auto"/>
              </w:rPr>
            </w:pPr>
          </w:p>
        </w:tc>
        <w:tc>
          <w:tcPr>
            <w:tcW w:w="440" w:type="dxa"/>
            <w:vAlign w:val="bottom"/>
            <w:shd w:val="clear" w:color="auto" w:fill="24356E"/>
          </w:tcPr>
          <w:p>
            <w:pPr>
              <w:spacing w:after="0"/>
              <w:rPr>
                <w:sz w:val="14"/>
                <w:szCs w:val="14"/>
                <w:color w:val="auto"/>
              </w:rPr>
            </w:pPr>
          </w:p>
        </w:tc>
        <w:tc>
          <w:tcPr>
            <w:tcW w:w="264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Executive Benefits</w:t>
            </w:r>
          </w:p>
        </w:tc>
        <w:tc>
          <w:tcPr>
            <w:tcW w:w="166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Without Cause or</w:t>
            </w:r>
          </w:p>
        </w:tc>
        <w:tc>
          <w:tcPr>
            <w:tcW w:w="1880" w:type="dxa"/>
            <w:vAlign w:val="bottom"/>
            <w:shd w:val="clear" w:color="auto" w:fill="24356E"/>
          </w:tcPr>
          <w:p>
            <w:pPr>
              <w:jc w:val="right"/>
              <w:ind w:right="168"/>
              <w:spacing w:after="0"/>
              <w:rPr>
                <w:sz w:val="20"/>
                <w:szCs w:val="20"/>
                <w:color w:val="auto"/>
              </w:rPr>
            </w:pPr>
            <w:r>
              <w:rPr>
                <w:rFonts w:ascii="Arial" w:cs="Arial" w:eastAsia="Arial" w:hAnsi="Arial"/>
                <w:sz w:val="14"/>
                <w:szCs w:val="14"/>
                <w:b w:val="1"/>
                <w:bCs w:val="1"/>
                <w:color w:val="FFFFFF"/>
              </w:rPr>
              <w:t>Without Cause or for</w:t>
            </w:r>
          </w:p>
        </w:tc>
        <w:tc>
          <w:tcPr>
            <w:tcW w:w="1240" w:type="dxa"/>
            <w:vAlign w:val="bottom"/>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Death or</w:t>
            </w:r>
          </w:p>
        </w:tc>
        <w:tc>
          <w:tcPr>
            <w:tcW w:w="0" w:type="dxa"/>
            <w:vAlign w:val="bottom"/>
          </w:tcPr>
          <w:p>
            <w:pPr>
              <w:spacing w:after="0"/>
              <w:rPr>
                <w:sz w:val="1"/>
                <w:szCs w:val="1"/>
                <w:color w:val="auto"/>
              </w:rPr>
            </w:pPr>
          </w:p>
        </w:tc>
      </w:tr>
      <w:tr>
        <w:trPr>
          <w:trHeight w:val="162"/>
        </w:trPr>
        <w:tc>
          <w:tcPr>
            <w:tcW w:w="140" w:type="dxa"/>
            <w:vAlign w:val="bottom"/>
            <w:shd w:val="clear" w:color="auto" w:fill="24356E"/>
          </w:tcPr>
          <w:p>
            <w:pPr>
              <w:spacing w:after="0"/>
              <w:rPr>
                <w:sz w:val="14"/>
                <w:szCs w:val="14"/>
                <w:color w:val="auto"/>
              </w:rPr>
            </w:pPr>
          </w:p>
        </w:tc>
        <w:tc>
          <w:tcPr>
            <w:tcW w:w="1840" w:type="dxa"/>
            <w:vAlign w:val="bottom"/>
            <w:gridSpan w:val="2"/>
            <w:shd w:val="clear" w:color="auto" w:fill="24356E"/>
          </w:tcPr>
          <w:p>
            <w:pPr>
              <w:ind w:left="100"/>
              <w:spacing w:after="0"/>
              <w:rPr>
                <w:sz w:val="20"/>
                <w:szCs w:val="20"/>
                <w:color w:val="auto"/>
              </w:rPr>
            </w:pPr>
            <w:r>
              <w:rPr>
                <w:rFonts w:ascii="Arial" w:cs="Arial" w:eastAsia="Arial" w:hAnsi="Arial"/>
                <w:sz w:val="14"/>
                <w:szCs w:val="14"/>
                <w:b w:val="1"/>
                <w:bCs w:val="1"/>
                <w:color w:val="FFFFFF"/>
              </w:rPr>
              <w:t>Named Executive</w:t>
            </w:r>
          </w:p>
        </w:tc>
        <w:tc>
          <w:tcPr>
            <w:tcW w:w="2640" w:type="dxa"/>
            <w:vAlign w:val="bottom"/>
            <w:shd w:val="clear" w:color="auto" w:fill="24356E"/>
          </w:tcPr>
          <w:p>
            <w:pPr>
              <w:ind w:left="1020"/>
              <w:spacing w:after="0"/>
              <w:rPr>
                <w:sz w:val="20"/>
                <w:szCs w:val="20"/>
                <w:color w:val="auto"/>
              </w:rPr>
            </w:pPr>
            <w:r>
              <w:rPr>
                <w:rFonts w:ascii="Arial" w:cs="Arial" w:eastAsia="Arial" w:hAnsi="Arial"/>
                <w:sz w:val="14"/>
                <w:szCs w:val="14"/>
                <w:b w:val="1"/>
                <w:bCs w:val="1"/>
                <w:color w:val="FFFFFF"/>
              </w:rPr>
              <w:t>and Payments Upon</w:t>
            </w:r>
          </w:p>
        </w:tc>
        <w:tc>
          <w:tcPr>
            <w:tcW w:w="166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for Good Reason</w:t>
            </w:r>
          </w:p>
        </w:tc>
        <w:tc>
          <w:tcPr>
            <w:tcW w:w="188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Good Reason</w:t>
            </w:r>
          </w:p>
        </w:tc>
        <w:tc>
          <w:tcPr>
            <w:tcW w:w="1240" w:type="dxa"/>
            <w:vAlign w:val="bottom"/>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Disability</w:t>
            </w:r>
          </w:p>
        </w:tc>
        <w:tc>
          <w:tcPr>
            <w:tcW w:w="0" w:type="dxa"/>
            <w:vAlign w:val="bottom"/>
          </w:tcPr>
          <w:p>
            <w:pPr>
              <w:spacing w:after="0"/>
              <w:rPr>
                <w:sz w:val="1"/>
                <w:szCs w:val="1"/>
                <w:color w:val="auto"/>
              </w:rPr>
            </w:pPr>
          </w:p>
        </w:tc>
      </w:tr>
      <w:tr>
        <w:trPr>
          <w:trHeight w:val="270"/>
        </w:trPr>
        <w:tc>
          <w:tcPr>
            <w:tcW w:w="140" w:type="dxa"/>
            <w:vAlign w:val="bottom"/>
            <w:shd w:val="clear" w:color="auto" w:fill="24356E"/>
          </w:tcPr>
          <w:p>
            <w:pPr>
              <w:spacing w:after="0"/>
              <w:rPr>
                <w:sz w:val="23"/>
                <w:szCs w:val="23"/>
                <w:color w:val="auto"/>
              </w:rPr>
            </w:pPr>
          </w:p>
        </w:tc>
        <w:tc>
          <w:tcPr>
            <w:tcW w:w="1840" w:type="dxa"/>
            <w:vAlign w:val="bottom"/>
            <w:gridSpan w:val="2"/>
            <w:shd w:val="clear" w:color="auto" w:fill="24356E"/>
          </w:tcPr>
          <w:p>
            <w:pPr>
              <w:ind w:left="100"/>
              <w:spacing w:after="0"/>
              <w:rPr>
                <w:sz w:val="20"/>
                <w:szCs w:val="20"/>
                <w:color w:val="auto"/>
              </w:rPr>
            </w:pPr>
            <w:r>
              <w:rPr>
                <w:rFonts w:ascii="Arial" w:cs="Arial" w:eastAsia="Arial" w:hAnsi="Arial"/>
                <w:sz w:val="14"/>
                <w:szCs w:val="14"/>
                <w:b w:val="1"/>
                <w:bCs w:val="1"/>
                <w:color w:val="FFFFFF"/>
              </w:rPr>
              <w:t>Officer</w:t>
            </w:r>
          </w:p>
        </w:tc>
        <w:tc>
          <w:tcPr>
            <w:tcW w:w="264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Termination</w:t>
            </w:r>
          </w:p>
        </w:tc>
        <w:tc>
          <w:tcPr>
            <w:tcW w:w="1660" w:type="dxa"/>
            <w:vAlign w:val="bottom"/>
            <w:shd w:val="clear" w:color="auto" w:fill="24356E"/>
          </w:tcPr>
          <w:p>
            <w:pPr>
              <w:jc w:val="right"/>
              <w:ind w:right="1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880" w:type="dxa"/>
            <w:vAlign w:val="bottom"/>
            <w:shd w:val="clear" w:color="auto" w:fill="24356E"/>
          </w:tcPr>
          <w:p>
            <w:pPr>
              <w:jc w:val="center"/>
              <w:ind w:right="10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240" w:type="dxa"/>
            <w:vAlign w:val="bottom"/>
            <w:shd w:val="clear" w:color="auto" w:fill="24356E"/>
          </w:tcPr>
          <w:p>
            <w:pPr>
              <w:jc w:val="right"/>
              <w:ind w:right="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0" w:type="dxa"/>
            <w:vAlign w:val="bottom"/>
          </w:tcPr>
          <w:p>
            <w:pPr>
              <w:spacing w:after="0"/>
              <w:rPr>
                <w:sz w:val="1"/>
                <w:szCs w:val="1"/>
                <w:color w:val="auto"/>
              </w:rPr>
            </w:pPr>
          </w:p>
        </w:tc>
      </w:tr>
      <w:tr>
        <w:trPr>
          <w:trHeight w:val="248"/>
        </w:trPr>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Base Salary</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2,450,000</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1,400,000</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2,450,000</w:t>
            </w:r>
          </w:p>
        </w:tc>
        <w:tc>
          <w:tcPr>
            <w:tcW w:w="0" w:type="dxa"/>
            <w:vAlign w:val="bottom"/>
          </w:tcPr>
          <w:p>
            <w:pPr>
              <w:spacing w:after="0"/>
              <w:rPr>
                <w:sz w:val="1"/>
                <w:szCs w:val="1"/>
                <w:color w:val="auto"/>
              </w:rPr>
            </w:pPr>
          </w:p>
        </w:tc>
      </w:tr>
      <w:tr>
        <w:trPr>
          <w:trHeight w:val="62"/>
        </w:trPr>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40" w:type="dxa"/>
            <w:vAlign w:val="bottom"/>
            <w:tcBorders>
              <w:bottom w:val="single" w:sz="8" w:color="666666"/>
            </w:tcBorders>
          </w:tcPr>
          <w:p>
            <w:pPr>
              <w:spacing w:after="0"/>
              <w:rPr>
                <w:sz w:val="5"/>
                <w:szCs w:val="5"/>
                <w:color w:val="auto"/>
              </w:rPr>
            </w:pPr>
          </w:p>
        </w:tc>
        <w:tc>
          <w:tcPr>
            <w:tcW w:w="1660" w:type="dxa"/>
            <w:vAlign w:val="bottom"/>
            <w:tcBorders>
              <w:bottom w:val="single" w:sz="8" w:color="666666"/>
            </w:tcBorders>
          </w:tcPr>
          <w:p>
            <w:pPr>
              <w:spacing w:after="0"/>
              <w:rPr>
                <w:sz w:val="5"/>
                <w:szCs w:val="5"/>
                <w:color w:val="auto"/>
              </w:rPr>
            </w:pPr>
          </w:p>
        </w:tc>
        <w:tc>
          <w:tcPr>
            <w:tcW w:w="1880" w:type="dxa"/>
            <w:vAlign w:val="bottom"/>
            <w:tcBorders>
              <w:bottom w:val="single" w:sz="8" w:color="666666"/>
            </w:tcBorders>
          </w:tcPr>
          <w:p>
            <w:pPr>
              <w:spacing w:after="0"/>
              <w:rPr>
                <w:sz w:val="5"/>
                <w:szCs w:val="5"/>
                <w:color w:val="auto"/>
              </w:rPr>
            </w:pPr>
          </w:p>
        </w:tc>
        <w:tc>
          <w:tcPr>
            <w:tcW w:w="1240" w:type="dxa"/>
            <w:vAlign w:val="bottom"/>
            <w:tcBorders>
              <w:bottom w:val="single" w:sz="8" w:color="666666"/>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Bonus</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700,000</w:t>
            </w:r>
          </w:p>
        </w:tc>
        <w:tc>
          <w:tcPr>
            <w:tcW w:w="1880" w:type="dxa"/>
            <w:vAlign w:val="bottom"/>
          </w:tcPr>
          <w:p>
            <w:pPr>
              <w:jc w:val="center"/>
              <w:ind w:left="1068"/>
              <w:spacing w:after="0"/>
              <w:rPr>
                <w:sz w:val="20"/>
                <w:szCs w:val="20"/>
                <w:color w:val="auto"/>
              </w:rPr>
            </w:pPr>
            <w:r>
              <w:rPr>
                <w:rFonts w:ascii="Arial" w:cs="Arial" w:eastAsia="Arial" w:hAnsi="Arial"/>
                <w:sz w:val="14"/>
                <w:szCs w:val="14"/>
                <w:color w:val="auto"/>
                <w:w w:val="99"/>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1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Michael Egholm, Ph.D.</w:t>
            </w: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1840" w:type="dxa"/>
            <w:vAlign w:val="bottom"/>
            <w:gridSpan w:val="2"/>
            <w:vMerge w:val="continue"/>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Stock option and RSU acceleration</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2,219,043.75</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781,396</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2,219,043.75</w:t>
            </w: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COBRA benefits</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109,254.90</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43,701.96</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Total</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5,478,298.65</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rPr>
              <w:t>2,225,097.96</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5,369,043.75</w:t>
            </w:r>
          </w:p>
        </w:tc>
        <w:tc>
          <w:tcPr>
            <w:tcW w:w="0" w:type="dxa"/>
            <w:vAlign w:val="bottom"/>
          </w:tcPr>
          <w:p>
            <w:pPr>
              <w:spacing w:after="0"/>
              <w:rPr>
                <w:sz w:val="1"/>
                <w:szCs w:val="1"/>
                <w:color w:val="auto"/>
              </w:rPr>
            </w:pPr>
          </w:p>
        </w:tc>
      </w:tr>
      <w:tr>
        <w:trPr>
          <w:trHeight w:val="35"/>
        </w:trPr>
        <w:tc>
          <w:tcPr>
            <w:tcW w:w="140" w:type="dxa"/>
            <w:vAlign w:val="bottom"/>
            <w:tcBorders>
              <w:bottom w:val="single" w:sz="8" w:color="24356E"/>
            </w:tcBorders>
          </w:tcPr>
          <w:p>
            <w:pPr>
              <w:spacing w:after="0"/>
              <w:rPr>
                <w:sz w:val="3"/>
                <w:szCs w:val="3"/>
                <w:color w:val="auto"/>
              </w:rPr>
            </w:pPr>
          </w:p>
        </w:tc>
        <w:tc>
          <w:tcPr>
            <w:tcW w:w="1400" w:type="dxa"/>
            <w:vAlign w:val="bottom"/>
            <w:tcBorders>
              <w:bottom w:val="single" w:sz="8" w:color="24356E"/>
            </w:tcBorders>
          </w:tcPr>
          <w:p>
            <w:pPr>
              <w:spacing w:after="0"/>
              <w:rPr>
                <w:sz w:val="3"/>
                <w:szCs w:val="3"/>
                <w:color w:val="auto"/>
              </w:rPr>
            </w:pPr>
          </w:p>
        </w:tc>
        <w:tc>
          <w:tcPr>
            <w:tcW w:w="440" w:type="dxa"/>
            <w:vAlign w:val="bottom"/>
            <w:tcBorders>
              <w:bottom w:val="single" w:sz="8" w:color="24356E"/>
            </w:tcBorders>
          </w:tcPr>
          <w:p>
            <w:pPr>
              <w:spacing w:after="0"/>
              <w:rPr>
                <w:sz w:val="3"/>
                <w:szCs w:val="3"/>
                <w:color w:val="auto"/>
              </w:rPr>
            </w:pPr>
          </w:p>
        </w:tc>
        <w:tc>
          <w:tcPr>
            <w:tcW w:w="2640" w:type="dxa"/>
            <w:vAlign w:val="bottom"/>
            <w:tcBorders>
              <w:bottom w:val="single" w:sz="8" w:color="24356E"/>
            </w:tcBorders>
          </w:tcPr>
          <w:p>
            <w:pPr>
              <w:spacing w:after="0"/>
              <w:rPr>
                <w:sz w:val="3"/>
                <w:szCs w:val="3"/>
                <w:color w:val="auto"/>
              </w:rPr>
            </w:pPr>
          </w:p>
        </w:tc>
        <w:tc>
          <w:tcPr>
            <w:tcW w:w="1660" w:type="dxa"/>
            <w:vAlign w:val="bottom"/>
            <w:tcBorders>
              <w:bottom w:val="single" w:sz="8" w:color="24356E"/>
            </w:tcBorders>
          </w:tcPr>
          <w:p>
            <w:pPr>
              <w:spacing w:after="0"/>
              <w:rPr>
                <w:sz w:val="3"/>
                <w:szCs w:val="3"/>
                <w:color w:val="auto"/>
              </w:rPr>
            </w:pPr>
          </w:p>
        </w:tc>
        <w:tc>
          <w:tcPr>
            <w:tcW w:w="1880" w:type="dxa"/>
            <w:vAlign w:val="bottom"/>
            <w:tcBorders>
              <w:bottom w:val="single" w:sz="8" w:color="24356E"/>
            </w:tcBorders>
          </w:tcPr>
          <w:p>
            <w:pPr>
              <w:spacing w:after="0"/>
              <w:rPr>
                <w:sz w:val="3"/>
                <w:szCs w:val="3"/>
                <w:color w:val="auto"/>
              </w:rPr>
            </w:pPr>
          </w:p>
        </w:tc>
        <w:tc>
          <w:tcPr>
            <w:tcW w:w="1240" w:type="dxa"/>
            <w:vAlign w:val="bottom"/>
            <w:tcBorders>
              <w:bottom w:val="single" w:sz="8" w:color="24356E"/>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Base Salary</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1,081,500</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515,000</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1,081,500</w:t>
            </w:r>
          </w:p>
        </w:tc>
        <w:tc>
          <w:tcPr>
            <w:tcW w:w="0" w:type="dxa"/>
            <w:vAlign w:val="bottom"/>
          </w:tcPr>
          <w:p>
            <w:pPr>
              <w:spacing w:after="0"/>
              <w:rPr>
                <w:sz w:val="1"/>
                <w:szCs w:val="1"/>
                <w:color w:val="auto"/>
              </w:rPr>
            </w:pPr>
          </w:p>
        </w:tc>
      </w:tr>
      <w:tr>
        <w:trPr>
          <w:trHeight w:val="62"/>
        </w:trPr>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40" w:type="dxa"/>
            <w:vAlign w:val="bottom"/>
            <w:tcBorders>
              <w:bottom w:val="single" w:sz="8" w:color="666666"/>
            </w:tcBorders>
          </w:tcPr>
          <w:p>
            <w:pPr>
              <w:spacing w:after="0"/>
              <w:rPr>
                <w:sz w:val="5"/>
                <w:szCs w:val="5"/>
                <w:color w:val="auto"/>
              </w:rPr>
            </w:pPr>
          </w:p>
        </w:tc>
        <w:tc>
          <w:tcPr>
            <w:tcW w:w="1660" w:type="dxa"/>
            <w:vAlign w:val="bottom"/>
            <w:tcBorders>
              <w:bottom w:val="single" w:sz="8" w:color="666666"/>
            </w:tcBorders>
          </w:tcPr>
          <w:p>
            <w:pPr>
              <w:spacing w:after="0"/>
              <w:rPr>
                <w:sz w:val="5"/>
                <w:szCs w:val="5"/>
                <w:color w:val="auto"/>
              </w:rPr>
            </w:pPr>
          </w:p>
        </w:tc>
        <w:tc>
          <w:tcPr>
            <w:tcW w:w="1880" w:type="dxa"/>
            <w:vAlign w:val="bottom"/>
            <w:tcBorders>
              <w:bottom w:val="single" w:sz="8" w:color="666666"/>
            </w:tcBorders>
          </w:tcPr>
          <w:p>
            <w:pPr>
              <w:spacing w:after="0"/>
              <w:rPr>
                <w:sz w:val="5"/>
                <w:szCs w:val="5"/>
                <w:color w:val="auto"/>
              </w:rPr>
            </w:pPr>
          </w:p>
        </w:tc>
        <w:tc>
          <w:tcPr>
            <w:tcW w:w="1240" w:type="dxa"/>
            <w:vAlign w:val="bottom"/>
            <w:tcBorders>
              <w:bottom w:val="single" w:sz="8" w:color="666666"/>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Bonus</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309,000</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309,000</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309,000</w:t>
            </w:r>
          </w:p>
        </w:tc>
        <w:tc>
          <w:tcPr>
            <w:tcW w:w="0" w:type="dxa"/>
            <w:vAlign w:val="bottom"/>
          </w:tcPr>
          <w:p>
            <w:pPr>
              <w:spacing w:after="0"/>
              <w:rPr>
                <w:sz w:val="1"/>
                <w:szCs w:val="1"/>
                <w:color w:val="auto"/>
              </w:rPr>
            </w:pPr>
          </w:p>
        </w:tc>
      </w:tr>
      <w:tr>
        <w:trPr>
          <w:trHeight w:val="48"/>
        </w:trPr>
        <w:tc>
          <w:tcPr>
            <w:tcW w:w="140" w:type="dxa"/>
            <w:vAlign w:val="bottom"/>
          </w:tcPr>
          <w:p>
            <w:pPr>
              <w:spacing w:after="0"/>
              <w:rPr>
                <w:sz w:val="4"/>
                <w:szCs w:val="4"/>
                <w:color w:val="auto"/>
              </w:rPr>
            </w:pPr>
          </w:p>
        </w:tc>
        <w:tc>
          <w:tcPr>
            <w:tcW w:w="1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Alex Kim</w:t>
            </w: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1840" w:type="dxa"/>
            <w:vAlign w:val="bottom"/>
            <w:gridSpan w:val="2"/>
            <w:vMerge w:val="continue"/>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Stock option and RSU acceleration</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756,057.75</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756,057.75</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756,057.75</w:t>
            </w:r>
          </w:p>
        </w:tc>
        <w:tc>
          <w:tcPr>
            <w:tcW w:w="0" w:type="dxa"/>
            <w:vAlign w:val="bottom"/>
          </w:tcPr>
          <w:p>
            <w:pPr>
              <w:spacing w:after="0"/>
              <w:rPr>
                <w:sz w:val="1"/>
                <w:szCs w:val="1"/>
                <w:color w:val="auto"/>
              </w:rPr>
            </w:pPr>
          </w:p>
        </w:tc>
      </w:tr>
      <w:tr>
        <w:trPr>
          <w:trHeight w:val="48"/>
        </w:trPr>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COBRA benefits</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52,411.38</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34,960.92</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Total</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2,198,969.13</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rPr>
              <w:t>1,615,018.67</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2,146,557.75</w:t>
            </w:r>
          </w:p>
        </w:tc>
        <w:tc>
          <w:tcPr>
            <w:tcW w:w="0" w:type="dxa"/>
            <w:vAlign w:val="bottom"/>
          </w:tcPr>
          <w:p>
            <w:pPr>
              <w:spacing w:after="0"/>
              <w:rPr>
                <w:sz w:val="1"/>
                <w:szCs w:val="1"/>
                <w:color w:val="auto"/>
              </w:rPr>
            </w:pPr>
          </w:p>
        </w:tc>
      </w:tr>
      <w:tr>
        <w:trPr>
          <w:trHeight w:val="35"/>
        </w:trPr>
        <w:tc>
          <w:tcPr>
            <w:tcW w:w="140" w:type="dxa"/>
            <w:vAlign w:val="bottom"/>
            <w:tcBorders>
              <w:bottom w:val="single" w:sz="8" w:color="24356E"/>
            </w:tcBorders>
          </w:tcPr>
          <w:p>
            <w:pPr>
              <w:spacing w:after="0"/>
              <w:rPr>
                <w:sz w:val="3"/>
                <w:szCs w:val="3"/>
                <w:color w:val="auto"/>
              </w:rPr>
            </w:pPr>
          </w:p>
        </w:tc>
        <w:tc>
          <w:tcPr>
            <w:tcW w:w="1400" w:type="dxa"/>
            <w:vAlign w:val="bottom"/>
            <w:tcBorders>
              <w:bottom w:val="single" w:sz="8" w:color="24356E"/>
            </w:tcBorders>
          </w:tcPr>
          <w:p>
            <w:pPr>
              <w:spacing w:after="0"/>
              <w:rPr>
                <w:sz w:val="3"/>
                <w:szCs w:val="3"/>
                <w:color w:val="auto"/>
              </w:rPr>
            </w:pPr>
          </w:p>
        </w:tc>
        <w:tc>
          <w:tcPr>
            <w:tcW w:w="440" w:type="dxa"/>
            <w:vAlign w:val="bottom"/>
            <w:tcBorders>
              <w:bottom w:val="single" w:sz="8" w:color="24356E"/>
            </w:tcBorders>
          </w:tcPr>
          <w:p>
            <w:pPr>
              <w:spacing w:after="0"/>
              <w:rPr>
                <w:sz w:val="3"/>
                <w:szCs w:val="3"/>
                <w:color w:val="auto"/>
              </w:rPr>
            </w:pPr>
          </w:p>
        </w:tc>
        <w:tc>
          <w:tcPr>
            <w:tcW w:w="2640" w:type="dxa"/>
            <w:vAlign w:val="bottom"/>
            <w:tcBorders>
              <w:bottom w:val="single" w:sz="8" w:color="24356E"/>
            </w:tcBorders>
          </w:tcPr>
          <w:p>
            <w:pPr>
              <w:spacing w:after="0"/>
              <w:rPr>
                <w:sz w:val="3"/>
                <w:szCs w:val="3"/>
                <w:color w:val="auto"/>
              </w:rPr>
            </w:pPr>
          </w:p>
        </w:tc>
        <w:tc>
          <w:tcPr>
            <w:tcW w:w="1660" w:type="dxa"/>
            <w:vAlign w:val="bottom"/>
            <w:tcBorders>
              <w:bottom w:val="single" w:sz="8" w:color="24356E"/>
            </w:tcBorders>
          </w:tcPr>
          <w:p>
            <w:pPr>
              <w:spacing w:after="0"/>
              <w:rPr>
                <w:sz w:val="3"/>
                <w:szCs w:val="3"/>
                <w:color w:val="auto"/>
              </w:rPr>
            </w:pPr>
          </w:p>
        </w:tc>
        <w:tc>
          <w:tcPr>
            <w:tcW w:w="1880" w:type="dxa"/>
            <w:vAlign w:val="bottom"/>
            <w:tcBorders>
              <w:bottom w:val="single" w:sz="8" w:color="24356E"/>
            </w:tcBorders>
          </w:tcPr>
          <w:p>
            <w:pPr>
              <w:spacing w:after="0"/>
              <w:rPr>
                <w:sz w:val="3"/>
                <w:szCs w:val="3"/>
                <w:color w:val="auto"/>
              </w:rPr>
            </w:pPr>
          </w:p>
        </w:tc>
        <w:tc>
          <w:tcPr>
            <w:tcW w:w="1240" w:type="dxa"/>
            <w:vAlign w:val="bottom"/>
            <w:tcBorders>
              <w:bottom w:val="single" w:sz="8" w:color="24356E"/>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Base Salary</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997,500</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475,000</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997,500</w:t>
            </w:r>
          </w:p>
        </w:tc>
        <w:tc>
          <w:tcPr>
            <w:tcW w:w="0" w:type="dxa"/>
            <w:vAlign w:val="bottom"/>
          </w:tcPr>
          <w:p>
            <w:pPr>
              <w:spacing w:after="0"/>
              <w:rPr>
                <w:sz w:val="1"/>
                <w:szCs w:val="1"/>
                <w:color w:val="auto"/>
              </w:rPr>
            </w:pPr>
          </w:p>
        </w:tc>
      </w:tr>
      <w:tr>
        <w:trPr>
          <w:trHeight w:val="48"/>
        </w:trPr>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Bonus</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285,000</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285,000</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285,000</w:t>
            </w:r>
          </w:p>
        </w:tc>
        <w:tc>
          <w:tcPr>
            <w:tcW w:w="0" w:type="dxa"/>
            <w:vAlign w:val="bottom"/>
          </w:tcPr>
          <w:p>
            <w:pPr>
              <w:spacing w:after="0"/>
              <w:rPr>
                <w:sz w:val="1"/>
                <w:szCs w:val="1"/>
                <w:color w:val="auto"/>
              </w:rPr>
            </w:pPr>
          </w:p>
        </w:tc>
      </w:tr>
      <w:tr>
        <w:trPr>
          <w:trHeight w:val="49"/>
        </w:trPr>
        <w:tc>
          <w:tcPr>
            <w:tcW w:w="140" w:type="dxa"/>
            <w:vAlign w:val="bottom"/>
          </w:tcPr>
          <w:p>
            <w:pPr>
              <w:spacing w:after="0"/>
              <w:rPr>
                <w:sz w:val="4"/>
                <w:szCs w:val="4"/>
                <w:color w:val="auto"/>
              </w:rPr>
            </w:pPr>
          </w:p>
        </w:tc>
        <w:tc>
          <w:tcPr>
            <w:tcW w:w="1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Sean Mackay</w:t>
            </w: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1840" w:type="dxa"/>
            <w:vAlign w:val="bottom"/>
            <w:gridSpan w:val="2"/>
            <w:vMerge w:val="continue"/>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Stock option and RSU acceleration</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1,050,000</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1,050,000</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1,050,000</w:t>
            </w:r>
          </w:p>
        </w:tc>
        <w:tc>
          <w:tcPr>
            <w:tcW w:w="0" w:type="dxa"/>
            <w:vAlign w:val="bottom"/>
          </w:tcPr>
          <w:p>
            <w:pPr>
              <w:spacing w:after="0"/>
              <w:rPr>
                <w:sz w:val="1"/>
                <w:szCs w:val="1"/>
                <w:color w:val="auto"/>
              </w:rPr>
            </w:pPr>
          </w:p>
        </w:tc>
      </w:tr>
      <w:tr>
        <w:trPr>
          <w:trHeight w:val="48"/>
        </w:trPr>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COBRA benefits</w:t>
            </w:r>
          </w:p>
        </w:tc>
        <w:tc>
          <w:tcPr>
            <w:tcW w:w="1660" w:type="dxa"/>
            <w:vAlign w:val="bottom"/>
          </w:tcPr>
          <w:p>
            <w:pPr>
              <w:jc w:val="right"/>
              <w:ind w:right="248"/>
              <w:spacing w:after="0"/>
              <w:rPr>
                <w:sz w:val="20"/>
                <w:szCs w:val="20"/>
                <w:color w:val="auto"/>
              </w:rPr>
            </w:pPr>
            <w:r>
              <w:rPr>
                <w:rFonts w:ascii="Arial" w:cs="Arial" w:eastAsia="Arial" w:hAnsi="Arial"/>
                <w:sz w:val="14"/>
                <w:szCs w:val="14"/>
                <w:color w:val="auto"/>
              </w:rPr>
              <w:t>65,552.94</w:t>
            </w:r>
          </w:p>
        </w:tc>
        <w:tc>
          <w:tcPr>
            <w:tcW w:w="1880" w:type="dxa"/>
            <w:vAlign w:val="bottom"/>
          </w:tcPr>
          <w:p>
            <w:pPr>
              <w:jc w:val="right"/>
              <w:ind w:right="268"/>
              <w:spacing w:after="0"/>
              <w:rPr>
                <w:sz w:val="20"/>
                <w:szCs w:val="20"/>
                <w:color w:val="auto"/>
              </w:rPr>
            </w:pPr>
            <w:r>
              <w:rPr>
                <w:rFonts w:ascii="Arial" w:cs="Arial" w:eastAsia="Arial" w:hAnsi="Arial"/>
                <w:sz w:val="14"/>
                <w:szCs w:val="14"/>
                <w:color w:val="auto"/>
              </w:rPr>
              <w:t>43,701.96</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4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1880" w:type="dxa"/>
            <w:vAlign w:val="bottom"/>
            <w:tcBorders>
              <w:bottom w:val="single" w:sz="8" w:color="666666"/>
            </w:tcBorders>
          </w:tcPr>
          <w:p>
            <w:pPr>
              <w:spacing w:after="0"/>
              <w:rPr>
                <w:sz w:val="4"/>
                <w:szCs w:val="4"/>
                <w:color w:val="auto"/>
              </w:rPr>
            </w:pPr>
          </w:p>
        </w:tc>
        <w:tc>
          <w:tcPr>
            <w:tcW w:w="124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40" w:type="dxa"/>
            <w:vAlign w:val="bottom"/>
          </w:tcPr>
          <w:p>
            <w:pPr>
              <w:ind w:left="200"/>
              <w:spacing w:after="0"/>
              <w:rPr>
                <w:sz w:val="20"/>
                <w:szCs w:val="20"/>
                <w:color w:val="auto"/>
              </w:rPr>
            </w:pPr>
            <w:r>
              <w:rPr>
                <w:rFonts w:ascii="Arial" w:cs="Arial" w:eastAsia="Arial" w:hAnsi="Arial"/>
                <w:sz w:val="14"/>
                <w:szCs w:val="14"/>
                <w:color w:val="auto"/>
              </w:rPr>
              <w:t>Total</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2,398,052.94</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rPr>
              <w:t>1,853,701.96</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2,332,500</w:t>
            </w:r>
          </w:p>
        </w:tc>
        <w:tc>
          <w:tcPr>
            <w:tcW w:w="0" w:type="dxa"/>
            <w:vAlign w:val="bottom"/>
          </w:tcPr>
          <w:p>
            <w:pPr>
              <w:spacing w:after="0"/>
              <w:rPr>
                <w:sz w:val="1"/>
                <w:szCs w:val="1"/>
                <w:color w:val="auto"/>
              </w:rPr>
            </w:pPr>
          </w:p>
        </w:tc>
      </w:tr>
      <w:tr>
        <w:trPr>
          <w:trHeight w:val="76"/>
        </w:trPr>
        <w:tc>
          <w:tcPr>
            <w:tcW w:w="140" w:type="dxa"/>
            <w:vAlign w:val="bottom"/>
            <w:tcBorders>
              <w:bottom w:val="single" w:sz="8" w:color="24356E"/>
            </w:tcBorders>
          </w:tcPr>
          <w:p>
            <w:pPr>
              <w:spacing w:after="0"/>
              <w:rPr>
                <w:sz w:val="6"/>
                <w:szCs w:val="6"/>
                <w:color w:val="auto"/>
              </w:rPr>
            </w:pPr>
          </w:p>
        </w:tc>
        <w:tc>
          <w:tcPr>
            <w:tcW w:w="1400" w:type="dxa"/>
            <w:vAlign w:val="bottom"/>
            <w:tcBorders>
              <w:bottom w:val="single" w:sz="8" w:color="24356E"/>
            </w:tcBorders>
          </w:tcPr>
          <w:p>
            <w:pPr>
              <w:spacing w:after="0"/>
              <w:rPr>
                <w:sz w:val="6"/>
                <w:szCs w:val="6"/>
                <w:color w:val="auto"/>
              </w:rPr>
            </w:pPr>
          </w:p>
        </w:tc>
        <w:tc>
          <w:tcPr>
            <w:tcW w:w="440" w:type="dxa"/>
            <w:vAlign w:val="bottom"/>
            <w:tcBorders>
              <w:bottom w:val="single" w:sz="8" w:color="24356E"/>
            </w:tcBorders>
          </w:tcPr>
          <w:p>
            <w:pPr>
              <w:spacing w:after="0"/>
              <w:rPr>
                <w:sz w:val="6"/>
                <w:szCs w:val="6"/>
                <w:color w:val="auto"/>
              </w:rPr>
            </w:pPr>
          </w:p>
        </w:tc>
        <w:tc>
          <w:tcPr>
            <w:tcW w:w="2640" w:type="dxa"/>
            <w:vAlign w:val="bottom"/>
            <w:tcBorders>
              <w:bottom w:val="single" w:sz="8" w:color="24356E"/>
            </w:tcBorders>
          </w:tcPr>
          <w:p>
            <w:pPr>
              <w:spacing w:after="0"/>
              <w:rPr>
                <w:sz w:val="6"/>
                <w:szCs w:val="6"/>
                <w:color w:val="auto"/>
              </w:rPr>
            </w:pPr>
          </w:p>
        </w:tc>
        <w:tc>
          <w:tcPr>
            <w:tcW w:w="1660" w:type="dxa"/>
            <w:vAlign w:val="bottom"/>
            <w:tcBorders>
              <w:bottom w:val="single" w:sz="8" w:color="24356E"/>
            </w:tcBorders>
          </w:tcPr>
          <w:p>
            <w:pPr>
              <w:spacing w:after="0"/>
              <w:rPr>
                <w:sz w:val="6"/>
                <w:szCs w:val="6"/>
                <w:color w:val="auto"/>
              </w:rPr>
            </w:pPr>
          </w:p>
        </w:tc>
        <w:tc>
          <w:tcPr>
            <w:tcW w:w="1880" w:type="dxa"/>
            <w:vAlign w:val="bottom"/>
            <w:tcBorders>
              <w:bottom w:val="single" w:sz="8" w:color="24356E"/>
            </w:tcBorders>
          </w:tcPr>
          <w:p>
            <w:pPr>
              <w:spacing w:after="0"/>
              <w:rPr>
                <w:sz w:val="6"/>
                <w:szCs w:val="6"/>
                <w:color w:val="auto"/>
              </w:rPr>
            </w:pPr>
          </w:p>
        </w:tc>
        <w:tc>
          <w:tcPr>
            <w:tcW w:w="1240" w:type="dxa"/>
            <w:vAlign w:val="bottom"/>
            <w:tcBorders>
              <w:bottom w:val="single" w:sz="8" w:color="24356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60" w:right="20" w:hanging="354"/>
        <w:spacing w:after="0" w:line="228" w:lineRule="auto"/>
        <w:tabs>
          <w:tab w:leader="none" w:pos="36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The value of the vesting acceleration for RSUs was calculated by multiplying the number of RSUs subject to acceleration as of December 31, 2024 by the closing price of our common stock on the Nasdaq Global Select Market on December 31, 2024, the last trading day of the 2024 fiscal year, of $1.75. The value of vesting acceleration for stock options was calculated by multiplying the number of unvested stock options subject to acceleration as of December 31, 2024 by the difference between (i) the closing price of our common stock on the Nasdaq Global Select Market on December 31, 2024, the last trading day of the 2024 fiscal year, of $1.75 and (ii) the respective exercise price of such stock options.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2024 Severance Plan</w:t>
      </w:r>
    </w:p>
    <w:p>
      <w:pPr>
        <w:spacing w:after="0" w:line="16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33333"/>
        </w:rPr>
        <w:t>On August 27, 2024, the Human Capital Committee approved the 2024 Change of Control and Severance Plan and entered into 2024 Change of Control and Severance Plan Participation Agreements (together, the “2024 Standard BioTools Severance Plan”), with each of Alex Kim and Sean Mackay (the “Standard BioTools Non-CEO Executives”). Each of the Standard BioTools Non-CEO Executives is eligible to receive certain payments and benefits under the 2024 Standard BioTools Severance Plan in the event that the Standard BioTools Non-CEO Executive’s employment with Standard BioTools is terminated without “cause,” or the Standard BioTools Non-CEO Executive terminates their employment with Standard BioTools for “good reason” (each as defined in the 2024 Standard BioTools Severance Plan).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Termination of Employment Other than for Cause or upon Death or Disability under the 2024 Standard BioTools Severance Plan</w:t>
      </w:r>
    </w:p>
    <w:p>
      <w:pPr>
        <w:spacing w:after="0" w:line="165" w:lineRule="exact"/>
        <w:rPr>
          <w:sz w:val="20"/>
          <w:szCs w:val="20"/>
          <w:color w:val="auto"/>
        </w:rPr>
      </w:pPr>
    </w:p>
    <w:p>
      <w:pPr>
        <w:jc w:val="both"/>
        <w:ind w:right="360"/>
        <w:spacing w:after="0" w:line="259" w:lineRule="auto"/>
        <w:rPr>
          <w:sz w:val="20"/>
          <w:szCs w:val="20"/>
          <w:color w:val="auto"/>
        </w:rPr>
      </w:pPr>
      <w:r>
        <w:rPr>
          <w:rFonts w:ascii="Arial" w:cs="Arial" w:eastAsia="Arial" w:hAnsi="Arial"/>
          <w:sz w:val="16"/>
          <w:szCs w:val="16"/>
          <w:color w:val="333333"/>
        </w:rPr>
        <w:t>Under the 2024 Standard BioTools Severance Plan, if the Standard BioTools Non-CEO Executive’s employment is terminated outside of the period beginning three months before a change of control and ending 12 months after a change of control (such period, the “Change of Control Period”) for a reason other than cause or the Standard BioTools Non-CEO Executive’s death or disability, the Standard BioTools Non-CEO Executive will be entitled to receive the following severance benefits:</w:t>
      </w:r>
    </w:p>
    <w:p>
      <w:pPr>
        <w:spacing w:after="0" w:line="137" w:lineRule="exact"/>
        <w:rPr>
          <w:sz w:val="20"/>
          <w:szCs w:val="20"/>
          <w:color w:val="auto"/>
        </w:rPr>
      </w:pPr>
    </w:p>
    <w:p>
      <w:pPr>
        <w:ind w:left="720" w:right="60" w:hanging="354"/>
        <w:spacing w:after="0" w:line="286" w:lineRule="auto"/>
        <w:tabs>
          <w:tab w:leader="none" w:pos="720" w:val="left"/>
        </w:tabs>
        <w:numPr>
          <w:ilvl w:val="0"/>
          <w:numId w:val="37"/>
        </w:numPr>
        <w:rPr>
          <w:rFonts w:ascii="Arial" w:cs="Arial" w:eastAsia="Arial" w:hAnsi="Arial"/>
          <w:sz w:val="16"/>
          <w:szCs w:val="16"/>
          <w:color w:val="333333"/>
        </w:rPr>
      </w:pPr>
      <w:r>
        <w:rPr>
          <w:rFonts w:ascii="Arial" w:cs="Arial" w:eastAsia="Arial" w:hAnsi="Arial"/>
          <w:sz w:val="16"/>
          <w:szCs w:val="16"/>
          <w:color w:val="333333"/>
        </w:rPr>
        <w:t>Continued payments (less applicable withholdings) totaling 100% of the Standard BioTools Non-CEO Executive’s annual base salary in effect as of the date of termination in equal installments over a period of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61"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140" w:hanging="354"/>
        <w:spacing w:after="0" w:line="266" w:lineRule="auto"/>
        <w:tabs>
          <w:tab w:leader="none" w:pos="720" w:val="left"/>
        </w:tabs>
        <w:numPr>
          <w:ilvl w:val="0"/>
          <w:numId w:val="38"/>
        </w:numPr>
        <w:rPr>
          <w:rFonts w:ascii="Arial" w:cs="Arial" w:eastAsia="Arial" w:hAnsi="Arial"/>
          <w:sz w:val="16"/>
          <w:szCs w:val="16"/>
          <w:color w:val="333333"/>
        </w:rPr>
      </w:pPr>
      <w:r>
        <w:rPr>
          <w:rFonts w:ascii="Arial" w:cs="Arial" w:eastAsia="Arial" w:hAnsi="Arial"/>
          <w:sz w:val="16"/>
          <w:szCs w:val="16"/>
          <w:color w:val="333333"/>
        </w:rPr>
        <w:t>Reimbursement of costs of continued health coverage for the Standard BioTools Non-CEO Executive, the Standard BioTools Non-CEO Executive’s spouse, and/or the Standard BioTools Non-CEO Executive’s dependents, as applicable, for a period of up to 12 months.</w:t>
      </w:r>
    </w:p>
    <w:p>
      <w:pPr>
        <w:spacing w:after="0" w:line="22" w:lineRule="exact"/>
        <w:rPr>
          <w:rFonts w:ascii="Arial" w:cs="Arial" w:eastAsia="Arial" w:hAnsi="Arial"/>
          <w:sz w:val="16"/>
          <w:szCs w:val="16"/>
          <w:color w:val="333333"/>
        </w:rPr>
      </w:pPr>
    </w:p>
    <w:p>
      <w:pPr>
        <w:ind w:left="720" w:right="220" w:hanging="354"/>
        <w:spacing w:after="0" w:line="266" w:lineRule="auto"/>
        <w:tabs>
          <w:tab w:leader="none" w:pos="720" w:val="left"/>
        </w:tabs>
        <w:numPr>
          <w:ilvl w:val="0"/>
          <w:numId w:val="38"/>
        </w:numPr>
        <w:rPr>
          <w:rFonts w:ascii="Arial" w:cs="Arial" w:eastAsia="Arial" w:hAnsi="Arial"/>
          <w:sz w:val="16"/>
          <w:szCs w:val="16"/>
          <w:color w:val="333333"/>
        </w:rPr>
      </w:pPr>
      <w:r>
        <w:rPr>
          <w:rFonts w:ascii="Arial" w:cs="Arial" w:eastAsia="Arial" w:hAnsi="Arial"/>
          <w:sz w:val="16"/>
          <w:szCs w:val="16"/>
          <w:color w:val="333333"/>
        </w:rPr>
        <w:t>Reasonable outplacement services in accordance with any applicable policy of Standard BioTools that is in effect as of the Standard BioTools Non-CEO Executive’s termination (or if no such policy is in effect, as determined by Standard BioTools).</w:t>
      </w:r>
    </w:p>
    <w:p>
      <w:pPr>
        <w:spacing w:after="0" w:line="22" w:lineRule="exact"/>
        <w:rPr>
          <w:rFonts w:ascii="Arial" w:cs="Arial" w:eastAsia="Arial" w:hAnsi="Arial"/>
          <w:sz w:val="16"/>
          <w:szCs w:val="16"/>
          <w:color w:val="333333"/>
        </w:rPr>
      </w:pPr>
    </w:p>
    <w:p>
      <w:pPr>
        <w:ind w:left="720" w:right="20" w:hanging="354"/>
        <w:spacing w:after="0" w:line="256" w:lineRule="auto"/>
        <w:tabs>
          <w:tab w:leader="none" w:pos="720" w:val="left"/>
        </w:tabs>
        <w:numPr>
          <w:ilvl w:val="0"/>
          <w:numId w:val="38"/>
        </w:numPr>
        <w:rPr>
          <w:rFonts w:ascii="Arial" w:cs="Arial" w:eastAsia="Arial" w:hAnsi="Arial"/>
          <w:sz w:val="16"/>
          <w:szCs w:val="16"/>
          <w:color w:val="333333"/>
        </w:rPr>
      </w:pPr>
      <w:r>
        <w:rPr>
          <w:rFonts w:ascii="Arial" w:cs="Arial" w:eastAsia="Arial" w:hAnsi="Arial"/>
          <w:sz w:val="16"/>
          <w:szCs w:val="16"/>
          <w:color w:val="333333"/>
        </w:rPr>
        <w:t>100% vesting acceleration of a number of unvested shares underlying the Standard BioTools Non-CEO Executive’s then-outstanding unvested equity awards, provided that, if an equity award is to vest and/or the amount of the award to vest is to be determined based on the achievement of performance criteria, then, unless expressly otherwise provided in the applicable equity award agreement, 100% of such equity award will vest assuming the applicable performance criteria had been achieved at target levels for the relevant performance period(s)</w:t>
      </w:r>
    </w:p>
    <w:p>
      <w:pPr>
        <w:spacing w:after="0" w:line="128"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color w:val="333333"/>
        </w:rPr>
        <w:t>Termination of Employment without Cause or for Good Reason Following a Change of Control under the 2024 Standard BioTools Severance Plan</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333333"/>
        </w:rPr>
        <w:t>Under the 2024 Standard BioTools Severance Plan, if the executive’s employment is terminated within the Change of Control Period either (i) by Standard BioTools for a reason other than cause or the Standard BioTools Non-CEO Executive’s death or disability or (ii) by the Standard BioTools Non-CEO Executive for good reason, the Standard BioTools Non-CEO Executive will be entitled to receive the following severance benefits:</w:t>
      </w:r>
    </w:p>
    <w:p>
      <w:pPr>
        <w:spacing w:after="0" w:line="151" w:lineRule="exact"/>
        <w:rPr>
          <w:sz w:val="20"/>
          <w:szCs w:val="20"/>
          <w:color w:val="auto"/>
        </w:rPr>
      </w:pPr>
    </w:p>
    <w:p>
      <w:pPr>
        <w:ind w:left="720" w:right="40" w:hanging="354"/>
        <w:spacing w:after="0" w:line="254" w:lineRule="auto"/>
        <w:tabs>
          <w:tab w:leader="none" w:pos="720" w:val="left"/>
        </w:tabs>
        <w:numPr>
          <w:ilvl w:val="0"/>
          <w:numId w:val="39"/>
        </w:numPr>
        <w:rPr>
          <w:rFonts w:ascii="Arial" w:cs="Arial" w:eastAsia="Arial" w:hAnsi="Arial"/>
          <w:sz w:val="16"/>
          <w:szCs w:val="16"/>
          <w:color w:val="333333"/>
        </w:rPr>
      </w:pPr>
      <w:r>
        <w:rPr>
          <w:rFonts w:ascii="Arial" w:cs="Arial" w:eastAsia="Arial" w:hAnsi="Arial"/>
          <w:sz w:val="16"/>
          <w:szCs w:val="16"/>
          <w:color w:val="333333"/>
        </w:rPr>
        <w:t>A lump-sum payment (less applicable withholdings) totaling 150% of the sum of (x) the Standard BioTools Non-CEO Executive’s annual base salary (as in effect immediately before termination or immediately before the Change of Control, whichever is higher) plus (y) the greater of (A) the Standard BioTools Non-CEO Executive’s annual target cash incentive (as in effect immediately before termination or immediately before the Change of Control, whichever is higher) or (B) the average of the annual cash incentives actually paid to the Standard BioTools Non-CEO Executive’s for the three fiscal years preceding the year in which his or her termination occurs.</w:t>
      </w:r>
    </w:p>
    <w:p>
      <w:pPr>
        <w:spacing w:after="0" w:line="33" w:lineRule="exact"/>
        <w:rPr>
          <w:rFonts w:ascii="Arial" w:cs="Arial" w:eastAsia="Arial" w:hAnsi="Arial"/>
          <w:sz w:val="16"/>
          <w:szCs w:val="16"/>
          <w:color w:val="333333"/>
        </w:rPr>
      </w:pPr>
    </w:p>
    <w:p>
      <w:pPr>
        <w:ind w:left="720" w:hanging="354"/>
        <w:spacing w:after="0" w:line="286" w:lineRule="auto"/>
        <w:tabs>
          <w:tab w:leader="none" w:pos="720" w:val="left"/>
        </w:tabs>
        <w:numPr>
          <w:ilvl w:val="0"/>
          <w:numId w:val="39"/>
        </w:numPr>
        <w:rPr>
          <w:rFonts w:ascii="Arial" w:cs="Arial" w:eastAsia="Arial" w:hAnsi="Arial"/>
          <w:sz w:val="16"/>
          <w:szCs w:val="16"/>
          <w:color w:val="333333"/>
        </w:rPr>
      </w:pPr>
      <w:r>
        <w:rPr>
          <w:rFonts w:ascii="Arial" w:cs="Arial" w:eastAsia="Arial" w:hAnsi="Arial"/>
          <w:sz w:val="16"/>
          <w:szCs w:val="16"/>
          <w:color w:val="333333"/>
        </w:rPr>
        <w:t>A pro-rated payment of the Standard BioTools Non-CEO Executive’s annual target bonus immediately prior to the change of control or the termination, whichever is greater.</w:t>
      </w:r>
    </w:p>
    <w:p>
      <w:pPr>
        <w:spacing w:after="0" w:line="7" w:lineRule="exact"/>
        <w:rPr>
          <w:rFonts w:ascii="Arial" w:cs="Arial" w:eastAsia="Arial" w:hAnsi="Arial"/>
          <w:sz w:val="16"/>
          <w:szCs w:val="16"/>
          <w:color w:val="333333"/>
        </w:rPr>
      </w:pPr>
    </w:p>
    <w:p>
      <w:pPr>
        <w:ind w:left="720" w:right="140" w:hanging="354"/>
        <w:spacing w:after="0" w:line="266" w:lineRule="auto"/>
        <w:tabs>
          <w:tab w:leader="none" w:pos="720" w:val="left"/>
        </w:tabs>
        <w:numPr>
          <w:ilvl w:val="0"/>
          <w:numId w:val="39"/>
        </w:numPr>
        <w:rPr>
          <w:rFonts w:ascii="Arial" w:cs="Arial" w:eastAsia="Arial" w:hAnsi="Arial"/>
          <w:sz w:val="16"/>
          <w:szCs w:val="16"/>
          <w:color w:val="333333"/>
        </w:rPr>
      </w:pPr>
      <w:r>
        <w:rPr>
          <w:rFonts w:ascii="Arial" w:cs="Arial" w:eastAsia="Arial" w:hAnsi="Arial"/>
          <w:sz w:val="16"/>
          <w:szCs w:val="16"/>
          <w:color w:val="333333"/>
        </w:rPr>
        <w:t>Reimbursement of costs for continued health coverage for the Standard BioTools Non-CEO Executive, the Standard BioTools Non-CEO Executive’s spouse, and/or the Standard BioTools Non-CEO Executive’s dependents, as applicable, for a period of up to 18 months.</w:t>
      </w:r>
    </w:p>
    <w:p>
      <w:pPr>
        <w:spacing w:after="0" w:line="36" w:lineRule="exact"/>
        <w:rPr>
          <w:rFonts w:ascii="Arial" w:cs="Arial" w:eastAsia="Arial" w:hAnsi="Arial"/>
          <w:sz w:val="16"/>
          <w:szCs w:val="16"/>
          <w:color w:val="333333"/>
        </w:rPr>
      </w:pPr>
    </w:p>
    <w:p>
      <w:pPr>
        <w:ind w:left="720" w:right="20" w:hanging="354"/>
        <w:spacing w:after="0" w:line="256" w:lineRule="auto"/>
        <w:tabs>
          <w:tab w:leader="none" w:pos="720" w:val="left"/>
        </w:tabs>
        <w:numPr>
          <w:ilvl w:val="0"/>
          <w:numId w:val="39"/>
        </w:numPr>
        <w:rPr>
          <w:rFonts w:ascii="Arial" w:cs="Arial" w:eastAsia="Arial" w:hAnsi="Arial"/>
          <w:sz w:val="16"/>
          <w:szCs w:val="16"/>
          <w:color w:val="333333"/>
        </w:rPr>
      </w:pPr>
      <w:r>
        <w:rPr>
          <w:rFonts w:ascii="Arial" w:cs="Arial" w:eastAsia="Arial" w:hAnsi="Arial"/>
          <w:sz w:val="16"/>
          <w:szCs w:val="16"/>
          <w:color w:val="333333"/>
        </w:rPr>
        <w:t>100% vesting acceleration of the Standard BioTools Non-CEO Executive’s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2023 Severance Plan</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333333"/>
        </w:rPr>
        <w:t>Standard BioTools previously adopted the 2023 Change of Control and Severance Plan and entered into 2023 Change of Control and Severance Plan Participation Agreements (together, the “2023 Standard BioTools Severance Plan”), including with Dr. Egholm. Dr. Egholm is eligible to receive certain payments and benefits under the 2023 Standard BioTools Severance Plan in the event that Dr. Egholm’s employment with Standard BioTools is terminated without “cause,” or Dr. Egholm terminates his employment with Standard BioTools for “good reason” (each as defined in the 2023 Standard BioTools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5"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Termination of Employment Other than for Cause or upon Death or Disability under the 2023 Standard BioTools Severance Plan</w:t>
      </w:r>
    </w:p>
    <w:p>
      <w:pPr>
        <w:spacing w:after="0" w:line="165"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333333"/>
        </w:rPr>
        <w:t>Under the 2023 Standard BioTools Severance Plan, if Dr. Egholm’s employment is terminated outside of the Change of Control Period for a reason other than cause or Dr. Egholm’s death or disability, the Dr. Egholm will be entitled to receive the following severance benefits:</w:t>
      </w:r>
    </w:p>
    <w:p>
      <w:pPr>
        <w:spacing w:after="0" w:line="131" w:lineRule="exact"/>
        <w:rPr>
          <w:sz w:val="20"/>
          <w:szCs w:val="20"/>
          <w:color w:val="auto"/>
        </w:rPr>
      </w:pPr>
    </w:p>
    <w:p>
      <w:pPr>
        <w:ind w:left="720" w:right="180" w:hanging="354"/>
        <w:spacing w:after="0" w:line="286" w:lineRule="auto"/>
        <w:tabs>
          <w:tab w:leader="none" w:pos="720" w:val="left"/>
        </w:tabs>
        <w:numPr>
          <w:ilvl w:val="0"/>
          <w:numId w:val="40"/>
        </w:numPr>
        <w:rPr>
          <w:rFonts w:ascii="Arial" w:cs="Arial" w:eastAsia="Arial" w:hAnsi="Arial"/>
          <w:sz w:val="16"/>
          <w:szCs w:val="16"/>
          <w:color w:val="333333"/>
        </w:rPr>
      </w:pPr>
      <w:r>
        <w:rPr>
          <w:rFonts w:ascii="Arial" w:cs="Arial" w:eastAsia="Arial" w:hAnsi="Arial"/>
          <w:sz w:val="16"/>
          <w:szCs w:val="16"/>
          <w:color w:val="333333"/>
        </w:rPr>
        <w:t>Continued payments (less applicable withholdings) totaling 200% of Dr. Egholm’s annual base salary in effect as of the date of termination in equal installments over a period of 24 months.</w:t>
      </w:r>
    </w:p>
    <w:p>
      <w:pPr>
        <w:spacing w:after="0" w:line="7" w:lineRule="exact"/>
        <w:rPr>
          <w:rFonts w:ascii="Arial" w:cs="Arial" w:eastAsia="Arial" w:hAnsi="Arial"/>
          <w:sz w:val="16"/>
          <w:szCs w:val="16"/>
          <w:color w:val="333333"/>
        </w:rPr>
      </w:pPr>
    </w:p>
    <w:p>
      <w:pPr>
        <w:ind w:left="720" w:right="620" w:hanging="354"/>
        <w:spacing w:after="0" w:line="286" w:lineRule="auto"/>
        <w:tabs>
          <w:tab w:leader="none" w:pos="720" w:val="left"/>
        </w:tabs>
        <w:numPr>
          <w:ilvl w:val="0"/>
          <w:numId w:val="40"/>
        </w:numPr>
        <w:rPr>
          <w:rFonts w:ascii="Arial" w:cs="Arial" w:eastAsia="Arial" w:hAnsi="Arial"/>
          <w:sz w:val="16"/>
          <w:szCs w:val="16"/>
          <w:color w:val="333333"/>
        </w:rPr>
      </w:pPr>
      <w:r>
        <w:rPr>
          <w:rFonts w:ascii="Arial" w:cs="Arial" w:eastAsia="Arial" w:hAnsi="Arial"/>
          <w:sz w:val="16"/>
          <w:szCs w:val="16"/>
          <w:color w:val="333333"/>
        </w:rPr>
        <w:t>Reimbursement of costs of continued health coverage for the Dr. Egholm, his spouse, and/or his dependents, as applicable, for a period of up to 12 months.</w:t>
      </w:r>
    </w:p>
    <w:p>
      <w:pPr>
        <w:spacing w:after="0" w:line="20" w:lineRule="exact"/>
        <w:rPr>
          <w:rFonts w:ascii="Arial" w:cs="Arial" w:eastAsia="Arial" w:hAnsi="Arial"/>
          <w:sz w:val="16"/>
          <w:szCs w:val="16"/>
          <w:color w:val="333333"/>
        </w:rPr>
      </w:pPr>
    </w:p>
    <w:p>
      <w:pPr>
        <w:ind w:left="720" w:right="200" w:hanging="354"/>
        <w:spacing w:after="0" w:line="286" w:lineRule="auto"/>
        <w:tabs>
          <w:tab w:leader="none" w:pos="720" w:val="left"/>
        </w:tabs>
        <w:numPr>
          <w:ilvl w:val="0"/>
          <w:numId w:val="40"/>
        </w:numPr>
        <w:rPr>
          <w:rFonts w:ascii="Arial" w:cs="Arial" w:eastAsia="Arial" w:hAnsi="Arial"/>
          <w:sz w:val="16"/>
          <w:szCs w:val="16"/>
          <w:color w:val="333333"/>
        </w:rPr>
      </w:pPr>
      <w:r>
        <w:rPr>
          <w:rFonts w:ascii="Arial" w:cs="Arial" w:eastAsia="Arial" w:hAnsi="Arial"/>
          <w:sz w:val="16"/>
          <w:szCs w:val="16"/>
          <w:color w:val="333333"/>
        </w:rPr>
        <w:t>Reasonable outplacement services in accordance with any applicable policy of Standard BioTools that is in effect as of Dr. Egholm’s termination (or if no such policy is in effect, as determined by Standard BioTools).</w:t>
      </w:r>
    </w:p>
    <w:p>
      <w:pPr>
        <w:spacing w:after="0" w:line="7" w:lineRule="exact"/>
        <w:rPr>
          <w:rFonts w:ascii="Arial" w:cs="Arial" w:eastAsia="Arial" w:hAnsi="Arial"/>
          <w:sz w:val="16"/>
          <w:szCs w:val="16"/>
          <w:color w:val="333333"/>
        </w:rPr>
      </w:pPr>
    </w:p>
    <w:p>
      <w:pPr>
        <w:ind w:left="720" w:hanging="354"/>
        <w:spacing w:after="0" w:line="266" w:lineRule="auto"/>
        <w:tabs>
          <w:tab w:leader="none" w:pos="720" w:val="left"/>
        </w:tabs>
        <w:numPr>
          <w:ilvl w:val="0"/>
          <w:numId w:val="40"/>
        </w:numPr>
        <w:rPr>
          <w:rFonts w:ascii="Arial" w:cs="Arial" w:eastAsia="Arial" w:hAnsi="Arial"/>
          <w:sz w:val="16"/>
          <w:szCs w:val="16"/>
          <w:color w:val="333333"/>
        </w:rPr>
      </w:pPr>
      <w:r>
        <w:rPr>
          <w:rFonts w:ascii="Arial" w:cs="Arial" w:eastAsia="Arial" w:hAnsi="Arial"/>
          <w:sz w:val="16"/>
          <w:szCs w:val="16"/>
          <w:color w:val="333333"/>
        </w:rPr>
        <w:t>100% vesting acceleration of a number of unvested shares underlying Dr. Egholm’s then-outstanding equity awards that otherwise would vest during the period between his termination date and the one-year anniversary of his termination date (with the remainder forfeited on termination).</w:t>
      </w:r>
    </w:p>
    <w:p>
      <w:pPr>
        <w:spacing w:after="0" w:line="119"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i w:val="1"/>
          <w:iCs w:val="1"/>
          <w:color w:val="333333"/>
        </w:rPr>
        <w:t>Termination of Employment without Cause or for Good Reason Following a Change of Control under the 2023 Standard BioTools Severance Plan</w:t>
      </w:r>
    </w:p>
    <w:p>
      <w:pPr>
        <w:spacing w:after="0" w:line="10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333333"/>
        </w:rPr>
        <w:t>Under the 2023 Standard BioTools Severance Plan, if Dr. Egholm’s employment is terminated within the Change of Control Period either (i) by Standard BioTools for a reason other than cause or Dr. Egholm’s death or disability or (ii) by Dr. Egholm for good reason, Dr. Egholm will be entitled to receive the following severance benefits:</w:t>
      </w:r>
    </w:p>
    <w:p>
      <w:pPr>
        <w:spacing w:after="0" w:line="131" w:lineRule="exact"/>
        <w:rPr>
          <w:sz w:val="20"/>
          <w:szCs w:val="20"/>
          <w:color w:val="auto"/>
        </w:rPr>
      </w:pPr>
    </w:p>
    <w:p>
      <w:pPr>
        <w:ind w:left="720" w:right="100" w:hanging="354"/>
        <w:spacing w:after="0" w:line="256" w:lineRule="auto"/>
        <w:tabs>
          <w:tab w:leader="none" w:pos="720" w:val="left"/>
        </w:tabs>
        <w:numPr>
          <w:ilvl w:val="0"/>
          <w:numId w:val="41"/>
        </w:numPr>
        <w:rPr>
          <w:rFonts w:ascii="Arial" w:cs="Arial" w:eastAsia="Arial" w:hAnsi="Arial"/>
          <w:sz w:val="16"/>
          <w:szCs w:val="16"/>
          <w:color w:val="333333"/>
        </w:rPr>
      </w:pPr>
      <w:r>
        <w:rPr>
          <w:rFonts w:ascii="Arial" w:cs="Arial" w:eastAsia="Arial" w:hAnsi="Arial"/>
          <w:sz w:val="16"/>
          <w:szCs w:val="16"/>
          <w:color w:val="333333"/>
        </w:rPr>
        <w:t>A lump-sum payment (less applicable withholdings) totaling 250% of the sum of (x) Dr. Egholm’s annual base salary (as in effect immediately before termination or immediately before the change of control, whichever is higher) plus (y) the greater of (A) Dr. Egholm’s annual target bonus (as in effect immediately before termination or immediately before the change of control, whichever is higher) or (B) the average of the annual bonuses actually paid to Dr. Egholm for the three fiscal years preceding the year in which termination occurs.</w:t>
      </w:r>
    </w:p>
    <w:p>
      <w:pPr>
        <w:spacing w:after="0" w:line="44" w:lineRule="exact"/>
        <w:rPr>
          <w:rFonts w:ascii="Arial" w:cs="Arial" w:eastAsia="Arial" w:hAnsi="Arial"/>
          <w:sz w:val="16"/>
          <w:szCs w:val="16"/>
          <w:color w:val="333333"/>
        </w:rPr>
      </w:pPr>
    </w:p>
    <w:p>
      <w:pPr>
        <w:ind w:left="720" w:hanging="354"/>
        <w:spacing w:after="0"/>
        <w:tabs>
          <w:tab w:leader="none" w:pos="720" w:val="left"/>
        </w:tabs>
        <w:numPr>
          <w:ilvl w:val="0"/>
          <w:numId w:val="41"/>
        </w:numPr>
        <w:rPr>
          <w:rFonts w:ascii="Arial" w:cs="Arial" w:eastAsia="Arial" w:hAnsi="Arial"/>
          <w:sz w:val="16"/>
          <w:szCs w:val="16"/>
          <w:color w:val="333333"/>
        </w:rPr>
      </w:pPr>
      <w:r>
        <w:rPr>
          <w:rFonts w:ascii="Arial" w:cs="Arial" w:eastAsia="Arial" w:hAnsi="Arial"/>
          <w:sz w:val="16"/>
          <w:szCs w:val="16"/>
          <w:color w:val="333333"/>
        </w:rPr>
        <w:t>A pro-rated payment of Dr. Egholm’s annual target bonus in effect at the time of the change of control.</w:t>
      </w:r>
    </w:p>
    <w:p>
      <w:pPr>
        <w:spacing w:after="0" w:line="72" w:lineRule="exact"/>
        <w:rPr>
          <w:rFonts w:ascii="Arial" w:cs="Arial" w:eastAsia="Arial" w:hAnsi="Arial"/>
          <w:sz w:val="16"/>
          <w:szCs w:val="16"/>
          <w:color w:val="333333"/>
        </w:rPr>
      </w:pPr>
    </w:p>
    <w:p>
      <w:pPr>
        <w:ind w:left="720" w:right="560" w:hanging="354"/>
        <w:spacing w:after="0" w:line="286" w:lineRule="auto"/>
        <w:tabs>
          <w:tab w:leader="none" w:pos="720" w:val="left"/>
        </w:tabs>
        <w:numPr>
          <w:ilvl w:val="0"/>
          <w:numId w:val="41"/>
        </w:numPr>
        <w:rPr>
          <w:rFonts w:ascii="Arial" w:cs="Arial" w:eastAsia="Arial" w:hAnsi="Arial"/>
          <w:sz w:val="16"/>
          <w:szCs w:val="16"/>
          <w:color w:val="333333"/>
        </w:rPr>
      </w:pPr>
      <w:r>
        <w:rPr>
          <w:rFonts w:ascii="Arial" w:cs="Arial" w:eastAsia="Arial" w:hAnsi="Arial"/>
          <w:sz w:val="16"/>
          <w:szCs w:val="16"/>
          <w:color w:val="333333"/>
        </w:rPr>
        <w:t>Reimbursement of costs for continued health coverage for the Dr. Egholm, his spouse, and/or his dependents, as applicable, for a period of up to 30 months.</w:t>
      </w:r>
    </w:p>
    <w:p>
      <w:pPr>
        <w:spacing w:after="0" w:line="7" w:lineRule="exact"/>
        <w:rPr>
          <w:rFonts w:ascii="Arial" w:cs="Arial" w:eastAsia="Arial" w:hAnsi="Arial"/>
          <w:sz w:val="16"/>
          <w:szCs w:val="16"/>
          <w:color w:val="333333"/>
        </w:rPr>
      </w:pPr>
    </w:p>
    <w:p>
      <w:pPr>
        <w:ind w:left="720" w:right="120" w:hanging="354"/>
        <w:spacing w:after="0" w:line="259" w:lineRule="auto"/>
        <w:tabs>
          <w:tab w:leader="none" w:pos="720" w:val="left"/>
        </w:tabs>
        <w:numPr>
          <w:ilvl w:val="0"/>
          <w:numId w:val="41"/>
        </w:numPr>
        <w:rPr>
          <w:rFonts w:ascii="Arial" w:cs="Arial" w:eastAsia="Arial" w:hAnsi="Arial"/>
          <w:sz w:val="16"/>
          <w:szCs w:val="16"/>
          <w:color w:val="333333"/>
        </w:rPr>
      </w:pPr>
      <w:r>
        <w:rPr>
          <w:rFonts w:ascii="Arial" w:cs="Arial" w:eastAsia="Arial" w:hAnsi="Arial"/>
          <w:sz w:val="16"/>
          <w:szCs w:val="16"/>
          <w:color w:val="333333"/>
        </w:rPr>
        <w:t>100% vesting acceleration of Dr. Egholm’s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42" w:lineRule="exact"/>
        <w:rPr>
          <w:rFonts w:ascii="Arial" w:cs="Arial" w:eastAsia="Arial" w:hAnsi="Arial"/>
          <w:sz w:val="16"/>
          <w:szCs w:val="16"/>
          <w:color w:val="333333"/>
        </w:rPr>
      </w:pPr>
    </w:p>
    <w:p>
      <w:pPr>
        <w:ind w:left="720" w:right="200" w:hanging="354"/>
        <w:spacing w:after="0" w:line="259" w:lineRule="auto"/>
        <w:tabs>
          <w:tab w:leader="none" w:pos="720" w:val="left"/>
        </w:tabs>
        <w:numPr>
          <w:ilvl w:val="0"/>
          <w:numId w:val="41"/>
        </w:numPr>
        <w:rPr>
          <w:rFonts w:ascii="Arial" w:cs="Arial" w:eastAsia="Arial" w:hAnsi="Arial"/>
          <w:sz w:val="16"/>
          <w:szCs w:val="16"/>
          <w:color w:val="333333"/>
        </w:rPr>
      </w:pPr>
      <w:r>
        <w:rPr>
          <w:rFonts w:ascii="Arial" w:cs="Arial" w:eastAsia="Arial" w:hAnsi="Arial"/>
          <w:sz w:val="16"/>
          <w:szCs w:val="16"/>
          <w:color w:val="333333"/>
        </w:rPr>
        <w:t>Reasonable outplacement services in accordance with any applicable policy of Standard BioTools that is in effect as of the executive’s termination (or if no such policy is in effect, as determined by Standard BioTools), except that such outplacement services will be in no case less than the outplacement services provided under any applicable policy of Standard BioTools that is in effect immediately prior to the applicable change of control.</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Conditions to the Receipt of Severance Benefits under the 2024 and 2023 Standard BioTools Severance Plans</w:t>
      </w:r>
    </w:p>
    <w:p>
      <w:pPr>
        <w:spacing w:after="0" w:line="16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333333"/>
        </w:rPr>
        <w:t>The severance payments and benefits described above are conditioned upon each of the Standard BioTools Non-CEO Executives’ and Dr. Egholm’s (collectively, the “Standard BioTools Executives”) timely execution and non-revocation of a separation and release of claims agreement in a form reasonably satisfactory to Standard BioTools within the period set forth in the 2023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66" w:lineRule="auto"/>
        <w:rPr>
          <w:sz w:val="20"/>
          <w:szCs w:val="20"/>
          <w:color w:val="auto"/>
        </w:rPr>
      </w:pPr>
      <w:r>
        <w:rPr>
          <w:rFonts w:ascii="Arial" w:cs="Arial" w:eastAsia="Arial" w:hAnsi="Arial"/>
          <w:sz w:val="16"/>
          <w:szCs w:val="16"/>
          <w:color w:val="333333"/>
        </w:rPr>
        <w:t>BioTools Severance Plan or the 2024 Standard BioTools Severance Plan (together, the “Standard BioTools Severance Plans”), as applicable, and compliance with any confidentiality, proprietary information and inventions assignment agreement and any other appropriate agreement between the Standard BioTools Executive and Standard BioTools.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Other Termination of Employment under the 2024 and 2023 Standard BioTools Severance Plans</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333333"/>
        </w:rPr>
        <w:t>If a Standard BioTools Executives’ employment is terminated for any reason other than by Standard BioTools without cause or by the Standard BioTools Executive for good reason (including by reason of death or disability), the Standard BioTools Executive will only be entitled to receive any amounts earned or accrued but unpaid as of the date of termination in accordance with Standard BioTools’ normal policies and practices, including any salary, bonus or incentive compensation with respect to the calendar year prior to the year of termination, business expenses incurred in the performance of the Standard BioTools Executive’s duties, and vacation pay.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280G Cutback under the 2024 and 2023 Standard BioTools Severance Plans</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333333"/>
        </w:rPr>
        <w:t>All payments to a Standard BioTools Executive, as applicable, under the applicable Standard BioTools Severance Plan, including, without limitation, the payment of severance benefits or the accelerated vesting of equity, will be reduced or adjusted to avoid triggering the excise tax imposed by Section 4999 of the Internal Revenue Code (the “Code”), if such adjustment would result in the provision of a greater total benefit, on a net after-tax basis (after taking into account taking any applicable federal, state and local income taxes and the excise tax imposed by Section 4999), to the Standard BioTools Executive.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Termination of the 2024 and 2023 Standard BioTools Severance Plans</w:t>
      </w:r>
    </w:p>
    <w:p>
      <w:pPr>
        <w:spacing w:after="0" w:line="24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333333"/>
        </w:rPr>
        <w:t>The Standard BioTools Severance Plans each have an initial three-year term ending on August 4, 2026 and July 24, 2026,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61" w:lineRule="exact"/>
        <w:rPr>
          <w:sz w:val="20"/>
          <w:szCs w:val="20"/>
          <w:color w:val="auto"/>
        </w:rPr>
      </w:pPr>
    </w:p>
    <w:p>
      <w:pPr>
        <w:jc w:val="center"/>
        <w:ind w:right="-19"/>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Compensation of Non-Employee Directors Compensation Policy</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333333"/>
        </w:rPr>
        <w:t>We have a non-employee director compensation policy (the “Compensation Policy”), adopted in April 2024, pursuant to which non-employee directors receive an annual retainer for service on our Board and an annual retainer for service on committees of the Board as set forth below. Prior to April 2024, we had an outside director equity compensation policy and our Board approved cash compensation terms for outside directors, with substantially similar terms to the Compensation Policy, other than certain amendments to the annual cash retainer for each non-employee director, certain amendments to the initial equity awards and annual equity awards for non-employee directors, and the addition of the annual equity award to the Chairperson, as described below.</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Current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59664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ind w:left="280"/>
              <w:spacing w:after="0"/>
              <w:rPr>
                <w:sz w:val="20"/>
                <w:szCs w:val="20"/>
                <w:color w:val="auto"/>
              </w:rPr>
            </w:pPr>
            <w:r>
              <w:rPr>
                <w:rFonts w:ascii="Arial" w:cs="Arial" w:eastAsia="Arial" w:hAnsi="Arial"/>
                <w:sz w:val="14"/>
                <w:szCs w:val="14"/>
                <w:color w:val="auto"/>
              </w:rPr>
              <w:t>Annual cash retainer for each non-employee director</w:t>
            </w:r>
          </w:p>
        </w:tc>
        <w:tc>
          <w:tcPr>
            <w:tcW w:w="2820" w:type="dxa"/>
            <w:vAlign w:val="bottom"/>
            <w:gridSpan w:val="2"/>
          </w:tcPr>
          <w:p>
            <w:pPr>
              <w:jc w:val="right"/>
              <w:ind w:right="108"/>
              <w:spacing w:after="0"/>
              <w:rPr>
                <w:sz w:val="20"/>
                <w:szCs w:val="20"/>
                <w:color w:val="auto"/>
              </w:rPr>
            </w:pPr>
            <w:r>
              <w:rPr>
                <w:rFonts w:ascii="Arial" w:cs="Arial" w:eastAsia="Arial" w:hAnsi="Arial"/>
                <w:sz w:val="14"/>
                <w:szCs w:val="14"/>
                <w:color w:val="auto"/>
              </w:rPr>
              <w:t>$50,000</w:t>
            </w:r>
          </w:p>
        </w:tc>
      </w:tr>
      <w:tr>
        <w:trPr>
          <w:trHeight w:val="103"/>
        </w:trPr>
        <w:tc>
          <w:tcPr>
            <w:tcW w:w="6580" w:type="dxa"/>
            <w:vAlign w:val="bottom"/>
            <w:tcBorders>
              <w:bottom w:val="single" w:sz="8" w:color="666666"/>
            </w:tcBorders>
          </w:tcPr>
          <w:p>
            <w:pPr>
              <w:spacing w:after="0"/>
              <w:rPr>
                <w:sz w:val="8"/>
                <w:szCs w:val="8"/>
                <w:color w:val="auto"/>
              </w:rPr>
            </w:pPr>
          </w:p>
        </w:tc>
        <w:tc>
          <w:tcPr>
            <w:tcW w:w="2820" w:type="dxa"/>
            <w:vAlign w:val="bottom"/>
            <w:tcBorders>
              <w:bottom w:val="single" w:sz="8" w:color="666666"/>
            </w:tcBorders>
            <w:gridSpan w:val="2"/>
          </w:tcPr>
          <w:p>
            <w:pPr>
              <w:spacing w:after="0"/>
              <w:rPr>
                <w:sz w:val="8"/>
                <w:szCs w:val="8"/>
                <w:color w:val="auto"/>
              </w:rPr>
            </w:pPr>
          </w:p>
        </w:tc>
      </w:tr>
      <w:tr>
        <w:trPr>
          <w:trHeight w:val="296"/>
        </w:trPr>
        <w:tc>
          <w:tcPr>
            <w:tcW w:w="6580" w:type="dxa"/>
            <w:vAlign w:val="bottom"/>
          </w:tcPr>
          <w:p>
            <w:pPr>
              <w:ind w:left="280"/>
              <w:spacing w:after="0"/>
              <w:rPr>
                <w:sz w:val="20"/>
                <w:szCs w:val="20"/>
                <w:color w:val="auto"/>
              </w:rPr>
            </w:pPr>
            <w:r>
              <w:rPr>
                <w:rFonts w:ascii="Arial" w:cs="Arial" w:eastAsia="Arial" w:hAnsi="Arial"/>
                <w:sz w:val="14"/>
                <w:szCs w:val="14"/>
                <w:color w:val="auto"/>
              </w:rPr>
              <w:t>Additional cash retainer for Chairperson of the Board</w:t>
            </w:r>
          </w:p>
        </w:tc>
        <w:tc>
          <w:tcPr>
            <w:tcW w:w="2820" w:type="dxa"/>
            <w:vAlign w:val="bottom"/>
            <w:gridSpan w:val="2"/>
          </w:tcPr>
          <w:p>
            <w:pPr>
              <w:jc w:val="right"/>
              <w:ind w:right="108"/>
              <w:spacing w:after="0"/>
              <w:rPr>
                <w:sz w:val="20"/>
                <w:szCs w:val="20"/>
                <w:color w:val="auto"/>
              </w:rPr>
            </w:pPr>
            <w:r>
              <w:rPr>
                <w:rFonts w:ascii="Arial" w:cs="Arial" w:eastAsia="Arial" w:hAnsi="Arial"/>
                <w:sz w:val="14"/>
                <w:szCs w:val="14"/>
                <w:color w:val="auto"/>
              </w:rPr>
              <w:t>$50,000</w:t>
            </w:r>
          </w:p>
        </w:tc>
      </w:tr>
      <w:tr>
        <w:trPr>
          <w:trHeight w:val="103"/>
        </w:trPr>
        <w:tc>
          <w:tcPr>
            <w:tcW w:w="6580" w:type="dxa"/>
            <w:vAlign w:val="bottom"/>
            <w:tcBorders>
              <w:bottom w:val="single" w:sz="8" w:color="666666"/>
            </w:tcBorders>
          </w:tcPr>
          <w:p>
            <w:pPr>
              <w:spacing w:after="0"/>
              <w:rPr>
                <w:sz w:val="8"/>
                <w:szCs w:val="8"/>
                <w:color w:val="auto"/>
              </w:rPr>
            </w:pPr>
          </w:p>
        </w:tc>
        <w:tc>
          <w:tcPr>
            <w:tcW w:w="2820" w:type="dxa"/>
            <w:vAlign w:val="bottom"/>
            <w:tcBorders>
              <w:bottom w:val="single" w:sz="8" w:color="666666"/>
            </w:tcBorders>
            <w:gridSpan w:val="2"/>
          </w:tcPr>
          <w:p>
            <w:pPr>
              <w:spacing w:after="0"/>
              <w:rPr>
                <w:sz w:val="8"/>
                <w:szCs w:val="8"/>
                <w:color w:val="auto"/>
              </w:rPr>
            </w:pPr>
          </w:p>
        </w:tc>
      </w:tr>
      <w:tr>
        <w:trPr>
          <w:trHeight w:val="296"/>
        </w:trPr>
        <w:tc>
          <w:tcPr>
            <w:tcW w:w="6580" w:type="dxa"/>
            <w:vAlign w:val="bottom"/>
          </w:tcPr>
          <w:p>
            <w:pPr>
              <w:ind w:left="280"/>
              <w:spacing w:after="0"/>
              <w:rPr>
                <w:sz w:val="20"/>
                <w:szCs w:val="20"/>
                <w:color w:val="auto"/>
              </w:rPr>
            </w:pPr>
            <w:r>
              <w:rPr>
                <w:rFonts w:ascii="Arial" w:cs="Arial" w:eastAsia="Arial" w:hAnsi="Arial"/>
                <w:sz w:val="14"/>
                <w:szCs w:val="14"/>
                <w:color w:val="auto"/>
              </w:rPr>
              <w:t>Annual cash retainer for each Audit Committee member</w:t>
            </w:r>
          </w:p>
        </w:tc>
        <w:tc>
          <w:tcPr>
            <w:tcW w:w="2820" w:type="dxa"/>
            <w:vAlign w:val="bottom"/>
            <w:gridSpan w:val="2"/>
          </w:tcPr>
          <w:p>
            <w:pPr>
              <w:jc w:val="right"/>
              <w:ind w:right="108"/>
              <w:spacing w:after="0"/>
              <w:rPr>
                <w:sz w:val="20"/>
                <w:szCs w:val="20"/>
                <w:color w:val="auto"/>
              </w:rPr>
            </w:pPr>
            <w:r>
              <w:rPr>
                <w:rFonts w:ascii="Arial" w:cs="Arial" w:eastAsia="Arial" w:hAnsi="Arial"/>
                <w:sz w:val="14"/>
                <w:szCs w:val="14"/>
                <w:color w:val="auto"/>
              </w:rPr>
              <w:t>$10,000</w:t>
            </w:r>
          </w:p>
        </w:tc>
      </w:tr>
      <w:tr>
        <w:trPr>
          <w:trHeight w:val="103"/>
        </w:trPr>
        <w:tc>
          <w:tcPr>
            <w:tcW w:w="6580" w:type="dxa"/>
            <w:vAlign w:val="bottom"/>
            <w:tcBorders>
              <w:bottom w:val="single" w:sz="8" w:color="666666"/>
            </w:tcBorders>
          </w:tcPr>
          <w:p>
            <w:pPr>
              <w:spacing w:after="0"/>
              <w:rPr>
                <w:sz w:val="8"/>
                <w:szCs w:val="8"/>
                <w:color w:val="auto"/>
              </w:rPr>
            </w:pPr>
          </w:p>
        </w:tc>
        <w:tc>
          <w:tcPr>
            <w:tcW w:w="2240" w:type="dxa"/>
            <w:vAlign w:val="bottom"/>
            <w:tcBorders>
              <w:bottom w:val="single" w:sz="8" w:color="666666"/>
            </w:tcBorders>
          </w:tcPr>
          <w:p>
            <w:pPr>
              <w:spacing w:after="0"/>
              <w:rPr>
                <w:sz w:val="8"/>
                <w:szCs w:val="8"/>
                <w:color w:val="auto"/>
              </w:rPr>
            </w:pPr>
          </w:p>
        </w:tc>
        <w:tc>
          <w:tcPr>
            <w:tcW w:w="580" w:type="dxa"/>
            <w:vAlign w:val="bottom"/>
            <w:tcBorders>
              <w:bottom w:val="single" w:sz="8" w:color="666666"/>
            </w:tcBorders>
          </w:tcPr>
          <w:p>
            <w:pPr>
              <w:spacing w:after="0"/>
              <w:rPr>
                <w:sz w:val="8"/>
                <w:szCs w:val="8"/>
                <w:color w:val="auto"/>
              </w:rPr>
            </w:pPr>
          </w:p>
        </w:tc>
      </w:tr>
      <w:tr>
        <w:trPr>
          <w:trHeight w:val="296"/>
        </w:trPr>
        <w:tc>
          <w:tcPr>
            <w:tcW w:w="6580" w:type="dxa"/>
            <w:vAlign w:val="bottom"/>
          </w:tcPr>
          <w:p>
            <w:pPr>
              <w:ind w:left="280"/>
              <w:spacing w:after="0"/>
              <w:rPr>
                <w:sz w:val="20"/>
                <w:szCs w:val="20"/>
                <w:color w:val="auto"/>
              </w:rPr>
            </w:pPr>
            <w:r>
              <w:rPr>
                <w:rFonts w:ascii="Arial" w:cs="Arial" w:eastAsia="Arial" w:hAnsi="Arial"/>
                <w:sz w:val="14"/>
                <w:szCs w:val="14"/>
                <w:color w:val="auto"/>
              </w:rPr>
              <w:t>Annual cash retainer for each Human Capital Committee member</w:t>
            </w:r>
          </w:p>
        </w:tc>
        <w:tc>
          <w:tcPr>
            <w:tcW w:w="2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7,000</w:t>
            </w:r>
          </w:p>
        </w:tc>
      </w:tr>
      <w:tr>
        <w:trPr>
          <w:trHeight w:val="103"/>
        </w:trPr>
        <w:tc>
          <w:tcPr>
            <w:tcW w:w="6580" w:type="dxa"/>
            <w:vAlign w:val="bottom"/>
            <w:tcBorders>
              <w:bottom w:val="single" w:sz="8" w:color="666666"/>
            </w:tcBorders>
          </w:tcPr>
          <w:p>
            <w:pPr>
              <w:spacing w:after="0"/>
              <w:rPr>
                <w:sz w:val="8"/>
                <w:szCs w:val="8"/>
                <w:color w:val="auto"/>
              </w:rPr>
            </w:pPr>
          </w:p>
        </w:tc>
        <w:tc>
          <w:tcPr>
            <w:tcW w:w="2240" w:type="dxa"/>
            <w:vAlign w:val="bottom"/>
            <w:tcBorders>
              <w:bottom w:val="single" w:sz="8" w:color="666666"/>
            </w:tcBorders>
          </w:tcPr>
          <w:p>
            <w:pPr>
              <w:spacing w:after="0"/>
              <w:rPr>
                <w:sz w:val="8"/>
                <w:szCs w:val="8"/>
                <w:color w:val="auto"/>
              </w:rPr>
            </w:pPr>
          </w:p>
        </w:tc>
        <w:tc>
          <w:tcPr>
            <w:tcW w:w="580" w:type="dxa"/>
            <w:vAlign w:val="bottom"/>
            <w:tcBorders>
              <w:bottom w:val="single" w:sz="8" w:color="666666"/>
            </w:tcBorders>
          </w:tcPr>
          <w:p>
            <w:pPr>
              <w:spacing w:after="0"/>
              <w:rPr>
                <w:sz w:val="8"/>
                <w:szCs w:val="8"/>
                <w:color w:val="auto"/>
              </w:rPr>
            </w:pPr>
          </w:p>
        </w:tc>
      </w:tr>
      <w:tr>
        <w:trPr>
          <w:trHeight w:val="268"/>
        </w:trPr>
        <w:tc>
          <w:tcPr>
            <w:tcW w:w="6580" w:type="dxa"/>
            <w:vAlign w:val="bottom"/>
          </w:tcPr>
          <w:p>
            <w:pPr>
              <w:ind w:left="280"/>
              <w:spacing w:after="0"/>
              <w:rPr>
                <w:sz w:val="20"/>
                <w:szCs w:val="20"/>
                <w:color w:val="auto"/>
              </w:rPr>
            </w:pPr>
            <w:r>
              <w:rPr>
                <w:rFonts w:ascii="Arial" w:cs="Arial" w:eastAsia="Arial" w:hAnsi="Arial"/>
                <w:sz w:val="14"/>
                <w:szCs w:val="14"/>
                <w:color w:val="auto"/>
              </w:rPr>
              <w:t>Annual cash retainer for each Nominating and Corporate</w:t>
            </w:r>
          </w:p>
        </w:tc>
        <w:tc>
          <w:tcPr>
            <w:tcW w:w="22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90"/>
        </w:trPr>
        <w:tc>
          <w:tcPr>
            <w:tcW w:w="6580" w:type="dxa"/>
            <w:vAlign w:val="bottom"/>
          </w:tcPr>
          <w:p>
            <w:pPr>
              <w:ind w:left="280"/>
              <w:spacing w:after="0"/>
              <w:rPr>
                <w:sz w:val="20"/>
                <w:szCs w:val="20"/>
                <w:color w:val="auto"/>
              </w:rPr>
            </w:pPr>
            <w:r>
              <w:rPr>
                <w:rFonts w:ascii="Arial" w:cs="Arial" w:eastAsia="Arial" w:hAnsi="Arial"/>
                <w:sz w:val="14"/>
                <w:szCs w:val="14"/>
                <w:color w:val="auto"/>
              </w:rPr>
              <w:t>Governance Committee member</w:t>
            </w:r>
          </w:p>
        </w:tc>
        <w:tc>
          <w:tcPr>
            <w:tcW w:w="2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5,000</w:t>
            </w:r>
          </w:p>
        </w:tc>
      </w:tr>
      <w:tr>
        <w:trPr>
          <w:trHeight w:val="103"/>
        </w:trPr>
        <w:tc>
          <w:tcPr>
            <w:tcW w:w="6580" w:type="dxa"/>
            <w:vAlign w:val="bottom"/>
            <w:tcBorders>
              <w:bottom w:val="single" w:sz="8" w:color="666666"/>
            </w:tcBorders>
          </w:tcPr>
          <w:p>
            <w:pPr>
              <w:spacing w:after="0"/>
              <w:rPr>
                <w:sz w:val="8"/>
                <w:szCs w:val="8"/>
                <w:color w:val="auto"/>
              </w:rPr>
            </w:pPr>
          </w:p>
        </w:tc>
        <w:tc>
          <w:tcPr>
            <w:tcW w:w="2820" w:type="dxa"/>
            <w:vAlign w:val="bottom"/>
            <w:tcBorders>
              <w:bottom w:val="single" w:sz="8" w:color="666666"/>
            </w:tcBorders>
            <w:gridSpan w:val="2"/>
          </w:tcPr>
          <w:p>
            <w:pPr>
              <w:spacing w:after="0"/>
              <w:rPr>
                <w:sz w:val="8"/>
                <w:szCs w:val="8"/>
                <w:color w:val="auto"/>
              </w:rPr>
            </w:pPr>
          </w:p>
        </w:tc>
      </w:tr>
      <w:tr>
        <w:trPr>
          <w:trHeight w:val="296"/>
        </w:trPr>
        <w:tc>
          <w:tcPr>
            <w:tcW w:w="6580" w:type="dxa"/>
            <w:vAlign w:val="bottom"/>
          </w:tcPr>
          <w:p>
            <w:pPr>
              <w:ind w:left="280"/>
              <w:spacing w:after="0"/>
              <w:rPr>
                <w:sz w:val="20"/>
                <w:szCs w:val="20"/>
                <w:color w:val="auto"/>
              </w:rPr>
            </w:pPr>
            <w:r>
              <w:rPr>
                <w:rFonts w:ascii="Arial" w:cs="Arial" w:eastAsia="Arial" w:hAnsi="Arial"/>
                <w:sz w:val="14"/>
                <w:szCs w:val="14"/>
                <w:color w:val="auto"/>
              </w:rPr>
              <w:t>Annual cash retainer for chairing the Audit Committee</w:t>
            </w:r>
          </w:p>
        </w:tc>
        <w:tc>
          <w:tcPr>
            <w:tcW w:w="2820" w:type="dxa"/>
            <w:vAlign w:val="bottom"/>
            <w:gridSpan w:val="2"/>
          </w:tcPr>
          <w:p>
            <w:pPr>
              <w:jc w:val="right"/>
              <w:ind w:right="108"/>
              <w:spacing w:after="0"/>
              <w:rPr>
                <w:sz w:val="20"/>
                <w:szCs w:val="20"/>
                <w:color w:val="auto"/>
              </w:rPr>
            </w:pPr>
            <w:r>
              <w:rPr>
                <w:rFonts w:ascii="Arial" w:cs="Arial" w:eastAsia="Arial" w:hAnsi="Arial"/>
                <w:sz w:val="14"/>
                <w:szCs w:val="14"/>
                <w:color w:val="auto"/>
              </w:rPr>
              <w:t>$10,000</w:t>
            </w:r>
          </w:p>
        </w:tc>
      </w:tr>
      <w:tr>
        <w:trPr>
          <w:trHeight w:val="103"/>
        </w:trPr>
        <w:tc>
          <w:tcPr>
            <w:tcW w:w="6580" w:type="dxa"/>
            <w:vAlign w:val="bottom"/>
            <w:tcBorders>
              <w:bottom w:val="single" w:sz="8" w:color="666666"/>
            </w:tcBorders>
          </w:tcPr>
          <w:p>
            <w:pPr>
              <w:spacing w:after="0"/>
              <w:rPr>
                <w:sz w:val="8"/>
                <w:szCs w:val="8"/>
                <w:color w:val="auto"/>
              </w:rPr>
            </w:pPr>
          </w:p>
        </w:tc>
        <w:tc>
          <w:tcPr>
            <w:tcW w:w="2240" w:type="dxa"/>
            <w:vAlign w:val="bottom"/>
            <w:tcBorders>
              <w:bottom w:val="single" w:sz="8" w:color="666666"/>
            </w:tcBorders>
          </w:tcPr>
          <w:p>
            <w:pPr>
              <w:spacing w:after="0"/>
              <w:rPr>
                <w:sz w:val="8"/>
                <w:szCs w:val="8"/>
                <w:color w:val="auto"/>
              </w:rPr>
            </w:pPr>
          </w:p>
        </w:tc>
        <w:tc>
          <w:tcPr>
            <w:tcW w:w="580" w:type="dxa"/>
            <w:vAlign w:val="bottom"/>
            <w:tcBorders>
              <w:bottom w:val="single" w:sz="8" w:color="666666"/>
            </w:tcBorders>
          </w:tcPr>
          <w:p>
            <w:pPr>
              <w:spacing w:after="0"/>
              <w:rPr>
                <w:sz w:val="8"/>
                <w:szCs w:val="8"/>
                <w:color w:val="auto"/>
              </w:rPr>
            </w:pPr>
          </w:p>
        </w:tc>
      </w:tr>
      <w:tr>
        <w:trPr>
          <w:trHeight w:val="296"/>
        </w:trPr>
        <w:tc>
          <w:tcPr>
            <w:tcW w:w="6580" w:type="dxa"/>
            <w:vAlign w:val="bottom"/>
          </w:tcPr>
          <w:p>
            <w:pPr>
              <w:ind w:left="280"/>
              <w:spacing w:after="0"/>
              <w:rPr>
                <w:sz w:val="20"/>
                <w:szCs w:val="20"/>
                <w:color w:val="auto"/>
              </w:rPr>
            </w:pPr>
            <w:r>
              <w:rPr>
                <w:rFonts w:ascii="Arial" w:cs="Arial" w:eastAsia="Arial" w:hAnsi="Arial"/>
                <w:sz w:val="14"/>
                <w:szCs w:val="14"/>
                <w:color w:val="auto"/>
              </w:rPr>
              <w:t>Annual cash retainer for chairing the Human Capital Committee</w:t>
            </w:r>
          </w:p>
        </w:tc>
        <w:tc>
          <w:tcPr>
            <w:tcW w:w="2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8,000</w:t>
            </w:r>
          </w:p>
        </w:tc>
      </w:tr>
      <w:tr>
        <w:trPr>
          <w:trHeight w:val="103"/>
        </w:trPr>
        <w:tc>
          <w:tcPr>
            <w:tcW w:w="6580" w:type="dxa"/>
            <w:vAlign w:val="bottom"/>
            <w:tcBorders>
              <w:bottom w:val="single" w:sz="8" w:color="666666"/>
            </w:tcBorders>
          </w:tcPr>
          <w:p>
            <w:pPr>
              <w:spacing w:after="0"/>
              <w:rPr>
                <w:sz w:val="8"/>
                <w:szCs w:val="8"/>
                <w:color w:val="auto"/>
              </w:rPr>
            </w:pPr>
          </w:p>
        </w:tc>
        <w:tc>
          <w:tcPr>
            <w:tcW w:w="2240" w:type="dxa"/>
            <w:vAlign w:val="bottom"/>
            <w:tcBorders>
              <w:bottom w:val="single" w:sz="8" w:color="666666"/>
            </w:tcBorders>
          </w:tcPr>
          <w:p>
            <w:pPr>
              <w:spacing w:after="0"/>
              <w:rPr>
                <w:sz w:val="8"/>
                <w:szCs w:val="8"/>
                <w:color w:val="auto"/>
              </w:rPr>
            </w:pPr>
          </w:p>
        </w:tc>
        <w:tc>
          <w:tcPr>
            <w:tcW w:w="580" w:type="dxa"/>
            <w:vAlign w:val="bottom"/>
            <w:tcBorders>
              <w:bottom w:val="single" w:sz="8" w:color="666666"/>
            </w:tcBorders>
          </w:tcPr>
          <w:p>
            <w:pPr>
              <w:spacing w:after="0"/>
              <w:rPr>
                <w:sz w:val="8"/>
                <w:szCs w:val="8"/>
                <w:color w:val="auto"/>
              </w:rPr>
            </w:pPr>
          </w:p>
        </w:tc>
      </w:tr>
      <w:tr>
        <w:trPr>
          <w:trHeight w:val="268"/>
        </w:trPr>
        <w:tc>
          <w:tcPr>
            <w:tcW w:w="6580" w:type="dxa"/>
            <w:vAlign w:val="bottom"/>
          </w:tcPr>
          <w:p>
            <w:pPr>
              <w:ind w:left="280"/>
              <w:spacing w:after="0"/>
              <w:rPr>
                <w:sz w:val="20"/>
                <w:szCs w:val="20"/>
                <w:color w:val="auto"/>
              </w:rPr>
            </w:pPr>
            <w:r>
              <w:rPr>
                <w:rFonts w:ascii="Arial" w:cs="Arial" w:eastAsia="Arial" w:hAnsi="Arial"/>
                <w:sz w:val="14"/>
                <w:szCs w:val="14"/>
                <w:color w:val="auto"/>
              </w:rPr>
              <w:t>Annual cash retainer for chairing the Nominating and Corporate</w:t>
            </w:r>
          </w:p>
        </w:tc>
        <w:tc>
          <w:tcPr>
            <w:tcW w:w="22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90"/>
        </w:trPr>
        <w:tc>
          <w:tcPr>
            <w:tcW w:w="6580" w:type="dxa"/>
            <w:vAlign w:val="bottom"/>
          </w:tcPr>
          <w:p>
            <w:pPr>
              <w:ind w:left="280"/>
              <w:spacing w:after="0"/>
              <w:rPr>
                <w:sz w:val="20"/>
                <w:szCs w:val="20"/>
                <w:color w:val="auto"/>
              </w:rPr>
            </w:pPr>
            <w:r>
              <w:rPr>
                <w:rFonts w:ascii="Arial" w:cs="Arial" w:eastAsia="Arial" w:hAnsi="Arial"/>
                <w:sz w:val="14"/>
                <w:szCs w:val="14"/>
                <w:color w:val="auto"/>
              </w:rPr>
              <w:t>Governance Committee</w:t>
            </w:r>
          </w:p>
        </w:tc>
        <w:tc>
          <w:tcPr>
            <w:tcW w:w="2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5,000</w:t>
            </w:r>
          </w:p>
        </w:tc>
      </w:tr>
      <w:tr>
        <w:trPr>
          <w:trHeight w:val="76"/>
        </w:trPr>
        <w:tc>
          <w:tcPr>
            <w:tcW w:w="6580" w:type="dxa"/>
            <w:vAlign w:val="bottom"/>
            <w:tcBorders>
              <w:bottom w:val="single" w:sz="8" w:color="24356E"/>
            </w:tcBorders>
          </w:tcPr>
          <w:p>
            <w:pPr>
              <w:spacing w:after="0"/>
              <w:rPr>
                <w:sz w:val="6"/>
                <w:szCs w:val="6"/>
                <w:color w:val="auto"/>
              </w:rPr>
            </w:pPr>
          </w:p>
        </w:tc>
        <w:tc>
          <w:tcPr>
            <w:tcW w:w="2240" w:type="dxa"/>
            <w:vAlign w:val="bottom"/>
            <w:tcBorders>
              <w:bottom w:val="single" w:sz="8" w:color="24356E"/>
            </w:tcBorders>
          </w:tcPr>
          <w:p>
            <w:pPr>
              <w:spacing w:after="0"/>
              <w:rPr>
                <w:sz w:val="6"/>
                <w:szCs w:val="6"/>
                <w:color w:val="auto"/>
              </w:rPr>
            </w:pPr>
          </w:p>
        </w:tc>
        <w:tc>
          <w:tcPr>
            <w:tcW w:w="580" w:type="dxa"/>
            <w:vAlign w:val="bottom"/>
            <w:tcBorders>
              <w:bottom w:val="single" w:sz="8" w:color="24356E"/>
            </w:tcBorders>
          </w:tcPr>
          <w:p>
            <w:pPr>
              <w:spacing w:after="0"/>
              <w:rPr>
                <w:sz w:val="6"/>
                <w:szCs w:val="6"/>
                <w:color w:val="auto"/>
              </w:rPr>
            </w:pPr>
          </w:p>
        </w:tc>
      </w:tr>
    </w:tbl>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33333"/>
        </w:rPr>
        <w:t>The Compensation Policy also provides for the granting of equity compensation to non-employee directors under our 2011 Plan,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5966460" cy="6686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6460" cy="668655"/>
                    </a:xfrm>
                    <a:prstGeom prst="rect">
                      <a:avLst/>
                    </a:prstGeom>
                    <a:noFill/>
                  </pic:spPr>
                </pic:pic>
              </a:graphicData>
            </a:graphic>
          </wp:anchor>
        </w:drawing>
      </w:r>
    </w:p>
    <w:p>
      <w:pPr>
        <w:spacing w:after="0" w:line="167" w:lineRule="exact"/>
        <w:rPr>
          <w:sz w:val="20"/>
          <w:szCs w:val="20"/>
          <w:color w:val="auto"/>
        </w:rPr>
      </w:pPr>
    </w:p>
    <w:p>
      <w:pPr>
        <w:ind w:left="7740"/>
        <w:spacing w:after="0"/>
        <w:rPr>
          <w:sz w:val="20"/>
          <w:szCs w:val="20"/>
          <w:color w:val="auto"/>
        </w:rPr>
      </w:pPr>
      <w:r>
        <w:rPr>
          <w:rFonts w:ascii="Arial" w:cs="Arial" w:eastAsia="Arial" w:hAnsi="Arial"/>
          <w:sz w:val="14"/>
          <w:szCs w:val="14"/>
          <w:color w:val="FFFFFF"/>
        </w:rPr>
        <w:t>Grant Date Value: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80" w:type="dxa"/>
            <w:vAlign w:val="bottom"/>
          </w:tcPr>
          <w:p>
            <w:pPr>
              <w:spacing w:after="0"/>
              <w:rPr>
                <w:sz w:val="23"/>
                <w:szCs w:val="23"/>
                <w:color w:val="auto"/>
              </w:rPr>
            </w:pPr>
          </w:p>
        </w:tc>
        <w:tc>
          <w:tcPr>
            <w:tcW w:w="5760" w:type="dxa"/>
            <w:vAlign w:val="bottom"/>
            <w:shd w:val="clear" w:color="auto" w:fill="24356E"/>
          </w:tcPr>
          <w:p>
            <w:pPr>
              <w:spacing w:after="0"/>
              <w:rPr>
                <w:sz w:val="23"/>
                <w:szCs w:val="23"/>
                <w:color w:val="auto"/>
              </w:rPr>
            </w:pPr>
          </w:p>
        </w:tc>
        <w:tc>
          <w:tcPr>
            <w:tcW w:w="1380" w:type="dxa"/>
            <w:vAlign w:val="bottom"/>
            <w:shd w:val="clear" w:color="auto" w:fill="24356E"/>
          </w:tcPr>
          <w:p>
            <w:pPr>
              <w:spacing w:after="0"/>
              <w:rPr>
                <w:sz w:val="23"/>
                <w:szCs w:val="23"/>
                <w:color w:val="auto"/>
              </w:rPr>
            </w:pPr>
          </w:p>
        </w:tc>
        <w:tc>
          <w:tcPr>
            <w:tcW w:w="920" w:type="dxa"/>
            <w:vAlign w:val="bottom"/>
            <w:shd w:val="clear" w:color="auto" w:fill="24356E"/>
          </w:tcPr>
          <w:p>
            <w:pPr>
              <w:jc w:val="right"/>
              <w:spacing w:after="0"/>
              <w:rPr>
                <w:sz w:val="20"/>
                <w:szCs w:val="20"/>
                <w:color w:val="auto"/>
              </w:rPr>
            </w:pPr>
            <w:r>
              <w:rPr>
                <w:rFonts w:ascii="Arial" w:cs="Arial" w:eastAsia="Arial" w:hAnsi="Arial"/>
                <w:sz w:val="14"/>
                <w:szCs w:val="14"/>
                <w:color w:val="FFFFFF"/>
              </w:rPr>
              <w:t>Stock</w:t>
            </w:r>
          </w:p>
        </w:tc>
        <w:tc>
          <w:tcPr>
            <w:tcW w:w="160" w:type="dxa"/>
            <w:vAlign w:val="bottom"/>
          </w:tcPr>
          <w:p>
            <w:pPr>
              <w:spacing w:after="0"/>
              <w:rPr>
                <w:sz w:val="23"/>
                <w:szCs w:val="23"/>
                <w:color w:val="auto"/>
              </w:rPr>
            </w:pPr>
          </w:p>
        </w:tc>
      </w:tr>
      <w:tr>
        <w:trPr>
          <w:trHeight w:val="190"/>
        </w:trPr>
        <w:tc>
          <w:tcPr>
            <w:tcW w:w="1180" w:type="dxa"/>
            <w:vAlign w:val="bottom"/>
          </w:tcPr>
          <w:p>
            <w:pPr>
              <w:ind w:left="260"/>
              <w:spacing w:after="0"/>
              <w:rPr>
                <w:sz w:val="20"/>
                <w:szCs w:val="20"/>
                <w:color w:val="auto"/>
              </w:rPr>
            </w:pPr>
            <w:r>
              <w:rPr>
                <w:rFonts w:ascii="Arial" w:cs="Arial" w:eastAsia="Arial" w:hAnsi="Arial"/>
                <w:sz w:val="14"/>
                <w:szCs w:val="14"/>
                <w:color w:val="FFFFFF"/>
                <w:w w:val="99"/>
              </w:rPr>
              <w:t>Type of Award</w:t>
            </w:r>
          </w:p>
        </w:tc>
        <w:tc>
          <w:tcPr>
            <w:tcW w:w="5760" w:type="dxa"/>
            <w:vAlign w:val="bottom"/>
            <w:shd w:val="clear" w:color="auto" w:fill="24356E"/>
          </w:tcPr>
          <w:p>
            <w:pPr>
              <w:ind w:left="620"/>
              <w:spacing w:after="0"/>
              <w:rPr>
                <w:sz w:val="20"/>
                <w:szCs w:val="20"/>
                <w:color w:val="auto"/>
              </w:rPr>
            </w:pPr>
            <w:r>
              <w:rPr>
                <w:rFonts w:ascii="Arial" w:cs="Arial" w:eastAsia="Arial" w:hAnsi="Arial"/>
                <w:sz w:val="14"/>
                <w:szCs w:val="14"/>
                <w:color w:val="FFFFFF"/>
              </w:rPr>
              <w:t>Description</w:t>
            </w:r>
          </w:p>
        </w:tc>
        <w:tc>
          <w:tcPr>
            <w:tcW w:w="1380" w:type="dxa"/>
            <w:vAlign w:val="bottom"/>
            <w:shd w:val="clear" w:color="auto" w:fill="24356E"/>
          </w:tcPr>
          <w:p>
            <w:pPr>
              <w:jc w:val="right"/>
              <w:ind w:right="228"/>
              <w:spacing w:after="0"/>
              <w:rPr>
                <w:sz w:val="20"/>
                <w:szCs w:val="20"/>
                <w:color w:val="auto"/>
              </w:rPr>
            </w:pPr>
            <w:r>
              <w:rPr>
                <w:rFonts w:ascii="Arial" w:cs="Arial" w:eastAsia="Arial" w:hAnsi="Arial"/>
                <w:sz w:val="14"/>
                <w:szCs w:val="14"/>
                <w:color w:val="FFFFFF"/>
              </w:rPr>
              <w:t>RSUs​</w:t>
            </w:r>
          </w:p>
        </w:tc>
        <w:tc>
          <w:tcPr>
            <w:tcW w:w="920" w:type="dxa"/>
            <w:vAlign w:val="bottom"/>
            <w:shd w:val="clear" w:color="auto" w:fill="24356E"/>
          </w:tcPr>
          <w:p>
            <w:pPr>
              <w:jc w:val="right"/>
              <w:spacing w:after="0"/>
              <w:rPr>
                <w:sz w:val="20"/>
                <w:szCs w:val="20"/>
                <w:color w:val="auto"/>
              </w:rPr>
            </w:pPr>
            <w:r>
              <w:rPr>
                <w:rFonts w:ascii="Arial" w:cs="Arial" w:eastAsia="Arial" w:hAnsi="Arial"/>
                <w:sz w:val="14"/>
                <w:szCs w:val="14"/>
                <w:color w:val="FFFFFF"/>
              </w:rPr>
              <w:t>Options</w:t>
            </w:r>
          </w:p>
        </w:tc>
        <w:tc>
          <w:tcPr>
            <w:tcW w:w="160" w:type="dxa"/>
            <w:vAlign w:val="bottom"/>
          </w:tcPr>
          <w:p>
            <w:pPr>
              <w:spacing w:after="0"/>
              <w:rPr>
                <w:sz w:val="16"/>
                <w:szCs w:val="16"/>
                <w:color w:val="auto"/>
              </w:rPr>
            </w:pPr>
          </w:p>
        </w:tc>
      </w:tr>
      <w:tr>
        <w:trPr>
          <w:trHeight w:val="116"/>
        </w:trPr>
        <w:tc>
          <w:tcPr>
            <w:tcW w:w="1180" w:type="dxa"/>
            <w:vAlign w:val="bottom"/>
          </w:tcPr>
          <w:p>
            <w:pPr>
              <w:spacing w:after="0"/>
              <w:rPr>
                <w:sz w:val="10"/>
                <w:szCs w:val="10"/>
                <w:color w:val="auto"/>
              </w:rPr>
            </w:pPr>
          </w:p>
        </w:tc>
        <w:tc>
          <w:tcPr>
            <w:tcW w:w="5760" w:type="dxa"/>
            <w:vAlign w:val="bottom"/>
            <w:shd w:val="clear" w:color="auto" w:fill="24356E"/>
          </w:tcPr>
          <w:p>
            <w:pPr>
              <w:spacing w:after="0"/>
              <w:rPr>
                <w:sz w:val="10"/>
                <w:szCs w:val="10"/>
                <w:color w:val="auto"/>
              </w:rPr>
            </w:pPr>
          </w:p>
        </w:tc>
        <w:tc>
          <w:tcPr>
            <w:tcW w:w="1380" w:type="dxa"/>
            <w:vAlign w:val="bottom"/>
            <w:shd w:val="clear" w:color="auto" w:fill="24356E"/>
          </w:tcPr>
          <w:p>
            <w:pPr>
              <w:spacing w:after="0"/>
              <w:rPr>
                <w:sz w:val="10"/>
                <w:szCs w:val="10"/>
                <w:color w:val="auto"/>
              </w:rPr>
            </w:pPr>
          </w:p>
        </w:tc>
        <w:tc>
          <w:tcPr>
            <w:tcW w:w="920" w:type="dxa"/>
            <w:vAlign w:val="bottom"/>
            <w:shd w:val="clear" w:color="auto" w:fill="24356E"/>
          </w:tcPr>
          <w:p>
            <w:pPr>
              <w:spacing w:after="0"/>
              <w:rPr>
                <w:sz w:val="10"/>
                <w:szCs w:val="10"/>
                <w:color w:val="auto"/>
              </w:rPr>
            </w:pPr>
          </w:p>
        </w:tc>
        <w:tc>
          <w:tcPr>
            <w:tcW w:w="160" w:type="dxa"/>
            <w:vAlign w:val="bottom"/>
          </w:tcPr>
          <w:p>
            <w:pPr>
              <w:spacing w:after="0"/>
              <w:rPr>
                <w:sz w:val="10"/>
                <w:szCs w:val="10"/>
                <w:color w:val="auto"/>
              </w:rPr>
            </w:pPr>
          </w:p>
        </w:tc>
      </w:tr>
      <w:tr>
        <w:trPr>
          <w:trHeight w:val="302"/>
        </w:trPr>
        <w:tc>
          <w:tcPr>
            <w:tcW w:w="1180" w:type="dxa"/>
            <w:vAlign w:val="bottom"/>
          </w:tcPr>
          <w:p>
            <w:pPr>
              <w:ind w:left="260"/>
              <w:spacing w:after="0"/>
              <w:rPr>
                <w:sz w:val="20"/>
                <w:szCs w:val="20"/>
                <w:color w:val="auto"/>
              </w:rPr>
            </w:pPr>
            <w:r>
              <w:rPr>
                <w:rFonts w:ascii="Arial" w:cs="Arial" w:eastAsia="Arial" w:hAnsi="Arial"/>
                <w:sz w:val="14"/>
                <w:szCs w:val="14"/>
                <w:color w:val="auto"/>
              </w:rPr>
              <w:t>Initial Awards</w:t>
            </w:r>
          </w:p>
        </w:tc>
        <w:tc>
          <w:tcPr>
            <w:tcW w:w="5760" w:type="dxa"/>
            <w:vAlign w:val="bottom"/>
          </w:tcPr>
          <w:p>
            <w:pPr>
              <w:ind w:left="620"/>
              <w:spacing w:after="0"/>
              <w:rPr>
                <w:sz w:val="20"/>
                <w:szCs w:val="20"/>
                <w:color w:val="auto"/>
              </w:rPr>
            </w:pPr>
            <w:r>
              <w:rPr>
                <w:rFonts w:ascii="Arial" w:cs="Arial" w:eastAsia="Arial" w:hAnsi="Arial"/>
                <w:sz w:val="14"/>
                <w:szCs w:val="14"/>
                <w:color w:val="auto"/>
              </w:rPr>
              <w:t>Granted to new non-employee directors upon initial election / appointment</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$350,000</w:t>
            </w:r>
          </w:p>
        </w:tc>
        <w:tc>
          <w:tcPr>
            <w:tcW w:w="160" w:type="dxa"/>
            <w:vAlign w:val="bottom"/>
          </w:tcPr>
          <w:p>
            <w:pPr>
              <w:spacing w:after="0"/>
              <w:rPr>
                <w:sz w:val="24"/>
                <w:szCs w:val="24"/>
                <w:color w:val="auto"/>
              </w:rPr>
            </w:pPr>
          </w:p>
        </w:tc>
      </w:tr>
      <w:tr>
        <w:trPr>
          <w:trHeight w:val="103"/>
        </w:trPr>
        <w:tc>
          <w:tcPr>
            <w:tcW w:w="1180" w:type="dxa"/>
            <w:vAlign w:val="bottom"/>
            <w:tcBorders>
              <w:bottom w:val="single" w:sz="8" w:color="666666"/>
            </w:tcBorders>
          </w:tcPr>
          <w:p>
            <w:pPr>
              <w:spacing w:after="0"/>
              <w:rPr>
                <w:sz w:val="8"/>
                <w:szCs w:val="8"/>
                <w:color w:val="auto"/>
              </w:rPr>
            </w:pPr>
          </w:p>
        </w:tc>
        <w:tc>
          <w:tcPr>
            <w:tcW w:w="5760" w:type="dxa"/>
            <w:vAlign w:val="bottom"/>
            <w:tcBorders>
              <w:bottom w:val="single" w:sz="8" w:color="666666"/>
            </w:tcBorders>
          </w:tcPr>
          <w:p>
            <w:pPr>
              <w:spacing w:after="0"/>
              <w:rPr>
                <w:sz w:val="8"/>
                <w:szCs w:val="8"/>
                <w:color w:val="auto"/>
              </w:rPr>
            </w:pPr>
          </w:p>
        </w:tc>
        <w:tc>
          <w:tcPr>
            <w:tcW w:w="138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160" w:type="dxa"/>
            <w:vAlign w:val="bottom"/>
            <w:tcBorders>
              <w:bottom w:val="single" w:sz="8" w:color="666666"/>
            </w:tcBorders>
          </w:tcPr>
          <w:p>
            <w:pPr>
              <w:spacing w:after="0"/>
              <w:rPr>
                <w:sz w:val="8"/>
                <w:szCs w:val="8"/>
                <w:color w:val="auto"/>
              </w:rPr>
            </w:pPr>
          </w:p>
        </w:tc>
      </w:tr>
      <w:tr>
        <w:trPr>
          <w:trHeight w:val="268"/>
        </w:trPr>
        <w:tc>
          <w:tcPr>
            <w:tcW w:w="1180" w:type="dxa"/>
            <w:vAlign w:val="bottom"/>
          </w:tcPr>
          <w:p>
            <w:pPr>
              <w:ind w:left="260"/>
              <w:spacing w:after="0"/>
              <w:rPr>
                <w:sz w:val="20"/>
                <w:szCs w:val="20"/>
                <w:color w:val="auto"/>
              </w:rPr>
            </w:pPr>
            <w:r>
              <w:rPr>
                <w:rFonts w:ascii="Arial" w:cs="Arial" w:eastAsia="Arial" w:hAnsi="Arial"/>
                <w:sz w:val="14"/>
                <w:szCs w:val="14"/>
                <w:color w:val="auto"/>
              </w:rPr>
              <w:t>Annual</w:t>
            </w:r>
          </w:p>
        </w:tc>
        <w:tc>
          <w:tcPr>
            <w:tcW w:w="5760" w:type="dxa"/>
            <w:vAlign w:val="bottom"/>
          </w:tcPr>
          <w:p>
            <w:pPr>
              <w:ind w:left="620"/>
              <w:spacing w:after="0"/>
              <w:rPr>
                <w:sz w:val="20"/>
                <w:szCs w:val="20"/>
                <w:color w:val="auto"/>
              </w:rPr>
            </w:pPr>
            <w:r>
              <w:rPr>
                <w:rFonts w:ascii="Arial" w:cs="Arial" w:eastAsia="Arial" w:hAnsi="Arial"/>
                <w:sz w:val="14"/>
                <w:szCs w:val="14"/>
                <w:color w:val="auto"/>
              </w:rPr>
              <w:t>Granted to continuing non-employee directors on the date of each annual</w:t>
            </w:r>
          </w:p>
        </w:tc>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90"/>
        </w:trPr>
        <w:tc>
          <w:tcPr>
            <w:tcW w:w="1180" w:type="dxa"/>
            <w:vAlign w:val="bottom"/>
          </w:tcPr>
          <w:p>
            <w:pPr>
              <w:ind w:left="260"/>
              <w:spacing w:after="0"/>
              <w:rPr>
                <w:sz w:val="20"/>
                <w:szCs w:val="20"/>
                <w:color w:val="auto"/>
              </w:rPr>
            </w:pPr>
            <w:r>
              <w:rPr>
                <w:rFonts w:ascii="Arial" w:cs="Arial" w:eastAsia="Arial" w:hAnsi="Arial"/>
                <w:sz w:val="14"/>
                <w:szCs w:val="14"/>
                <w:color w:val="auto"/>
              </w:rPr>
              <w:t>Awards</w:t>
            </w:r>
          </w:p>
        </w:tc>
        <w:tc>
          <w:tcPr>
            <w:tcW w:w="5760" w:type="dxa"/>
            <w:vAlign w:val="bottom"/>
          </w:tcPr>
          <w:p>
            <w:pPr>
              <w:ind w:left="620"/>
              <w:spacing w:after="0"/>
              <w:rPr>
                <w:sz w:val="20"/>
                <w:szCs w:val="20"/>
                <w:color w:val="auto"/>
              </w:rPr>
            </w:pPr>
            <w:r>
              <w:rPr>
                <w:rFonts w:ascii="Arial" w:cs="Arial" w:eastAsia="Arial" w:hAnsi="Arial"/>
                <w:sz w:val="14"/>
                <w:szCs w:val="14"/>
                <w:color w:val="auto"/>
              </w:rPr>
              <w:t>meeting of the Company’s stockholders</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$100,000</w:t>
            </w:r>
          </w:p>
        </w:tc>
        <w:tc>
          <w:tcPr>
            <w:tcW w:w="920" w:type="dxa"/>
            <w:vAlign w:val="bottom"/>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6"/>
                <w:szCs w:val="16"/>
                <w:color w:val="auto"/>
              </w:rPr>
            </w:pPr>
          </w:p>
        </w:tc>
      </w:tr>
      <w:tr>
        <w:trPr>
          <w:trHeight w:val="103"/>
        </w:trPr>
        <w:tc>
          <w:tcPr>
            <w:tcW w:w="1180" w:type="dxa"/>
            <w:vAlign w:val="bottom"/>
            <w:tcBorders>
              <w:bottom w:val="single" w:sz="8" w:color="666666"/>
            </w:tcBorders>
          </w:tcPr>
          <w:p>
            <w:pPr>
              <w:spacing w:after="0"/>
              <w:rPr>
                <w:sz w:val="8"/>
                <w:szCs w:val="8"/>
                <w:color w:val="auto"/>
              </w:rPr>
            </w:pPr>
          </w:p>
        </w:tc>
        <w:tc>
          <w:tcPr>
            <w:tcW w:w="5760" w:type="dxa"/>
            <w:vAlign w:val="bottom"/>
            <w:tcBorders>
              <w:bottom w:val="single" w:sz="8" w:color="666666"/>
            </w:tcBorders>
          </w:tcPr>
          <w:p>
            <w:pPr>
              <w:spacing w:after="0"/>
              <w:rPr>
                <w:sz w:val="8"/>
                <w:szCs w:val="8"/>
                <w:color w:val="auto"/>
              </w:rPr>
            </w:pPr>
          </w:p>
        </w:tc>
        <w:tc>
          <w:tcPr>
            <w:tcW w:w="1380" w:type="dxa"/>
            <w:vAlign w:val="bottom"/>
            <w:tcBorders>
              <w:bottom w:val="single" w:sz="8" w:color="666666"/>
            </w:tcBorders>
          </w:tcPr>
          <w:p>
            <w:pPr>
              <w:spacing w:after="0"/>
              <w:rPr>
                <w:sz w:val="8"/>
                <w:szCs w:val="8"/>
                <w:color w:val="auto"/>
              </w:rPr>
            </w:pPr>
          </w:p>
        </w:tc>
        <w:tc>
          <w:tcPr>
            <w:tcW w:w="920" w:type="dxa"/>
            <w:vAlign w:val="bottom"/>
            <w:tcBorders>
              <w:bottom w:val="single" w:sz="8" w:color="666666"/>
            </w:tcBorders>
          </w:tcPr>
          <w:p>
            <w:pPr>
              <w:spacing w:after="0"/>
              <w:rPr>
                <w:sz w:val="8"/>
                <w:szCs w:val="8"/>
                <w:color w:val="auto"/>
              </w:rPr>
            </w:pPr>
          </w:p>
        </w:tc>
        <w:tc>
          <w:tcPr>
            <w:tcW w:w="160" w:type="dxa"/>
            <w:vAlign w:val="bottom"/>
            <w:tcBorders>
              <w:bottom w:val="single" w:sz="8" w:color="666666"/>
            </w:tcBorders>
          </w:tcPr>
          <w:p>
            <w:pPr>
              <w:spacing w:after="0"/>
              <w:rPr>
                <w:sz w:val="8"/>
                <w:szCs w:val="8"/>
                <w:color w:val="auto"/>
              </w:rPr>
            </w:pPr>
          </w:p>
        </w:tc>
      </w:tr>
      <w:tr>
        <w:trPr>
          <w:trHeight w:val="268"/>
        </w:trPr>
        <w:tc>
          <w:tcPr>
            <w:tcW w:w="1180" w:type="dxa"/>
            <w:vAlign w:val="bottom"/>
          </w:tcPr>
          <w:p>
            <w:pPr>
              <w:ind w:left="260"/>
              <w:spacing w:after="0"/>
              <w:rPr>
                <w:sz w:val="20"/>
                <w:szCs w:val="20"/>
                <w:color w:val="auto"/>
              </w:rPr>
            </w:pPr>
            <w:r>
              <w:rPr>
                <w:rFonts w:ascii="Arial" w:cs="Arial" w:eastAsia="Arial" w:hAnsi="Arial"/>
                <w:sz w:val="14"/>
                <w:szCs w:val="14"/>
                <w:color w:val="auto"/>
              </w:rPr>
              <w:t>Chairperson</w:t>
            </w:r>
          </w:p>
        </w:tc>
        <w:tc>
          <w:tcPr>
            <w:tcW w:w="5760" w:type="dxa"/>
            <w:vAlign w:val="bottom"/>
          </w:tcPr>
          <w:p>
            <w:pPr>
              <w:ind w:left="620"/>
              <w:spacing w:after="0"/>
              <w:rPr>
                <w:sz w:val="20"/>
                <w:szCs w:val="20"/>
                <w:color w:val="auto"/>
              </w:rPr>
            </w:pPr>
            <w:r>
              <w:rPr>
                <w:rFonts w:ascii="Arial" w:cs="Arial" w:eastAsia="Arial" w:hAnsi="Arial"/>
                <w:sz w:val="14"/>
                <w:szCs w:val="14"/>
                <w:color w:val="auto"/>
              </w:rPr>
              <w:t>Granted to continuing non-employee director for chairing the Board on the</w:t>
            </w:r>
          </w:p>
        </w:tc>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90"/>
        </w:trPr>
        <w:tc>
          <w:tcPr>
            <w:tcW w:w="1180" w:type="dxa"/>
            <w:vAlign w:val="bottom"/>
          </w:tcPr>
          <w:p>
            <w:pPr>
              <w:ind w:left="260"/>
              <w:spacing w:after="0"/>
              <w:rPr>
                <w:sz w:val="20"/>
                <w:szCs w:val="20"/>
                <w:color w:val="auto"/>
              </w:rPr>
            </w:pPr>
            <w:r>
              <w:rPr>
                <w:rFonts w:ascii="Arial" w:cs="Arial" w:eastAsia="Arial" w:hAnsi="Arial"/>
                <w:sz w:val="14"/>
                <w:szCs w:val="14"/>
                <w:color w:val="auto"/>
              </w:rPr>
              <w:t>Annual Award</w:t>
            </w:r>
          </w:p>
        </w:tc>
        <w:tc>
          <w:tcPr>
            <w:tcW w:w="5760" w:type="dxa"/>
            <w:vAlign w:val="bottom"/>
          </w:tcPr>
          <w:p>
            <w:pPr>
              <w:ind w:left="620"/>
              <w:spacing w:after="0"/>
              <w:rPr>
                <w:sz w:val="20"/>
                <w:szCs w:val="20"/>
                <w:color w:val="auto"/>
              </w:rPr>
            </w:pPr>
            <w:r>
              <w:rPr>
                <w:rFonts w:ascii="Arial" w:cs="Arial" w:eastAsia="Arial" w:hAnsi="Arial"/>
                <w:sz w:val="14"/>
                <w:szCs w:val="14"/>
                <w:color w:val="auto"/>
              </w:rPr>
              <w:t>date of each annual meeting of the Company’s stockholders</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$ 50,000</w:t>
            </w:r>
          </w:p>
        </w:tc>
        <w:tc>
          <w:tcPr>
            <w:tcW w:w="160" w:type="dxa"/>
            <w:vAlign w:val="bottom"/>
          </w:tcPr>
          <w:p>
            <w:pPr>
              <w:spacing w:after="0"/>
              <w:rPr>
                <w:sz w:val="16"/>
                <w:szCs w:val="16"/>
                <w:color w:val="auto"/>
              </w:rPr>
            </w:pPr>
          </w:p>
        </w:tc>
      </w:tr>
      <w:tr>
        <w:trPr>
          <w:trHeight w:val="76"/>
        </w:trPr>
        <w:tc>
          <w:tcPr>
            <w:tcW w:w="1180" w:type="dxa"/>
            <w:vAlign w:val="bottom"/>
            <w:tcBorders>
              <w:bottom w:val="single" w:sz="8" w:color="24356E"/>
            </w:tcBorders>
          </w:tcPr>
          <w:p>
            <w:pPr>
              <w:spacing w:after="0"/>
              <w:rPr>
                <w:sz w:val="6"/>
                <w:szCs w:val="6"/>
                <w:color w:val="auto"/>
              </w:rPr>
            </w:pPr>
          </w:p>
        </w:tc>
        <w:tc>
          <w:tcPr>
            <w:tcW w:w="5760" w:type="dxa"/>
            <w:vAlign w:val="bottom"/>
            <w:tcBorders>
              <w:bottom w:val="single" w:sz="8" w:color="24356E"/>
            </w:tcBorders>
          </w:tcPr>
          <w:p>
            <w:pPr>
              <w:spacing w:after="0"/>
              <w:rPr>
                <w:sz w:val="6"/>
                <w:szCs w:val="6"/>
                <w:color w:val="auto"/>
              </w:rPr>
            </w:pPr>
          </w:p>
        </w:tc>
        <w:tc>
          <w:tcPr>
            <w:tcW w:w="1380" w:type="dxa"/>
            <w:vAlign w:val="bottom"/>
            <w:tcBorders>
              <w:bottom w:val="single" w:sz="8" w:color="24356E"/>
            </w:tcBorders>
          </w:tcPr>
          <w:p>
            <w:pPr>
              <w:spacing w:after="0"/>
              <w:rPr>
                <w:sz w:val="6"/>
                <w:szCs w:val="6"/>
                <w:color w:val="auto"/>
              </w:rPr>
            </w:pPr>
          </w:p>
        </w:tc>
        <w:tc>
          <w:tcPr>
            <w:tcW w:w="920" w:type="dxa"/>
            <w:vAlign w:val="bottom"/>
            <w:tcBorders>
              <w:bottom w:val="single" w:sz="8" w:color="24356E"/>
            </w:tcBorders>
          </w:tcPr>
          <w:p>
            <w:pPr>
              <w:spacing w:after="0"/>
              <w:rPr>
                <w:sz w:val="6"/>
                <w:szCs w:val="6"/>
                <w:color w:val="auto"/>
              </w:rPr>
            </w:pPr>
          </w:p>
        </w:tc>
        <w:tc>
          <w:tcPr>
            <w:tcW w:w="160" w:type="dxa"/>
            <w:vAlign w:val="bottom"/>
            <w:tcBorders>
              <w:bottom w:val="single" w:sz="8" w:color="24356E"/>
            </w:tcBorders>
          </w:tcPr>
          <w:p>
            <w:pPr>
              <w:spacing w:after="0"/>
              <w:rPr>
                <w:sz w:val="6"/>
                <w:szCs w:val="6"/>
                <w:color w:val="auto"/>
              </w:rPr>
            </w:pPr>
          </w:p>
        </w:tc>
      </w:tr>
    </w:tbl>
    <w:p>
      <w:pPr>
        <w:spacing w:after="0" w:line="25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333333"/>
        </w:rPr>
        <w:t>Non-employee directors are eligible to receive all types of awards under the 2011 Plan except for incentive stock options and may receive discretionary awards not covered by the Compensation Policy.</w:t>
      </w:r>
    </w:p>
    <w:p>
      <w:pPr>
        <w:spacing w:after="0" w:line="10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333333"/>
        </w:rPr>
        <w:t>The exercise price of all stock options granted pursuant to the Compensation Policy will be 100% of the fair market value of our common stock on the date of grant and the term of all stock options will be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61"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333333"/>
        </w:rPr>
        <w:t>All awards granted to non-employee directors under the 2011 Plan are subject to vesting, conditioned upon the recipient’s continued service on the Board through the applicable vesting date, as set forth below.</w:t>
      </w:r>
    </w:p>
    <w:p>
      <w:pPr>
        <w:spacing w:after="0" w:line="115" w:lineRule="exact"/>
        <w:rPr>
          <w:sz w:val="20"/>
          <w:szCs w:val="20"/>
          <w:color w:val="auto"/>
        </w:rPr>
      </w:pPr>
    </w:p>
    <w:p>
      <w:pPr>
        <w:ind w:left="720" w:hanging="354"/>
        <w:spacing w:after="0"/>
        <w:tabs>
          <w:tab w:leader="none" w:pos="720" w:val="left"/>
        </w:tabs>
        <w:numPr>
          <w:ilvl w:val="0"/>
          <w:numId w:val="42"/>
        </w:numPr>
        <w:rPr>
          <w:rFonts w:ascii="Arial" w:cs="Arial" w:eastAsia="Arial" w:hAnsi="Arial"/>
          <w:sz w:val="16"/>
          <w:szCs w:val="16"/>
          <w:color w:val="333333"/>
        </w:rPr>
      </w:pPr>
      <w:r>
        <w:rPr>
          <w:rFonts w:ascii="Arial" w:cs="Arial" w:eastAsia="Arial" w:hAnsi="Arial"/>
          <w:sz w:val="16"/>
          <w:szCs w:val="16"/>
          <w:color w:val="333333"/>
        </w:rPr>
        <w:t>Initial option awards vest and become exercisable in four equal annual installments.</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42"/>
        </w:numPr>
        <w:rPr>
          <w:rFonts w:ascii="Arial" w:cs="Arial" w:eastAsia="Arial" w:hAnsi="Arial"/>
          <w:sz w:val="16"/>
          <w:szCs w:val="16"/>
          <w:color w:val="333333"/>
        </w:rPr>
      </w:pPr>
      <w:r>
        <w:rPr>
          <w:rFonts w:ascii="Arial" w:cs="Arial" w:eastAsia="Arial" w:hAnsi="Arial"/>
          <w:sz w:val="16"/>
          <w:szCs w:val="16"/>
          <w:color w:val="333333"/>
        </w:rPr>
        <w:t>Annual option awards and Chairperson annual awards vest and become exercisable in 12 equal monthly installments.</w:t>
      </w:r>
    </w:p>
    <w:p>
      <w:pPr>
        <w:spacing w:after="0" w:line="86" w:lineRule="exact"/>
        <w:rPr>
          <w:rFonts w:ascii="Arial" w:cs="Arial" w:eastAsia="Arial" w:hAnsi="Arial"/>
          <w:sz w:val="16"/>
          <w:szCs w:val="16"/>
          <w:color w:val="333333"/>
        </w:rPr>
      </w:pPr>
    </w:p>
    <w:p>
      <w:pPr>
        <w:ind w:left="720" w:right="60" w:hanging="354"/>
        <w:spacing w:after="0" w:line="286" w:lineRule="auto"/>
        <w:tabs>
          <w:tab w:leader="none" w:pos="720" w:val="left"/>
        </w:tabs>
        <w:numPr>
          <w:ilvl w:val="0"/>
          <w:numId w:val="42"/>
        </w:numPr>
        <w:rPr>
          <w:rFonts w:ascii="Arial" w:cs="Arial" w:eastAsia="Arial" w:hAnsi="Arial"/>
          <w:sz w:val="16"/>
          <w:szCs w:val="16"/>
          <w:color w:val="333333"/>
        </w:rPr>
      </w:pPr>
      <w:r>
        <w:rPr>
          <w:rFonts w:ascii="Arial" w:cs="Arial" w:eastAsia="Arial" w:hAnsi="Arial"/>
          <w:sz w:val="16"/>
          <w:szCs w:val="16"/>
          <w:color w:val="333333"/>
        </w:rPr>
        <w:t>Annual RSU awards vest in full on the earlier to occur of (i) the first anniversary of the grant date and (ii) one day prior to the date of the Company’s next annual meeting of stockholders.</w:t>
      </w:r>
    </w:p>
    <w:p>
      <w:pPr>
        <w:spacing w:after="0" w:line="10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333333"/>
        </w:rPr>
        <w:t>Pursuant to the Compensation Policy, in the event of a Change of Control as defined in the 2011 Plan, all unvested equity awards then held by non-employee directors will become 100% fully vested as of the closing of the Change in Control.</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RSUs in Lieu of Cash and RSU Deferral</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6"/>
          <w:szCs w:val="16"/>
          <w:color w:val="333333"/>
        </w:rPr>
        <w:t>Non-employee directors have the option to elect to receive an RSU award in lieu of 100% of their annual cash retainers payable for services to be rendered as a non-employee director, Chairperson of the Board, or Chair or member of any Board committee. RSUs elected in lieu of payments in cash vest quarterly during the service year but settlement of such RSUs can be deferred as described below.</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Each non-employee director may elect to defer settlement of his or her RSU grants until the earlier of the termination of his or her service on our Board or a qualifying change in control.</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Non-Employee Director Stock Ownership Guidelines</w:t>
      </w:r>
    </w:p>
    <w:p>
      <w:pPr>
        <w:spacing w:after="0" w:line="139"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333333"/>
        </w:rPr>
        <w:t>In addition to the stock ownership guidelines discussed above applicable to our CEO and other executive officers, we maintain stock ownership guidelines for our non-employee directors to further align their interests with the interests of our stockholders, which we review and revise periodically.</w:t>
      </w:r>
    </w:p>
    <w:p>
      <w:pPr>
        <w:spacing w:after="0" w:line="11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333333"/>
        </w:rPr>
        <w:t>Pursuant to the guidelines, which were most recently updated by our Board in January 2023, each non-employee director is expected to accumulate and hold a number of shares of our common stock equal to four times his or her Board cash retainer,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of the guidelines or the date a newly appointed non-employee director joins the Board.</w:t>
      </w:r>
    </w:p>
    <w:p>
      <w:pPr>
        <w:spacing w:after="0" w:line="12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333333"/>
        </w:rPr>
        <w:t>Non-employee directors are not required to purchase shares on the open market in order to comply with the guidelines. In the event a non-employee director falls out of compliance with the guidelines at any time, they will be required to maintain 50% of the shares (net of tax and exercise costs) acquired through the vesting or exercise of awards until the guidelines are again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7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2024 Director Compensation</w:t>
      </w:r>
    </w:p>
    <w:p>
      <w:pPr>
        <w:spacing w:after="0" w:line="13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333333"/>
        </w:rPr>
        <w:t>The following table sets forth information concerning compensation paid or accrued for services rendered to us by members of our Board for the year ended December 31, 2024. The table excludes Dr. Egholm, who was a named executive officer during 2024, and did not receive any compensation from us in his role as a director in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820" w:type="dxa"/>
            <w:vAlign w:val="bottom"/>
            <w:shd w:val="clear" w:color="auto" w:fill="24356E"/>
          </w:tcPr>
          <w:p>
            <w:pPr>
              <w:spacing w:after="0"/>
              <w:rPr>
                <w:sz w:val="24"/>
                <w:szCs w:val="24"/>
                <w:color w:val="auto"/>
              </w:rPr>
            </w:pPr>
          </w:p>
        </w:tc>
        <w:tc>
          <w:tcPr>
            <w:tcW w:w="2220" w:type="dxa"/>
            <w:vAlign w:val="bottom"/>
            <w:gridSpan w:val="2"/>
            <w:shd w:val="clear" w:color="auto" w:fill="24356E"/>
          </w:tcPr>
          <w:p>
            <w:pPr>
              <w:jc w:val="right"/>
              <w:ind w:right="428"/>
              <w:spacing w:after="0"/>
              <w:rPr>
                <w:sz w:val="20"/>
                <w:szCs w:val="20"/>
                <w:color w:val="auto"/>
              </w:rPr>
            </w:pPr>
            <w:r>
              <w:rPr>
                <w:rFonts w:ascii="Arial" w:cs="Arial" w:eastAsia="Arial" w:hAnsi="Arial"/>
                <w:sz w:val="14"/>
                <w:szCs w:val="14"/>
                <w:color w:val="FFFFFF"/>
              </w:rPr>
              <w:t>Fees Earned</w:t>
            </w:r>
          </w:p>
        </w:tc>
        <w:tc>
          <w:tcPr>
            <w:tcW w:w="1520" w:type="dxa"/>
            <w:vAlign w:val="bottom"/>
            <w:shd w:val="clear" w:color="auto" w:fill="24356E"/>
          </w:tcPr>
          <w:p>
            <w:pPr>
              <w:ind w:left="700"/>
              <w:spacing w:after="0"/>
              <w:rPr>
                <w:sz w:val="20"/>
                <w:szCs w:val="20"/>
                <w:color w:val="auto"/>
              </w:rPr>
            </w:pPr>
            <w:r>
              <w:rPr>
                <w:rFonts w:ascii="Arial" w:cs="Arial" w:eastAsia="Arial" w:hAnsi="Arial"/>
                <w:sz w:val="14"/>
                <w:szCs w:val="14"/>
                <w:color w:val="FFFFFF"/>
              </w:rPr>
              <w:t>Stock</w:t>
            </w:r>
          </w:p>
        </w:tc>
        <w:tc>
          <w:tcPr>
            <w:tcW w:w="1580" w:type="dxa"/>
            <w:vAlign w:val="bottom"/>
            <w:shd w:val="clear" w:color="auto" w:fill="24356E"/>
          </w:tcPr>
          <w:p>
            <w:pPr>
              <w:jc w:val="right"/>
              <w:ind w:right="388"/>
              <w:spacing w:after="0"/>
              <w:rPr>
                <w:sz w:val="20"/>
                <w:szCs w:val="20"/>
                <w:color w:val="auto"/>
              </w:rPr>
            </w:pPr>
            <w:r>
              <w:rPr>
                <w:rFonts w:ascii="Arial" w:cs="Arial" w:eastAsia="Arial" w:hAnsi="Arial"/>
                <w:sz w:val="14"/>
                <w:szCs w:val="14"/>
                <w:color w:val="FFFFFF"/>
              </w:rPr>
              <w:t>Option</w:t>
            </w:r>
          </w:p>
        </w:tc>
        <w:tc>
          <w:tcPr>
            <w:tcW w:w="1260" w:type="dxa"/>
            <w:vAlign w:val="bottom"/>
            <w:shd w:val="clear" w:color="auto" w:fill="24356E"/>
          </w:tcPr>
          <w:p>
            <w:pPr>
              <w:spacing w:after="0"/>
              <w:rPr>
                <w:sz w:val="24"/>
                <w:szCs w:val="24"/>
                <w:color w:val="auto"/>
              </w:rPr>
            </w:pPr>
          </w:p>
        </w:tc>
      </w:tr>
      <w:tr>
        <w:trPr>
          <w:trHeight w:val="297"/>
        </w:trPr>
        <w:tc>
          <w:tcPr>
            <w:tcW w:w="2820" w:type="dxa"/>
            <w:vAlign w:val="bottom"/>
            <w:shd w:val="clear" w:color="auto" w:fill="24356E"/>
          </w:tcPr>
          <w:p>
            <w:pPr>
              <w:ind w:left="260"/>
              <w:spacing w:after="0"/>
              <w:rPr>
                <w:sz w:val="20"/>
                <w:szCs w:val="20"/>
                <w:color w:val="auto"/>
              </w:rPr>
            </w:pPr>
            <w:r>
              <w:rPr>
                <w:rFonts w:ascii="Arial" w:cs="Arial" w:eastAsia="Arial" w:hAnsi="Arial"/>
                <w:sz w:val="14"/>
                <w:szCs w:val="14"/>
                <w:color w:val="FFFFFF"/>
              </w:rPr>
              <w:t>Name</w:t>
            </w:r>
          </w:p>
        </w:tc>
        <w:tc>
          <w:tcPr>
            <w:tcW w:w="2220" w:type="dxa"/>
            <w:vAlign w:val="bottom"/>
            <w:gridSpan w:val="2"/>
            <w:shd w:val="clear" w:color="auto" w:fill="24356E"/>
          </w:tcPr>
          <w:p>
            <w:pPr>
              <w:jc w:val="right"/>
              <w:ind w:right="388"/>
              <w:spacing w:after="0"/>
              <w:rPr>
                <w:sz w:val="20"/>
                <w:szCs w:val="20"/>
                <w:color w:val="auto"/>
              </w:rPr>
            </w:pPr>
            <w:r>
              <w:rPr>
                <w:rFonts w:ascii="Arial" w:cs="Arial" w:eastAsia="Arial" w:hAnsi="Arial"/>
                <w:sz w:val="14"/>
                <w:szCs w:val="14"/>
                <w:color w:val="FFFFFF"/>
              </w:rPr>
              <w:t>or Paid in Cash</w:t>
            </w:r>
          </w:p>
        </w:tc>
        <w:tc>
          <w:tcPr>
            <w:tcW w:w="1520" w:type="dxa"/>
            <w:vAlign w:val="bottom"/>
            <w:shd w:val="clear" w:color="auto" w:fill="24356E"/>
          </w:tcPr>
          <w:p>
            <w:pPr>
              <w:jc w:val="center"/>
              <w:spacing w:after="0"/>
              <w:rPr>
                <w:sz w:val="20"/>
                <w:szCs w:val="20"/>
                <w:color w:val="auto"/>
              </w:rPr>
            </w:pPr>
            <w:r>
              <w:rPr>
                <w:rFonts w:ascii="Arial" w:cs="Arial" w:eastAsia="Arial" w:hAnsi="Arial"/>
                <w:sz w:val="14"/>
                <w:szCs w:val="14"/>
                <w:color w:val="FFFFFF"/>
                <w:w w:val="94"/>
              </w:rPr>
              <w:t>Awards</w:t>
            </w:r>
            <w:r>
              <w:rPr>
                <w:rFonts w:ascii="Arial" w:cs="Arial" w:eastAsia="Arial" w:hAnsi="Arial"/>
                <w:sz w:val="23"/>
                <w:szCs w:val="23"/>
                <w:color w:val="FFFFFF"/>
                <w:w w:val="94"/>
                <w:vertAlign w:val="superscript"/>
              </w:rPr>
              <w:t>(1)</w:t>
            </w:r>
          </w:p>
        </w:tc>
        <w:tc>
          <w:tcPr>
            <w:tcW w:w="1580" w:type="dxa"/>
            <w:vAlign w:val="bottom"/>
            <w:shd w:val="clear" w:color="auto" w:fill="24356E"/>
          </w:tcPr>
          <w:p>
            <w:pPr>
              <w:jc w:val="right"/>
              <w:ind w:right="388"/>
              <w:spacing w:after="0"/>
              <w:rPr>
                <w:sz w:val="20"/>
                <w:szCs w:val="20"/>
                <w:color w:val="auto"/>
              </w:rPr>
            </w:pPr>
            <w:r>
              <w:rPr>
                <w:rFonts w:ascii="Arial" w:cs="Arial" w:eastAsia="Arial" w:hAnsi="Arial"/>
                <w:sz w:val="14"/>
                <w:szCs w:val="14"/>
                <w:color w:val="FFFFFF"/>
              </w:rPr>
              <w:t>Awards</w:t>
            </w:r>
            <w:r>
              <w:rPr>
                <w:rFonts w:ascii="Arial" w:cs="Arial" w:eastAsia="Arial" w:hAnsi="Arial"/>
                <w:sz w:val="23"/>
                <w:szCs w:val="23"/>
                <w:color w:val="FFFFFF"/>
                <w:vertAlign w:val="superscript"/>
              </w:rPr>
              <w:t>(1)</w:t>
            </w:r>
          </w:p>
        </w:tc>
        <w:tc>
          <w:tcPr>
            <w:tcW w:w="126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Total</w:t>
            </w:r>
          </w:p>
        </w:tc>
      </w:tr>
      <w:tr>
        <w:trPr>
          <w:trHeight w:val="282"/>
        </w:trPr>
        <w:tc>
          <w:tcPr>
            <w:tcW w:w="2820" w:type="dxa"/>
            <w:vAlign w:val="bottom"/>
          </w:tcPr>
          <w:p>
            <w:pPr>
              <w:ind w:left="260"/>
              <w:spacing w:after="0"/>
              <w:rPr>
                <w:sz w:val="20"/>
                <w:szCs w:val="20"/>
                <w:color w:val="auto"/>
              </w:rPr>
            </w:pPr>
            <w:r>
              <w:rPr>
                <w:rFonts w:ascii="Arial" w:cs="Arial" w:eastAsia="Arial" w:hAnsi="Arial"/>
                <w:sz w:val="14"/>
                <w:szCs w:val="14"/>
                <w:b w:val="1"/>
                <w:bCs w:val="1"/>
                <w:color w:val="auto"/>
              </w:rPr>
              <w:t>Thomas Carey</w:t>
            </w:r>
          </w:p>
        </w:tc>
        <w:tc>
          <w:tcPr>
            <w:tcW w:w="2220" w:type="dxa"/>
            <w:vAlign w:val="bottom"/>
            <w:gridSpan w:val="2"/>
          </w:tcPr>
          <w:p>
            <w:pPr>
              <w:jc w:val="right"/>
              <w:ind w:right="448"/>
              <w:spacing w:after="0"/>
              <w:rPr>
                <w:sz w:val="20"/>
                <w:szCs w:val="20"/>
                <w:color w:val="auto"/>
              </w:rPr>
            </w:pPr>
            <w:r>
              <w:rPr>
                <w:rFonts w:ascii="Arial" w:cs="Arial" w:eastAsia="Arial" w:hAnsi="Arial"/>
                <w:sz w:val="14"/>
                <w:szCs w:val="14"/>
                <w:color w:val="auto"/>
              </w:rPr>
              <w:t>$108,750</w:t>
            </w:r>
          </w:p>
        </w:tc>
        <w:tc>
          <w:tcPr>
            <w:tcW w:w="1520" w:type="dxa"/>
            <w:vAlign w:val="bottom"/>
          </w:tcPr>
          <w:p>
            <w:pPr>
              <w:jc w:val="center"/>
              <w:spacing w:after="0"/>
              <w:rPr>
                <w:sz w:val="20"/>
                <w:szCs w:val="20"/>
                <w:color w:val="auto"/>
              </w:rPr>
            </w:pPr>
            <w:r>
              <w:rPr>
                <w:rFonts w:ascii="Arial" w:cs="Arial" w:eastAsia="Arial" w:hAnsi="Arial"/>
                <w:sz w:val="14"/>
                <w:szCs w:val="14"/>
                <w:color w:val="auto"/>
              </w:rPr>
              <w:t>$76,337</w:t>
            </w:r>
          </w:p>
        </w:tc>
        <w:tc>
          <w:tcPr>
            <w:tcW w:w="1580" w:type="dxa"/>
            <w:vAlign w:val="bottom"/>
          </w:tcPr>
          <w:p>
            <w:pPr>
              <w:jc w:val="right"/>
              <w:ind w:right="448"/>
              <w:spacing w:after="0"/>
              <w:rPr>
                <w:sz w:val="20"/>
                <w:szCs w:val="20"/>
                <w:color w:val="auto"/>
              </w:rPr>
            </w:pPr>
            <w:r>
              <w:rPr>
                <w:rFonts w:ascii="Arial" w:cs="Arial" w:eastAsia="Arial" w:hAnsi="Arial"/>
                <w:sz w:val="14"/>
                <w:szCs w:val="14"/>
                <w:color w:val="auto"/>
              </w:rPr>
              <w:t>$150,000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$335,087</w:t>
            </w:r>
          </w:p>
        </w:tc>
      </w:tr>
      <w:tr>
        <w:trPr>
          <w:trHeight w:val="70"/>
        </w:trPr>
        <w:tc>
          <w:tcPr>
            <w:tcW w:w="2820" w:type="dxa"/>
            <w:vAlign w:val="bottom"/>
            <w:tcBorders>
              <w:bottom w:val="single" w:sz="8" w:color="666666"/>
            </w:tcBorders>
          </w:tcPr>
          <w:p>
            <w:pPr>
              <w:spacing w:after="0"/>
              <w:rPr>
                <w:sz w:val="6"/>
                <w:szCs w:val="6"/>
                <w:color w:val="auto"/>
              </w:rPr>
            </w:pPr>
          </w:p>
        </w:tc>
        <w:tc>
          <w:tcPr>
            <w:tcW w:w="1220" w:type="dxa"/>
            <w:vAlign w:val="bottom"/>
            <w:tcBorders>
              <w:bottom w:val="single" w:sz="8" w:color="666666"/>
            </w:tcBorders>
          </w:tcPr>
          <w:p>
            <w:pPr>
              <w:spacing w:after="0"/>
              <w:rPr>
                <w:sz w:val="6"/>
                <w:szCs w:val="6"/>
                <w:color w:val="auto"/>
              </w:rPr>
            </w:pPr>
          </w:p>
        </w:tc>
        <w:tc>
          <w:tcPr>
            <w:tcW w:w="1000" w:type="dxa"/>
            <w:vAlign w:val="bottom"/>
            <w:tcBorders>
              <w:bottom w:val="single" w:sz="8" w:color="666666"/>
            </w:tcBorders>
          </w:tcPr>
          <w:p>
            <w:pPr>
              <w:spacing w:after="0"/>
              <w:rPr>
                <w:sz w:val="6"/>
                <w:szCs w:val="6"/>
                <w:color w:val="auto"/>
              </w:rPr>
            </w:pPr>
          </w:p>
        </w:tc>
        <w:tc>
          <w:tcPr>
            <w:tcW w:w="152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r>
      <w:tr>
        <w:trPr>
          <w:trHeight w:val="371"/>
        </w:trPr>
        <w:tc>
          <w:tcPr>
            <w:tcW w:w="282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Eli Casdin</w:t>
            </w:r>
            <w:r>
              <w:rPr>
                <w:rFonts w:ascii="Arial" w:cs="Arial" w:eastAsia="Arial" w:hAnsi="Arial"/>
                <w:sz w:val="23"/>
                <w:szCs w:val="23"/>
                <w:b w:val="1"/>
                <w:bCs w:val="1"/>
                <w:color w:val="auto"/>
                <w:vertAlign w:val="superscript"/>
              </w:rPr>
              <w:t>(2)</w:t>
            </w:r>
          </w:p>
        </w:tc>
        <w:tc>
          <w:tcPr>
            <w:tcW w:w="122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66666"/>
            </w:tcBorders>
          </w:tcPr>
          <w:p>
            <w:pPr>
              <w:jc w:val="right"/>
              <w:ind w:right="448"/>
              <w:spacing w:after="0"/>
              <w:rPr>
                <w:sz w:val="20"/>
                <w:szCs w:val="20"/>
                <w:color w:val="auto"/>
              </w:rPr>
            </w:pPr>
            <w:r>
              <w:rPr>
                <w:rFonts w:ascii="Arial" w:cs="Arial" w:eastAsia="Arial" w:hAnsi="Arial"/>
                <w:sz w:val="14"/>
                <w:szCs w:val="14"/>
                <w:color w:val="auto"/>
              </w:rPr>
              <w:t>60,750</w:t>
            </w:r>
          </w:p>
        </w:tc>
        <w:tc>
          <w:tcPr>
            <w:tcW w:w="15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$76,337</w:t>
            </w:r>
          </w:p>
        </w:tc>
        <w:tc>
          <w:tcPr>
            <w:tcW w:w="1580" w:type="dxa"/>
            <w:vAlign w:val="bottom"/>
            <w:tcBorders>
              <w:bottom w:val="single" w:sz="8" w:color="666666"/>
            </w:tcBorders>
          </w:tcPr>
          <w:p>
            <w:pPr>
              <w:jc w:val="right"/>
              <w:ind w:right="448"/>
              <w:spacing w:after="0"/>
              <w:rPr>
                <w:sz w:val="20"/>
                <w:szCs w:val="20"/>
                <w:color w:val="auto"/>
              </w:rPr>
            </w:pPr>
            <w:r>
              <w:rPr>
                <w:rFonts w:ascii="Arial" w:cs="Arial" w:eastAsia="Arial" w:hAnsi="Arial"/>
                <w:sz w:val="14"/>
                <w:szCs w:val="14"/>
                <w:color w:val="auto"/>
              </w:rPr>
              <w:t>$100,000</w:t>
            </w:r>
          </w:p>
        </w:tc>
        <w:tc>
          <w:tcPr>
            <w:tcW w:w="126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$237,087</w:t>
            </w:r>
          </w:p>
        </w:tc>
      </w:tr>
      <w:tr>
        <w:trPr>
          <w:trHeight w:val="372"/>
        </w:trPr>
        <w:tc>
          <w:tcPr>
            <w:tcW w:w="282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Laura Clague</w:t>
            </w:r>
            <w:r>
              <w:rPr>
                <w:rFonts w:ascii="Arial" w:cs="Arial" w:eastAsia="Arial" w:hAnsi="Arial"/>
                <w:sz w:val="23"/>
                <w:szCs w:val="23"/>
                <w:b w:val="1"/>
                <w:bCs w:val="1"/>
                <w:color w:val="auto"/>
                <w:vertAlign w:val="superscript"/>
              </w:rPr>
              <w:t>(3)</w:t>
            </w:r>
          </w:p>
        </w:tc>
        <w:tc>
          <w:tcPr>
            <w:tcW w:w="1220" w:type="dxa"/>
            <w:vAlign w:val="bottom"/>
            <w:tcBorders>
              <w:bottom w:val="single" w:sz="8" w:color="666666"/>
            </w:tcBorders>
          </w:tcPr>
          <w:p>
            <w:pPr>
              <w:spacing w:after="0"/>
              <w:rPr>
                <w:sz w:val="24"/>
                <w:szCs w:val="24"/>
                <w:color w:val="auto"/>
              </w:rPr>
            </w:pPr>
          </w:p>
        </w:tc>
        <w:tc>
          <w:tcPr>
            <w:tcW w:w="100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66666"/>
            </w:tcBorders>
          </w:tcPr>
          <w:p>
            <w:pPr>
              <w:ind w:left="9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5"/>
        </w:trPr>
        <w:tc>
          <w:tcPr>
            <w:tcW w:w="2820" w:type="dxa"/>
            <w:vAlign w:val="bottom"/>
          </w:tcPr>
          <w:p>
            <w:pPr>
              <w:ind w:left="260"/>
              <w:spacing w:after="0"/>
              <w:rPr>
                <w:sz w:val="20"/>
                <w:szCs w:val="20"/>
                <w:color w:val="auto"/>
              </w:rPr>
            </w:pPr>
            <w:r>
              <w:rPr>
                <w:rFonts w:ascii="Arial" w:cs="Arial" w:eastAsia="Arial" w:hAnsi="Arial"/>
                <w:sz w:val="14"/>
                <w:szCs w:val="14"/>
                <w:b w:val="1"/>
                <w:bCs w:val="1"/>
                <w:color w:val="auto"/>
              </w:rPr>
              <w:t>Troy Cox</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65,750</w:t>
            </w:r>
          </w:p>
        </w:tc>
        <w:tc>
          <w:tcPr>
            <w:tcW w:w="1520" w:type="dxa"/>
            <w:vAlign w:val="bottom"/>
          </w:tcPr>
          <w:p>
            <w:pPr>
              <w:jc w:val="center"/>
              <w:spacing w:after="0"/>
              <w:rPr>
                <w:sz w:val="20"/>
                <w:szCs w:val="20"/>
                <w:color w:val="auto"/>
              </w:rPr>
            </w:pPr>
            <w:r>
              <w:rPr>
                <w:rFonts w:ascii="Arial" w:cs="Arial" w:eastAsia="Arial" w:hAnsi="Arial"/>
                <w:sz w:val="14"/>
                <w:szCs w:val="14"/>
                <w:color w:val="auto"/>
              </w:rPr>
              <w:t>$76,337</w:t>
            </w:r>
          </w:p>
        </w:tc>
        <w:tc>
          <w:tcPr>
            <w:tcW w:w="1580" w:type="dxa"/>
            <w:vAlign w:val="bottom"/>
          </w:tcPr>
          <w:p>
            <w:pPr>
              <w:jc w:val="right"/>
              <w:ind w:right="448"/>
              <w:spacing w:after="0"/>
              <w:rPr>
                <w:sz w:val="20"/>
                <w:szCs w:val="20"/>
                <w:color w:val="auto"/>
              </w:rPr>
            </w:pPr>
            <w:r>
              <w:rPr>
                <w:rFonts w:ascii="Arial" w:cs="Arial" w:eastAsia="Arial" w:hAnsi="Arial"/>
                <w:sz w:val="14"/>
                <w:szCs w:val="14"/>
                <w:color w:val="auto"/>
              </w:rPr>
              <w:t>$100,000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$242,087</w:t>
            </w:r>
          </w:p>
        </w:tc>
      </w:tr>
      <w:tr>
        <w:trPr>
          <w:trHeight w:val="69"/>
        </w:trPr>
        <w:tc>
          <w:tcPr>
            <w:tcW w:w="2820" w:type="dxa"/>
            <w:vAlign w:val="bottom"/>
            <w:tcBorders>
              <w:bottom w:val="single" w:sz="8" w:color="666666"/>
            </w:tcBorders>
          </w:tcPr>
          <w:p>
            <w:pPr>
              <w:spacing w:after="0"/>
              <w:rPr>
                <w:sz w:val="6"/>
                <w:szCs w:val="6"/>
                <w:color w:val="auto"/>
              </w:rPr>
            </w:pPr>
          </w:p>
        </w:tc>
        <w:tc>
          <w:tcPr>
            <w:tcW w:w="1220" w:type="dxa"/>
            <w:vAlign w:val="bottom"/>
            <w:tcBorders>
              <w:bottom w:val="single" w:sz="8" w:color="666666"/>
            </w:tcBorders>
          </w:tcPr>
          <w:p>
            <w:pPr>
              <w:spacing w:after="0"/>
              <w:rPr>
                <w:sz w:val="6"/>
                <w:szCs w:val="6"/>
                <w:color w:val="auto"/>
              </w:rPr>
            </w:pPr>
          </w:p>
        </w:tc>
        <w:tc>
          <w:tcPr>
            <w:tcW w:w="1000" w:type="dxa"/>
            <w:vAlign w:val="bottom"/>
            <w:tcBorders>
              <w:bottom w:val="single" w:sz="8" w:color="666666"/>
            </w:tcBorders>
          </w:tcPr>
          <w:p>
            <w:pPr>
              <w:spacing w:after="0"/>
              <w:rPr>
                <w:sz w:val="6"/>
                <w:szCs w:val="6"/>
                <w:color w:val="auto"/>
              </w:rPr>
            </w:pPr>
          </w:p>
        </w:tc>
        <w:tc>
          <w:tcPr>
            <w:tcW w:w="152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r>
      <w:tr>
        <w:trPr>
          <w:trHeight w:val="275"/>
        </w:trPr>
        <w:tc>
          <w:tcPr>
            <w:tcW w:w="2820" w:type="dxa"/>
            <w:vAlign w:val="bottom"/>
          </w:tcPr>
          <w:p>
            <w:pPr>
              <w:ind w:left="260"/>
              <w:spacing w:after="0"/>
              <w:rPr>
                <w:sz w:val="20"/>
                <w:szCs w:val="20"/>
                <w:color w:val="auto"/>
              </w:rPr>
            </w:pPr>
            <w:r>
              <w:rPr>
                <w:rFonts w:ascii="Arial" w:cs="Arial" w:eastAsia="Arial" w:hAnsi="Arial"/>
                <w:sz w:val="14"/>
                <w:szCs w:val="14"/>
                <w:b w:val="1"/>
                <w:bCs w:val="1"/>
                <w:color w:val="auto"/>
              </w:rPr>
              <w:t>Fenel M. Eloi</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68,750</w:t>
            </w:r>
          </w:p>
        </w:tc>
        <w:tc>
          <w:tcPr>
            <w:tcW w:w="1520" w:type="dxa"/>
            <w:vAlign w:val="bottom"/>
          </w:tcPr>
          <w:p>
            <w:pPr>
              <w:jc w:val="center"/>
              <w:spacing w:after="0"/>
              <w:rPr>
                <w:sz w:val="20"/>
                <w:szCs w:val="20"/>
                <w:color w:val="auto"/>
              </w:rPr>
            </w:pPr>
            <w:r>
              <w:rPr>
                <w:rFonts w:ascii="Arial" w:cs="Arial" w:eastAsia="Arial" w:hAnsi="Arial"/>
                <w:sz w:val="14"/>
                <w:szCs w:val="14"/>
                <w:color w:val="auto"/>
              </w:rPr>
              <w:t>$76,337</w:t>
            </w:r>
          </w:p>
        </w:tc>
        <w:tc>
          <w:tcPr>
            <w:tcW w:w="1580" w:type="dxa"/>
            <w:vAlign w:val="bottom"/>
          </w:tcPr>
          <w:p>
            <w:pPr>
              <w:jc w:val="right"/>
              <w:ind w:right="448"/>
              <w:spacing w:after="0"/>
              <w:rPr>
                <w:sz w:val="20"/>
                <w:szCs w:val="20"/>
                <w:color w:val="auto"/>
              </w:rPr>
            </w:pPr>
            <w:r>
              <w:rPr>
                <w:rFonts w:ascii="Arial" w:cs="Arial" w:eastAsia="Arial" w:hAnsi="Arial"/>
                <w:sz w:val="14"/>
                <w:szCs w:val="14"/>
                <w:color w:val="auto"/>
              </w:rPr>
              <w:t>$100,000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$245,087</w:t>
            </w:r>
          </w:p>
        </w:tc>
      </w:tr>
      <w:tr>
        <w:trPr>
          <w:trHeight w:val="70"/>
        </w:trPr>
        <w:tc>
          <w:tcPr>
            <w:tcW w:w="2820" w:type="dxa"/>
            <w:vAlign w:val="bottom"/>
            <w:tcBorders>
              <w:bottom w:val="single" w:sz="8" w:color="666666"/>
            </w:tcBorders>
          </w:tcPr>
          <w:p>
            <w:pPr>
              <w:spacing w:after="0"/>
              <w:rPr>
                <w:sz w:val="6"/>
                <w:szCs w:val="6"/>
                <w:color w:val="auto"/>
              </w:rPr>
            </w:pPr>
          </w:p>
        </w:tc>
        <w:tc>
          <w:tcPr>
            <w:tcW w:w="1220" w:type="dxa"/>
            <w:vAlign w:val="bottom"/>
            <w:tcBorders>
              <w:bottom w:val="single" w:sz="8" w:color="666666"/>
            </w:tcBorders>
          </w:tcPr>
          <w:p>
            <w:pPr>
              <w:spacing w:after="0"/>
              <w:rPr>
                <w:sz w:val="6"/>
                <w:szCs w:val="6"/>
                <w:color w:val="auto"/>
              </w:rPr>
            </w:pPr>
          </w:p>
        </w:tc>
        <w:tc>
          <w:tcPr>
            <w:tcW w:w="1000" w:type="dxa"/>
            <w:vAlign w:val="bottom"/>
            <w:tcBorders>
              <w:bottom w:val="single" w:sz="8" w:color="666666"/>
            </w:tcBorders>
          </w:tcPr>
          <w:p>
            <w:pPr>
              <w:spacing w:after="0"/>
              <w:rPr>
                <w:sz w:val="6"/>
                <w:szCs w:val="6"/>
                <w:color w:val="auto"/>
              </w:rPr>
            </w:pPr>
          </w:p>
        </w:tc>
        <w:tc>
          <w:tcPr>
            <w:tcW w:w="152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r>
      <w:tr>
        <w:trPr>
          <w:trHeight w:val="275"/>
        </w:trPr>
        <w:tc>
          <w:tcPr>
            <w:tcW w:w="2820" w:type="dxa"/>
            <w:vAlign w:val="bottom"/>
          </w:tcPr>
          <w:p>
            <w:pPr>
              <w:ind w:left="260"/>
              <w:spacing w:after="0"/>
              <w:rPr>
                <w:sz w:val="20"/>
                <w:szCs w:val="20"/>
                <w:color w:val="auto"/>
              </w:rPr>
            </w:pPr>
            <w:r>
              <w:rPr>
                <w:rFonts w:ascii="Arial" w:cs="Arial" w:eastAsia="Arial" w:hAnsi="Arial"/>
                <w:sz w:val="14"/>
                <w:szCs w:val="14"/>
                <w:b w:val="1"/>
                <w:bCs w:val="1"/>
                <w:color w:val="auto"/>
              </w:rPr>
              <w:t>Kathy Hibbs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63,750</w:t>
            </w:r>
          </w:p>
        </w:tc>
        <w:tc>
          <w:tcPr>
            <w:tcW w:w="1520" w:type="dxa"/>
            <w:vAlign w:val="bottom"/>
          </w:tcPr>
          <w:p>
            <w:pPr>
              <w:jc w:val="center"/>
              <w:spacing w:after="0"/>
              <w:rPr>
                <w:sz w:val="20"/>
                <w:szCs w:val="20"/>
                <w:color w:val="auto"/>
              </w:rPr>
            </w:pPr>
            <w:r>
              <w:rPr>
                <w:rFonts w:ascii="Arial" w:cs="Arial" w:eastAsia="Arial" w:hAnsi="Arial"/>
                <w:sz w:val="14"/>
                <w:szCs w:val="14"/>
                <w:color w:val="auto"/>
              </w:rPr>
              <w:t>$76,337</w:t>
            </w:r>
          </w:p>
        </w:tc>
        <w:tc>
          <w:tcPr>
            <w:tcW w:w="1580" w:type="dxa"/>
            <w:vAlign w:val="bottom"/>
          </w:tcPr>
          <w:p>
            <w:pPr>
              <w:jc w:val="right"/>
              <w:ind w:right="448"/>
              <w:spacing w:after="0"/>
              <w:rPr>
                <w:sz w:val="20"/>
                <w:szCs w:val="20"/>
                <w:color w:val="auto"/>
              </w:rPr>
            </w:pPr>
            <w:r>
              <w:rPr>
                <w:rFonts w:ascii="Arial" w:cs="Arial" w:eastAsia="Arial" w:hAnsi="Arial"/>
                <w:sz w:val="14"/>
                <w:szCs w:val="14"/>
                <w:color w:val="auto"/>
              </w:rPr>
              <w:t>$100,000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$240,087</w:t>
            </w:r>
          </w:p>
        </w:tc>
      </w:tr>
      <w:tr>
        <w:trPr>
          <w:trHeight w:val="70"/>
        </w:trPr>
        <w:tc>
          <w:tcPr>
            <w:tcW w:w="2820" w:type="dxa"/>
            <w:vAlign w:val="bottom"/>
            <w:tcBorders>
              <w:bottom w:val="single" w:sz="8" w:color="666666"/>
            </w:tcBorders>
          </w:tcPr>
          <w:p>
            <w:pPr>
              <w:spacing w:after="0"/>
              <w:rPr>
                <w:sz w:val="6"/>
                <w:szCs w:val="6"/>
                <w:color w:val="auto"/>
              </w:rPr>
            </w:pPr>
          </w:p>
        </w:tc>
        <w:tc>
          <w:tcPr>
            <w:tcW w:w="1220" w:type="dxa"/>
            <w:vAlign w:val="bottom"/>
            <w:tcBorders>
              <w:bottom w:val="single" w:sz="8" w:color="666666"/>
            </w:tcBorders>
          </w:tcPr>
          <w:p>
            <w:pPr>
              <w:spacing w:after="0"/>
              <w:rPr>
                <w:sz w:val="6"/>
                <w:szCs w:val="6"/>
                <w:color w:val="auto"/>
              </w:rPr>
            </w:pPr>
          </w:p>
        </w:tc>
        <w:tc>
          <w:tcPr>
            <w:tcW w:w="1000" w:type="dxa"/>
            <w:vAlign w:val="bottom"/>
            <w:tcBorders>
              <w:bottom w:val="single" w:sz="8" w:color="666666"/>
            </w:tcBorders>
          </w:tcPr>
          <w:p>
            <w:pPr>
              <w:spacing w:after="0"/>
              <w:rPr>
                <w:sz w:val="6"/>
                <w:szCs w:val="6"/>
                <w:color w:val="auto"/>
              </w:rPr>
            </w:pPr>
          </w:p>
        </w:tc>
        <w:tc>
          <w:tcPr>
            <w:tcW w:w="152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r>
      <w:tr>
        <w:trPr>
          <w:trHeight w:val="372"/>
        </w:trPr>
        <w:tc>
          <w:tcPr>
            <w:tcW w:w="282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Martin Madaus, Ph.D.</w:t>
            </w:r>
            <w:r>
              <w:rPr>
                <w:rFonts w:ascii="Arial" w:cs="Arial" w:eastAsia="Arial" w:hAnsi="Arial"/>
                <w:sz w:val="23"/>
                <w:szCs w:val="23"/>
                <w:b w:val="1"/>
                <w:bCs w:val="1"/>
                <w:color w:val="auto"/>
                <w:vertAlign w:val="superscript"/>
              </w:rPr>
              <w:t>(3)</w:t>
            </w:r>
          </w:p>
        </w:tc>
        <w:tc>
          <w:tcPr>
            <w:tcW w:w="1220" w:type="dxa"/>
            <w:vAlign w:val="bottom"/>
            <w:tcBorders>
              <w:bottom w:val="single" w:sz="8" w:color="666666"/>
            </w:tcBorders>
          </w:tcPr>
          <w:p>
            <w:pPr>
              <w:spacing w:after="0"/>
              <w:rPr>
                <w:sz w:val="24"/>
                <w:szCs w:val="24"/>
                <w:color w:val="auto"/>
              </w:rPr>
            </w:pPr>
          </w:p>
        </w:tc>
        <w:tc>
          <w:tcPr>
            <w:tcW w:w="100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66666"/>
            </w:tcBorders>
          </w:tcPr>
          <w:p>
            <w:pPr>
              <w:ind w:left="9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w:t>
            </w:r>
          </w:p>
        </w:tc>
      </w:tr>
      <w:tr>
        <w:trPr>
          <w:trHeight w:val="372"/>
        </w:trPr>
        <w:tc>
          <w:tcPr>
            <w:tcW w:w="282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Carlos Paya, M.D., Ph.D.</w:t>
            </w:r>
            <w:r>
              <w:rPr>
                <w:rFonts w:ascii="Arial" w:cs="Arial" w:eastAsia="Arial" w:hAnsi="Arial"/>
                <w:sz w:val="23"/>
                <w:szCs w:val="23"/>
                <w:b w:val="1"/>
                <w:bCs w:val="1"/>
                <w:color w:val="auto"/>
                <w:vertAlign w:val="superscript"/>
              </w:rPr>
              <w:t>(3)</w:t>
            </w:r>
          </w:p>
        </w:tc>
        <w:tc>
          <w:tcPr>
            <w:tcW w:w="1220" w:type="dxa"/>
            <w:vAlign w:val="bottom"/>
            <w:tcBorders>
              <w:bottom w:val="single" w:sz="8" w:color="666666"/>
            </w:tcBorders>
          </w:tcPr>
          <w:p>
            <w:pPr>
              <w:spacing w:after="0"/>
              <w:rPr>
                <w:sz w:val="24"/>
                <w:szCs w:val="24"/>
                <w:color w:val="auto"/>
              </w:rPr>
            </w:pPr>
          </w:p>
        </w:tc>
        <w:tc>
          <w:tcPr>
            <w:tcW w:w="100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66666"/>
            </w:tcBorders>
          </w:tcPr>
          <w:p>
            <w:pPr>
              <w:ind w:left="9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5"/>
        </w:trPr>
        <w:tc>
          <w:tcPr>
            <w:tcW w:w="2820" w:type="dxa"/>
            <w:vAlign w:val="bottom"/>
          </w:tcPr>
          <w:p>
            <w:pPr>
              <w:ind w:left="260"/>
              <w:spacing w:after="0"/>
              <w:rPr>
                <w:sz w:val="20"/>
                <w:szCs w:val="20"/>
                <w:color w:val="auto"/>
              </w:rPr>
            </w:pPr>
            <w:r>
              <w:rPr>
                <w:rFonts w:ascii="Arial" w:cs="Arial" w:eastAsia="Arial" w:hAnsi="Arial"/>
                <w:sz w:val="14"/>
                <w:szCs w:val="14"/>
                <w:b w:val="1"/>
                <w:bCs w:val="1"/>
                <w:color w:val="auto"/>
              </w:rPr>
              <w:t>Frank Witney, Ph.D.</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73,750</w:t>
            </w:r>
          </w:p>
        </w:tc>
        <w:tc>
          <w:tcPr>
            <w:tcW w:w="1520" w:type="dxa"/>
            <w:vAlign w:val="bottom"/>
          </w:tcPr>
          <w:p>
            <w:pPr>
              <w:jc w:val="center"/>
              <w:spacing w:after="0"/>
              <w:rPr>
                <w:sz w:val="20"/>
                <w:szCs w:val="20"/>
                <w:color w:val="auto"/>
              </w:rPr>
            </w:pPr>
            <w:r>
              <w:rPr>
                <w:rFonts w:ascii="Arial" w:cs="Arial" w:eastAsia="Arial" w:hAnsi="Arial"/>
                <w:sz w:val="14"/>
                <w:szCs w:val="14"/>
                <w:color w:val="auto"/>
              </w:rPr>
              <w:t>$76,337</w:t>
            </w:r>
          </w:p>
        </w:tc>
        <w:tc>
          <w:tcPr>
            <w:tcW w:w="1580" w:type="dxa"/>
            <w:vAlign w:val="bottom"/>
          </w:tcPr>
          <w:p>
            <w:pPr>
              <w:jc w:val="right"/>
              <w:ind w:right="448"/>
              <w:spacing w:after="0"/>
              <w:rPr>
                <w:sz w:val="20"/>
                <w:szCs w:val="20"/>
                <w:color w:val="auto"/>
              </w:rPr>
            </w:pPr>
            <w:r>
              <w:rPr>
                <w:rFonts w:ascii="Arial" w:cs="Arial" w:eastAsia="Arial" w:hAnsi="Arial"/>
                <w:sz w:val="14"/>
                <w:szCs w:val="14"/>
                <w:color w:val="auto"/>
              </w:rPr>
              <w:t>$100,000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$250,087</w:t>
            </w:r>
          </w:p>
        </w:tc>
      </w:tr>
      <w:tr>
        <w:trPr>
          <w:trHeight w:val="70"/>
        </w:trPr>
        <w:tc>
          <w:tcPr>
            <w:tcW w:w="2820" w:type="dxa"/>
            <w:vAlign w:val="bottom"/>
            <w:tcBorders>
              <w:bottom w:val="single" w:sz="8" w:color="24356E"/>
            </w:tcBorders>
          </w:tcPr>
          <w:p>
            <w:pPr>
              <w:spacing w:after="0"/>
              <w:rPr>
                <w:sz w:val="6"/>
                <w:szCs w:val="6"/>
                <w:color w:val="auto"/>
              </w:rPr>
            </w:pPr>
          </w:p>
        </w:tc>
        <w:tc>
          <w:tcPr>
            <w:tcW w:w="1220" w:type="dxa"/>
            <w:vAlign w:val="bottom"/>
            <w:tcBorders>
              <w:bottom w:val="single" w:sz="8" w:color="24356E"/>
            </w:tcBorders>
          </w:tcPr>
          <w:p>
            <w:pPr>
              <w:spacing w:after="0"/>
              <w:rPr>
                <w:sz w:val="6"/>
                <w:szCs w:val="6"/>
                <w:color w:val="auto"/>
              </w:rPr>
            </w:pPr>
          </w:p>
        </w:tc>
        <w:tc>
          <w:tcPr>
            <w:tcW w:w="1000" w:type="dxa"/>
            <w:vAlign w:val="bottom"/>
            <w:tcBorders>
              <w:bottom w:val="single" w:sz="8" w:color="24356E"/>
            </w:tcBorders>
          </w:tcPr>
          <w:p>
            <w:pPr>
              <w:spacing w:after="0"/>
              <w:rPr>
                <w:sz w:val="6"/>
                <w:szCs w:val="6"/>
                <w:color w:val="auto"/>
              </w:rPr>
            </w:pPr>
          </w:p>
        </w:tc>
        <w:tc>
          <w:tcPr>
            <w:tcW w:w="1520" w:type="dxa"/>
            <w:vAlign w:val="bottom"/>
            <w:tcBorders>
              <w:bottom w:val="single" w:sz="8" w:color="24356E"/>
            </w:tcBorders>
          </w:tcPr>
          <w:p>
            <w:pPr>
              <w:spacing w:after="0"/>
              <w:rPr>
                <w:sz w:val="6"/>
                <w:szCs w:val="6"/>
                <w:color w:val="auto"/>
              </w:rPr>
            </w:pPr>
          </w:p>
        </w:tc>
        <w:tc>
          <w:tcPr>
            <w:tcW w:w="1580" w:type="dxa"/>
            <w:vAlign w:val="bottom"/>
            <w:tcBorders>
              <w:bottom w:val="single" w:sz="8" w:color="24356E"/>
            </w:tcBorders>
          </w:tcPr>
          <w:p>
            <w:pPr>
              <w:spacing w:after="0"/>
              <w:rPr>
                <w:sz w:val="6"/>
                <w:szCs w:val="6"/>
                <w:color w:val="auto"/>
              </w:rPr>
            </w:pPr>
          </w:p>
        </w:tc>
        <w:tc>
          <w:tcPr>
            <w:tcW w:w="1260" w:type="dxa"/>
            <w:vAlign w:val="bottom"/>
            <w:tcBorders>
              <w:bottom w:val="single" w:sz="8" w:color="24356E"/>
            </w:tcBorders>
          </w:tcPr>
          <w:p>
            <w:pPr>
              <w:spacing w:after="0"/>
              <w:rPr>
                <w:sz w:val="6"/>
                <w:szCs w:val="6"/>
                <w:color w:val="auto"/>
              </w:rPr>
            </w:pPr>
          </w:p>
        </w:tc>
      </w:tr>
    </w:tbl>
    <w:p>
      <w:pPr>
        <w:spacing w:after="0" w:line="158" w:lineRule="exact"/>
        <w:rPr>
          <w:sz w:val="20"/>
          <w:szCs w:val="20"/>
          <w:color w:val="auto"/>
        </w:rPr>
      </w:pPr>
    </w:p>
    <w:p>
      <w:pPr>
        <w:ind w:left="360" w:right="100" w:hanging="354"/>
        <w:spacing w:after="0" w:line="231" w:lineRule="auto"/>
        <w:tabs>
          <w:tab w:leader="none" w:pos="36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Amounts represent the aggregate grant date fair value of the option award and RSU awards, as applicable, calculated in accordance with Financial Accounting Standards Board ASC Topic 718, Stock Compensation, as amended, without regard to estimated forfeitures. See Note 13 of the notes to our audited consolidated financial statements included in our 2024 Annual Report for a discussion of valuation assumptions made in determining the grant date fair value and compensation expense of our stock options and RSU awards.</w:t>
      </w:r>
    </w:p>
    <w:p>
      <w:pPr>
        <w:spacing w:after="0" w:line="31" w:lineRule="exact"/>
        <w:rPr>
          <w:rFonts w:ascii="Arial" w:cs="Arial" w:eastAsia="Arial" w:hAnsi="Arial"/>
          <w:sz w:val="13"/>
          <w:szCs w:val="13"/>
          <w:b w:val="1"/>
          <w:bCs w:val="1"/>
          <w:color w:val="auto"/>
        </w:rPr>
      </w:pPr>
    </w:p>
    <w:p>
      <w:pPr>
        <w:ind w:left="360" w:hanging="354"/>
        <w:spacing w:after="0"/>
        <w:tabs>
          <w:tab w:leader="none" w:pos="36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Mr. Casdin’s fees earned or paid in cash reflects RSUs elected to be received in lieu of $60,750 cash fees for 2024.</w:t>
      </w:r>
    </w:p>
    <w:p>
      <w:pPr>
        <w:spacing w:after="0" w:line="66" w:lineRule="exact"/>
        <w:rPr>
          <w:rFonts w:ascii="Arial" w:cs="Arial" w:eastAsia="Arial" w:hAnsi="Arial"/>
          <w:sz w:val="13"/>
          <w:szCs w:val="13"/>
          <w:b w:val="1"/>
          <w:bCs w:val="1"/>
          <w:color w:val="auto"/>
        </w:rPr>
      </w:pPr>
    </w:p>
    <w:p>
      <w:pPr>
        <w:ind w:left="360" w:hanging="354"/>
        <w:spacing w:after="0"/>
        <w:tabs>
          <w:tab w:leader="none" w:pos="36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Ms. Clague, Dr. Madaus, and Dr. Paya stepped down from the Board on January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9664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Director Equity Awards</w:t>
      </w:r>
    </w:p>
    <w:p>
      <w:pPr>
        <w:spacing w:after="0" w:line="13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333333"/>
        </w:rPr>
        <w:t>The aggregate numbers of shares underlying stock options and RSUs outstanding at December 31, 2024 for each non-employee director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3460" w:type="dxa"/>
            <w:vAlign w:val="bottom"/>
            <w:shd w:val="clear" w:color="auto" w:fill="24356E"/>
          </w:tcPr>
          <w:p>
            <w:pPr>
              <w:spacing w:after="0"/>
              <w:rPr>
                <w:sz w:val="24"/>
                <w:szCs w:val="24"/>
                <w:color w:val="auto"/>
              </w:rPr>
            </w:pPr>
          </w:p>
        </w:tc>
        <w:tc>
          <w:tcPr>
            <w:tcW w:w="3500" w:type="dxa"/>
            <w:vAlign w:val="bottom"/>
            <w:shd w:val="clear" w:color="auto" w:fill="24356E"/>
          </w:tcPr>
          <w:p>
            <w:pPr>
              <w:jc w:val="right"/>
              <w:ind w:right="328"/>
              <w:spacing w:after="0"/>
              <w:rPr>
                <w:sz w:val="20"/>
                <w:szCs w:val="20"/>
                <w:color w:val="auto"/>
              </w:rPr>
            </w:pPr>
            <w:r>
              <w:rPr>
                <w:rFonts w:ascii="Arial" w:cs="Arial" w:eastAsia="Arial" w:hAnsi="Arial"/>
                <w:sz w:val="14"/>
                <w:szCs w:val="14"/>
                <w:color w:val="FFFFFF"/>
              </w:rPr>
              <w:t>Aggregate Number of Shares</w:t>
            </w:r>
          </w:p>
        </w:tc>
        <w:tc>
          <w:tcPr>
            <w:tcW w:w="2440" w:type="dxa"/>
            <w:vAlign w:val="bottom"/>
            <w:shd w:val="clear" w:color="auto" w:fill="24356E"/>
          </w:tcPr>
          <w:p>
            <w:pPr>
              <w:jc w:val="right"/>
              <w:ind w:right="128"/>
              <w:spacing w:after="0"/>
              <w:rPr>
                <w:sz w:val="20"/>
                <w:szCs w:val="20"/>
                <w:color w:val="auto"/>
              </w:rPr>
            </w:pPr>
            <w:r>
              <w:rPr>
                <w:rFonts w:ascii="Arial" w:cs="Arial" w:eastAsia="Arial" w:hAnsi="Arial"/>
                <w:sz w:val="14"/>
                <w:szCs w:val="14"/>
                <w:color w:val="FFFFFF"/>
              </w:rPr>
              <w:t>Aggregate Number of Shares</w:t>
            </w:r>
          </w:p>
        </w:tc>
      </w:tr>
      <w:tr>
        <w:trPr>
          <w:trHeight w:val="162"/>
        </w:trPr>
        <w:tc>
          <w:tcPr>
            <w:tcW w:w="3460" w:type="dxa"/>
            <w:vAlign w:val="bottom"/>
            <w:shd w:val="clear" w:color="auto" w:fill="24356E"/>
          </w:tcPr>
          <w:p>
            <w:pPr>
              <w:spacing w:after="0"/>
              <w:rPr>
                <w:sz w:val="14"/>
                <w:szCs w:val="14"/>
                <w:color w:val="auto"/>
              </w:rPr>
            </w:pPr>
          </w:p>
        </w:tc>
        <w:tc>
          <w:tcPr>
            <w:tcW w:w="3500" w:type="dxa"/>
            <w:vAlign w:val="bottom"/>
            <w:shd w:val="clear" w:color="auto" w:fill="24356E"/>
          </w:tcPr>
          <w:p>
            <w:pPr>
              <w:jc w:val="right"/>
              <w:ind w:right="328"/>
              <w:spacing w:after="0"/>
              <w:rPr>
                <w:sz w:val="20"/>
                <w:szCs w:val="20"/>
                <w:color w:val="auto"/>
              </w:rPr>
            </w:pPr>
            <w:r>
              <w:rPr>
                <w:rFonts w:ascii="Arial" w:cs="Arial" w:eastAsia="Arial" w:hAnsi="Arial"/>
                <w:sz w:val="14"/>
                <w:szCs w:val="14"/>
                <w:color w:val="FFFFFF"/>
              </w:rPr>
              <w:t>Underlying Stock Options</w:t>
            </w:r>
          </w:p>
        </w:tc>
        <w:tc>
          <w:tcPr>
            <w:tcW w:w="2440" w:type="dxa"/>
            <w:vAlign w:val="bottom"/>
            <w:shd w:val="clear" w:color="auto" w:fill="24356E"/>
          </w:tcPr>
          <w:p>
            <w:pPr>
              <w:jc w:val="right"/>
              <w:ind w:right="128"/>
              <w:spacing w:after="0"/>
              <w:rPr>
                <w:sz w:val="20"/>
                <w:szCs w:val="20"/>
                <w:color w:val="auto"/>
              </w:rPr>
            </w:pPr>
            <w:r>
              <w:rPr>
                <w:rFonts w:ascii="Arial" w:cs="Arial" w:eastAsia="Arial" w:hAnsi="Arial"/>
                <w:sz w:val="14"/>
                <w:szCs w:val="14"/>
                <w:color w:val="FFFFFF"/>
              </w:rPr>
              <w:t>Underlying RSUs</w:t>
            </w:r>
          </w:p>
        </w:tc>
      </w:tr>
      <w:tr>
        <w:trPr>
          <w:trHeight w:val="162"/>
        </w:trPr>
        <w:tc>
          <w:tcPr>
            <w:tcW w:w="3460" w:type="dxa"/>
            <w:vAlign w:val="bottom"/>
            <w:shd w:val="clear" w:color="auto" w:fill="24356E"/>
          </w:tcPr>
          <w:p>
            <w:pPr>
              <w:spacing w:after="0"/>
              <w:rPr>
                <w:sz w:val="14"/>
                <w:szCs w:val="14"/>
                <w:color w:val="auto"/>
              </w:rPr>
            </w:pPr>
          </w:p>
        </w:tc>
        <w:tc>
          <w:tcPr>
            <w:tcW w:w="3500" w:type="dxa"/>
            <w:vAlign w:val="bottom"/>
            <w:shd w:val="clear" w:color="auto" w:fill="24356E"/>
          </w:tcPr>
          <w:p>
            <w:pPr>
              <w:jc w:val="right"/>
              <w:ind w:right="288"/>
              <w:spacing w:after="0"/>
              <w:rPr>
                <w:sz w:val="20"/>
                <w:szCs w:val="20"/>
                <w:color w:val="auto"/>
              </w:rPr>
            </w:pPr>
            <w:r>
              <w:rPr>
                <w:rFonts w:ascii="Arial" w:cs="Arial" w:eastAsia="Arial" w:hAnsi="Arial"/>
                <w:sz w:val="14"/>
                <w:szCs w:val="14"/>
                <w:color w:val="FFFFFF"/>
              </w:rPr>
              <w:t>Outstanding as of</w:t>
            </w:r>
          </w:p>
        </w:tc>
        <w:tc>
          <w:tcPr>
            <w:tcW w:w="244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Outstanding as of</w:t>
            </w:r>
          </w:p>
        </w:tc>
      </w:tr>
      <w:tr>
        <w:trPr>
          <w:trHeight w:val="190"/>
        </w:trPr>
        <w:tc>
          <w:tcPr>
            <w:tcW w:w="3460" w:type="dxa"/>
            <w:vAlign w:val="bottom"/>
            <w:shd w:val="clear" w:color="auto" w:fill="24356E"/>
          </w:tcPr>
          <w:p>
            <w:pPr>
              <w:ind w:left="260"/>
              <w:spacing w:after="0"/>
              <w:rPr>
                <w:sz w:val="20"/>
                <w:szCs w:val="20"/>
                <w:color w:val="auto"/>
              </w:rPr>
            </w:pPr>
            <w:r>
              <w:rPr>
                <w:rFonts w:ascii="Arial" w:cs="Arial" w:eastAsia="Arial" w:hAnsi="Arial"/>
                <w:sz w:val="14"/>
                <w:szCs w:val="14"/>
                <w:color w:val="FFFFFF"/>
              </w:rPr>
              <w:t>Name</w:t>
            </w:r>
          </w:p>
        </w:tc>
        <w:tc>
          <w:tcPr>
            <w:tcW w:w="3500" w:type="dxa"/>
            <w:vAlign w:val="bottom"/>
            <w:shd w:val="clear" w:color="auto" w:fill="24356E"/>
          </w:tcPr>
          <w:p>
            <w:pPr>
              <w:jc w:val="right"/>
              <w:ind w:right="288"/>
              <w:spacing w:after="0"/>
              <w:rPr>
                <w:sz w:val="20"/>
                <w:szCs w:val="20"/>
                <w:color w:val="auto"/>
              </w:rPr>
            </w:pPr>
            <w:r>
              <w:rPr>
                <w:rFonts w:ascii="Arial" w:cs="Arial" w:eastAsia="Arial" w:hAnsi="Arial"/>
                <w:sz w:val="14"/>
                <w:szCs w:val="14"/>
                <w:color w:val="FFFFFF"/>
              </w:rPr>
              <w:t>December 31, 2024</w:t>
            </w:r>
          </w:p>
        </w:tc>
        <w:tc>
          <w:tcPr>
            <w:tcW w:w="244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December 31, 2024</w:t>
            </w:r>
          </w:p>
        </w:tc>
      </w:tr>
      <w:tr>
        <w:trPr>
          <w:trHeight w:val="89"/>
        </w:trPr>
        <w:tc>
          <w:tcPr>
            <w:tcW w:w="3460" w:type="dxa"/>
            <w:vAlign w:val="bottom"/>
            <w:shd w:val="clear" w:color="auto" w:fill="24356E"/>
          </w:tcPr>
          <w:p>
            <w:pPr>
              <w:spacing w:after="0"/>
              <w:rPr>
                <w:sz w:val="7"/>
                <w:szCs w:val="7"/>
                <w:color w:val="auto"/>
              </w:rPr>
            </w:pPr>
          </w:p>
        </w:tc>
        <w:tc>
          <w:tcPr>
            <w:tcW w:w="3500" w:type="dxa"/>
            <w:vAlign w:val="bottom"/>
            <w:shd w:val="clear" w:color="auto" w:fill="24356E"/>
          </w:tcPr>
          <w:p>
            <w:pPr>
              <w:spacing w:after="0"/>
              <w:rPr>
                <w:sz w:val="7"/>
                <w:szCs w:val="7"/>
                <w:color w:val="auto"/>
              </w:rPr>
            </w:pPr>
          </w:p>
        </w:tc>
        <w:tc>
          <w:tcPr>
            <w:tcW w:w="2440" w:type="dxa"/>
            <w:vAlign w:val="bottom"/>
            <w:shd w:val="clear" w:color="auto" w:fill="24356E"/>
          </w:tcPr>
          <w:p>
            <w:pPr>
              <w:spacing w:after="0"/>
              <w:rPr>
                <w:sz w:val="7"/>
                <w:szCs w:val="7"/>
                <w:color w:val="auto"/>
              </w:rPr>
            </w:pPr>
          </w:p>
        </w:tc>
      </w:tr>
      <w:tr>
        <w:trPr>
          <w:trHeight w:val="281"/>
        </w:trPr>
        <w:tc>
          <w:tcPr>
            <w:tcW w:w="3460" w:type="dxa"/>
            <w:vAlign w:val="bottom"/>
          </w:tcPr>
          <w:p>
            <w:pPr>
              <w:ind w:left="260"/>
              <w:spacing w:after="0"/>
              <w:rPr>
                <w:sz w:val="20"/>
                <w:szCs w:val="20"/>
                <w:color w:val="auto"/>
              </w:rPr>
            </w:pPr>
            <w:r>
              <w:rPr>
                <w:rFonts w:ascii="Arial" w:cs="Arial" w:eastAsia="Arial" w:hAnsi="Arial"/>
                <w:sz w:val="14"/>
                <w:szCs w:val="14"/>
                <w:b w:val="1"/>
                <w:bCs w:val="1"/>
                <w:color w:val="auto"/>
              </w:rPr>
              <w:t>Thomas Carey</w:t>
            </w:r>
          </w:p>
        </w:tc>
        <w:tc>
          <w:tcPr>
            <w:tcW w:w="3500" w:type="dxa"/>
            <w:vAlign w:val="bottom"/>
          </w:tcPr>
          <w:p>
            <w:pPr>
              <w:ind w:left="2500"/>
              <w:spacing w:after="0"/>
              <w:rPr>
                <w:sz w:val="20"/>
                <w:szCs w:val="20"/>
                <w:color w:val="auto"/>
              </w:rPr>
            </w:pPr>
            <w:r>
              <w:rPr>
                <w:rFonts w:ascii="Arial" w:cs="Arial" w:eastAsia="Arial" w:hAnsi="Arial"/>
                <w:sz w:val="14"/>
                <w:szCs w:val="14"/>
                <w:color w:val="auto"/>
              </w:rPr>
              <w:t>314,113</w:t>
            </w:r>
          </w:p>
        </w:tc>
        <w:tc>
          <w:tcPr>
            <w:tcW w:w="2440" w:type="dxa"/>
            <w:vAlign w:val="bottom"/>
          </w:tcPr>
          <w:p>
            <w:pPr>
              <w:jc w:val="right"/>
              <w:ind w:right="188"/>
              <w:spacing w:after="0"/>
              <w:rPr>
                <w:sz w:val="20"/>
                <w:szCs w:val="20"/>
                <w:color w:val="auto"/>
              </w:rPr>
            </w:pPr>
            <w:r>
              <w:rPr>
                <w:rFonts w:ascii="Arial" w:cs="Arial" w:eastAsia="Arial" w:hAnsi="Arial"/>
                <w:sz w:val="14"/>
                <w:szCs w:val="14"/>
                <w:color w:val="auto"/>
              </w:rPr>
              <w:t>43,128</w:t>
            </w:r>
          </w:p>
        </w:tc>
      </w:tr>
      <w:tr>
        <w:trPr>
          <w:trHeight w:val="70"/>
        </w:trPr>
        <w:tc>
          <w:tcPr>
            <w:tcW w:w="3460" w:type="dxa"/>
            <w:vAlign w:val="bottom"/>
            <w:tcBorders>
              <w:bottom w:val="single" w:sz="8" w:color="666666"/>
            </w:tcBorders>
          </w:tcPr>
          <w:p>
            <w:pPr>
              <w:spacing w:after="0"/>
              <w:rPr>
                <w:sz w:val="6"/>
                <w:szCs w:val="6"/>
                <w:color w:val="auto"/>
              </w:rPr>
            </w:pPr>
          </w:p>
        </w:tc>
        <w:tc>
          <w:tcPr>
            <w:tcW w:w="3500" w:type="dxa"/>
            <w:vAlign w:val="bottom"/>
            <w:tcBorders>
              <w:bottom w:val="single" w:sz="8" w:color="666666"/>
            </w:tcBorders>
          </w:tcPr>
          <w:p>
            <w:pPr>
              <w:spacing w:after="0"/>
              <w:rPr>
                <w:sz w:val="6"/>
                <w:szCs w:val="6"/>
                <w:color w:val="auto"/>
              </w:rPr>
            </w:pPr>
          </w:p>
        </w:tc>
        <w:tc>
          <w:tcPr>
            <w:tcW w:w="2440" w:type="dxa"/>
            <w:vAlign w:val="bottom"/>
            <w:tcBorders>
              <w:bottom w:val="single" w:sz="8" w:color="666666"/>
            </w:tcBorders>
          </w:tcPr>
          <w:p>
            <w:pPr>
              <w:spacing w:after="0"/>
              <w:rPr>
                <w:sz w:val="6"/>
                <w:szCs w:val="6"/>
                <w:color w:val="auto"/>
              </w:rPr>
            </w:pPr>
          </w:p>
        </w:tc>
      </w:tr>
      <w:tr>
        <w:trPr>
          <w:trHeight w:val="275"/>
        </w:trPr>
        <w:tc>
          <w:tcPr>
            <w:tcW w:w="3460" w:type="dxa"/>
            <w:vAlign w:val="bottom"/>
          </w:tcPr>
          <w:p>
            <w:pPr>
              <w:ind w:left="260"/>
              <w:spacing w:after="0"/>
              <w:rPr>
                <w:sz w:val="20"/>
                <w:szCs w:val="20"/>
                <w:color w:val="auto"/>
              </w:rPr>
            </w:pPr>
            <w:r>
              <w:rPr>
                <w:rFonts w:ascii="Arial" w:cs="Arial" w:eastAsia="Arial" w:hAnsi="Arial"/>
                <w:sz w:val="14"/>
                <w:szCs w:val="14"/>
                <w:b w:val="1"/>
                <w:bCs w:val="1"/>
                <w:color w:val="auto"/>
              </w:rPr>
              <w:t>Eli Casdin</w:t>
            </w:r>
          </w:p>
        </w:tc>
        <w:tc>
          <w:tcPr>
            <w:tcW w:w="3500" w:type="dxa"/>
            <w:vAlign w:val="bottom"/>
          </w:tcPr>
          <w:p>
            <w:pPr>
              <w:ind w:left="2500"/>
              <w:spacing w:after="0"/>
              <w:rPr>
                <w:sz w:val="20"/>
                <w:szCs w:val="20"/>
                <w:color w:val="auto"/>
              </w:rPr>
            </w:pPr>
            <w:r>
              <w:rPr>
                <w:rFonts w:ascii="Arial" w:cs="Arial" w:eastAsia="Arial" w:hAnsi="Arial"/>
                <w:sz w:val="14"/>
                <w:szCs w:val="14"/>
                <w:color w:val="auto"/>
              </w:rPr>
              <w:t>317,653</w:t>
            </w:r>
          </w:p>
        </w:tc>
        <w:tc>
          <w:tcPr>
            <w:tcW w:w="2440" w:type="dxa"/>
            <w:vAlign w:val="bottom"/>
          </w:tcPr>
          <w:p>
            <w:pPr>
              <w:jc w:val="right"/>
              <w:ind w:right="188"/>
              <w:spacing w:after="0"/>
              <w:rPr>
                <w:sz w:val="20"/>
                <w:szCs w:val="20"/>
                <w:color w:val="auto"/>
              </w:rPr>
            </w:pPr>
            <w:r>
              <w:rPr>
                <w:rFonts w:ascii="Arial" w:cs="Arial" w:eastAsia="Arial" w:hAnsi="Arial"/>
                <w:sz w:val="14"/>
                <w:szCs w:val="14"/>
                <w:color w:val="auto"/>
              </w:rPr>
              <w:t>101,683</w:t>
            </w:r>
          </w:p>
        </w:tc>
      </w:tr>
      <w:tr>
        <w:trPr>
          <w:trHeight w:val="70"/>
        </w:trPr>
        <w:tc>
          <w:tcPr>
            <w:tcW w:w="3460" w:type="dxa"/>
            <w:vAlign w:val="bottom"/>
            <w:tcBorders>
              <w:bottom w:val="single" w:sz="8" w:color="666666"/>
            </w:tcBorders>
          </w:tcPr>
          <w:p>
            <w:pPr>
              <w:spacing w:after="0"/>
              <w:rPr>
                <w:sz w:val="6"/>
                <w:szCs w:val="6"/>
                <w:color w:val="auto"/>
              </w:rPr>
            </w:pPr>
          </w:p>
        </w:tc>
        <w:tc>
          <w:tcPr>
            <w:tcW w:w="3500" w:type="dxa"/>
            <w:vAlign w:val="bottom"/>
            <w:tcBorders>
              <w:bottom w:val="single" w:sz="8" w:color="666666"/>
            </w:tcBorders>
          </w:tcPr>
          <w:p>
            <w:pPr>
              <w:spacing w:after="0"/>
              <w:rPr>
                <w:sz w:val="6"/>
                <w:szCs w:val="6"/>
                <w:color w:val="auto"/>
              </w:rPr>
            </w:pPr>
          </w:p>
        </w:tc>
        <w:tc>
          <w:tcPr>
            <w:tcW w:w="2440" w:type="dxa"/>
            <w:vAlign w:val="bottom"/>
            <w:tcBorders>
              <w:bottom w:val="single" w:sz="8" w:color="666666"/>
            </w:tcBorders>
          </w:tcPr>
          <w:p>
            <w:pPr>
              <w:spacing w:after="0"/>
              <w:rPr>
                <w:sz w:val="6"/>
                <w:szCs w:val="6"/>
                <w:color w:val="auto"/>
              </w:rPr>
            </w:pPr>
          </w:p>
        </w:tc>
      </w:tr>
      <w:tr>
        <w:trPr>
          <w:trHeight w:val="371"/>
        </w:trPr>
        <w:tc>
          <w:tcPr>
            <w:tcW w:w="346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Laura M. Clague</w:t>
            </w:r>
            <w:r>
              <w:rPr>
                <w:rFonts w:ascii="Arial" w:cs="Arial" w:eastAsia="Arial" w:hAnsi="Arial"/>
                <w:sz w:val="23"/>
                <w:szCs w:val="23"/>
                <w:b w:val="1"/>
                <w:bCs w:val="1"/>
                <w:color w:val="auto"/>
                <w:vertAlign w:val="superscript"/>
              </w:rPr>
              <w:t>(1)</w:t>
            </w:r>
          </w:p>
        </w:tc>
        <w:tc>
          <w:tcPr>
            <w:tcW w:w="3500" w:type="dxa"/>
            <w:vAlign w:val="bottom"/>
            <w:tcBorders>
              <w:bottom w:val="single" w:sz="8" w:color="666666"/>
            </w:tcBorders>
          </w:tcPr>
          <w:p>
            <w:pPr>
              <w:ind w:left="2500"/>
              <w:spacing w:after="0"/>
              <w:rPr>
                <w:sz w:val="20"/>
                <w:szCs w:val="20"/>
                <w:color w:val="auto"/>
              </w:rPr>
            </w:pPr>
            <w:r>
              <w:rPr>
                <w:rFonts w:ascii="Arial" w:cs="Arial" w:eastAsia="Arial" w:hAnsi="Arial"/>
                <w:sz w:val="14"/>
                <w:szCs w:val="14"/>
                <w:color w:val="auto"/>
              </w:rPr>
              <w:t>136,142</w:t>
            </w:r>
          </w:p>
        </w:tc>
        <w:tc>
          <w:tcPr>
            <w:tcW w:w="2440" w:type="dxa"/>
            <w:vAlign w:val="bottom"/>
            <w:tcBorders>
              <w:bottom w:val="single" w:sz="8" w:color="666666"/>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5"/>
        </w:trPr>
        <w:tc>
          <w:tcPr>
            <w:tcW w:w="3460" w:type="dxa"/>
            <w:vAlign w:val="bottom"/>
          </w:tcPr>
          <w:p>
            <w:pPr>
              <w:ind w:left="260"/>
              <w:spacing w:after="0"/>
              <w:rPr>
                <w:sz w:val="20"/>
                <w:szCs w:val="20"/>
                <w:color w:val="auto"/>
              </w:rPr>
            </w:pPr>
            <w:r>
              <w:rPr>
                <w:rFonts w:ascii="Arial" w:cs="Arial" w:eastAsia="Arial" w:hAnsi="Arial"/>
                <w:sz w:val="14"/>
                <w:szCs w:val="14"/>
                <w:b w:val="1"/>
                <w:bCs w:val="1"/>
                <w:color w:val="auto"/>
              </w:rPr>
              <w:t>Troy Cox</w:t>
            </w:r>
          </w:p>
        </w:tc>
        <w:tc>
          <w:tcPr>
            <w:tcW w:w="3500" w:type="dxa"/>
            <w:vAlign w:val="bottom"/>
          </w:tcPr>
          <w:p>
            <w:pPr>
              <w:ind w:left="2400"/>
              <w:spacing w:after="0"/>
              <w:rPr>
                <w:sz w:val="20"/>
                <w:szCs w:val="20"/>
                <w:color w:val="auto"/>
              </w:rPr>
            </w:pPr>
            <w:r>
              <w:rPr>
                <w:rFonts w:ascii="Arial" w:cs="Arial" w:eastAsia="Arial" w:hAnsi="Arial"/>
                <w:sz w:val="14"/>
                <w:szCs w:val="14"/>
                <w:color w:val="auto"/>
              </w:rPr>
              <w:t>1,320,097</w:t>
            </w:r>
          </w:p>
        </w:tc>
        <w:tc>
          <w:tcPr>
            <w:tcW w:w="2440" w:type="dxa"/>
            <w:vAlign w:val="bottom"/>
          </w:tcPr>
          <w:p>
            <w:pPr>
              <w:jc w:val="right"/>
              <w:ind w:right="188"/>
              <w:spacing w:after="0"/>
              <w:rPr>
                <w:sz w:val="20"/>
                <w:szCs w:val="20"/>
                <w:color w:val="auto"/>
              </w:rPr>
            </w:pPr>
            <w:r>
              <w:rPr>
                <w:rFonts w:ascii="Arial" w:cs="Arial" w:eastAsia="Arial" w:hAnsi="Arial"/>
                <w:sz w:val="14"/>
                <w:szCs w:val="14"/>
                <w:color w:val="auto"/>
              </w:rPr>
              <w:t>66,854</w:t>
            </w:r>
          </w:p>
        </w:tc>
      </w:tr>
      <w:tr>
        <w:trPr>
          <w:trHeight w:val="70"/>
        </w:trPr>
        <w:tc>
          <w:tcPr>
            <w:tcW w:w="3460" w:type="dxa"/>
            <w:vAlign w:val="bottom"/>
            <w:tcBorders>
              <w:bottom w:val="single" w:sz="8" w:color="666666"/>
            </w:tcBorders>
          </w:tcPr>
          <w:p>
            <w:pPr>
              <w:spacing w:after="0"/>
              <w:rPr>
                <w:sz w:val="6"/>
                <w:szCs w:val="6"/>
                <w:color w:val="auto"/>
              </w:rPr>
            </w:pPr>
          </w:p>
        </w:tc>
        <w:tc>
          <w:tcPr>
            <w:tcW w:w="3500" w:type="dxa"/>
            <w:vAlign w:val="bottom"/>
            <w:tcBorders>
              <w:bottom w:val="single" w:sz="8" w:color="666666"/>
            </w:tcBorders>
          </w:tcPr>
          <w:p>
            <w:pPr>
              <w:spacing w:after="0"/>
              <w:rPr>
                <w:sz w:val="6"/>
                <w:szCs w:val="6"/>
                <w:color w:val="auto"/>
              </w:rPr>
            </w:pPr>
          </w:p>
        </w:tc>
        <w:tc>
          <w:tcPr>
            <w:tcW w:w="2440" w:type="dxa"/>
            <w:vAlign w:val="bottom"/>
            <w:tcBorders>
              <w:bottom w:val="single" w:sz="8" w:color="666666"/>
            </w:tcBorders>
          </w:tcPr>
          <w:p>
            <w:pPr>
              <w:spacing w:after="0"/>
              <w:rPr>
                <w:sz w:val="6"/>
                <w:szCs w:val="6"/>
                <w:color w:val="auto"/>
              </w:rPr>
            </w:pPr>
          </w:p>
        </w:tc>
      </w:tr>
      <w:tr>
        <w:trPr>
          <w:trHeight w:val="275"/>
        </w:trPr>
        <w:tc>
          <w:tcPr>
            <w:tcW w:w="3460" w:type="dxa"/>
            <w:vAlign w:val="bottom"/>
          </w:tcPr>
          <w:p>
            <w:pPr>
              <w:ind w:left="260"/>
              <w:spacing w:after="0"/>
              <w:rPr>
                <w:sz w:val="20"/>
                <w:szCs w:val="20"/>
                <w:color w:val="auto"/>
              </w:rPr>
            </w:pPr>
            <w:r>
              <w:rPr>
                <w:rFonts w:ascii="Arial" w:cs="Arial" w:eastAsia="Arial" w:hAnsi="Arial"/>
                <w:sz w:val="14"/>
                <w:szCs w:val="14"/>
                <w:b w:val="1"/>
                <w:bCs w:val="1"/>
                <w:color w:val="auto"/>
              </w:rPr>
              <w:t>Fenel M. Eloi</w:t>
            </w:r>
          </w:p>
        </w:tc>
        <w:tc>
          <w:tcPr>
            <w:tcW w:w="3500" w:type="dxa"/>
            <w:vAlign w:val="bottom"/>
          </w:tcPr>
          <w:p>
            <w:pPr>
              <w:ind w:left="2500"/>
              <w:spacing w:after="0"/>
              <w:rPr>
                <w:sz w:val="20"/>
                <w:szCs w:val="20"/>
                <w:color w:val="auto"/>
              </w:rPr>
            </w:pPr>
            <w:r>
              <w:rPr>
                <w:rFonts w:ascii="Arial" w:cs="Arial" w:eastAsia="Arial" w:hAnsi="Arial"/>
                <w:sz w:val="14"/>
                <w:szCs w:val="14"/>
                <w:color w:val="auto"/>
              </w:rPr>
              <w:t>107,593</w:t>
            </w:r>
          </w:p>
        </w:tc>
        <w:tc>
          <w:tcPr>
            <w:tcW w:w="2440" w:type="dxa"/>
            <w:vAlign w:val="bottom"/>
          </w:tcPr>
          <w:p>
            <w:pPr>
              <w:jc w:val="right"/>
              <w:ind w:right="188"/>
              <w:spacing w:after="0"/>
              <w:rPr>
                <w:sz w:val="20"/>
                <w:szCs w:val="20"/>
                <w:color w:val="auto"/>
              </w:rPr>
            </w:pPr>
            <w:r>
              <w:rPr>
                <w:rFonts w:ascii="Arial" w:cs="Arial" w:eastAsia="Arial" w:hAnsi="Arial"/>
                <w:sz w:val="14"/>
                <w:szCs w:val="14"/>
                <w:color w:val="auto"/>
              </w:rPr>
              <w:t>97,194</w:t>
            </w:r>
          </w:p>
        </w:tc>
      </w:tr>
      <w:tr>
        <w:trPr>
          <w:trHeight w:val="70"/>
        </w:trPr>
        <w:tc>
          <w:tcPr>
            <w:tcW w:w="3460" w:type="dxa"/>
            <w:vAlign w:val="bottom"/>
            <w:tcBorders>
              <w:bottom w:val="single" w:sz="8" w:color="666666"/>
            </w:tcBorders>
          </w:tcPr>
          <w:p>
            <w:pPr>
              <w:spacing w:after="0"/>
              <w:rPr>
                <w:sz w:val="6"/>
                <w:szCs w:val="6"/>
                <w:color w:val="auto"/>
              </w:rPr>
            </w:pPr>
          </w:p>
        </w:tc>
        <w:tc>
          <w:tcPr>
            <w:tcW w:w="3500" w:type="dxa"/>
            <w:vAlign w:val="bottom"/>
            <w:tcBorders>
              <w:bottom w:val="single" w:sz="8" w:color="666666"/>
            </w:tcBorders>
          </w:tcPr>
          <w:p>
            <w:pPr>
              <w:spacing w:after="0"/>
              <w:rPr>
                <w:sz w:val="6"/>
                <w:szCs w:val="6"/>
                <w:color w:val="auto"/>
              </w:rPr>
            </w:pPr>
          </w:p>
        </w:tc>
        <w:tc>
          <w:tcPr>
            <w:tcW w:w="2440" w:type="dxa"/>
            <w:vAlign w:val="bottom"/>
            <w:tcBorders>
              <w:bottom w:val="single" w:sz="8" w:color="666666"/>
            </w:tcBorders>
          </w:tcPr>
          <w:p>
            <w:pPr>
              <w:spacing w:after="0"/>
              <w:rPr>
                <w:sz w:val="6"/>
                <w:szCs w:val="6"/>
                <w:color w:val="auto"/>
              </w:rPr>
            </w:pPr>
          </w:p>
        </w:tc>
      </w:tr>
      <w:tr>
        <w:trPr>
          <w:trHeight w:val="275"/>
        </w:trPr>
        <w:tc>
          <w:tcPr>
            <w:tcW w:w="3460" w:type="dxa"/>
            <w:vAlign w:val="bottom"/>
          </w:tcPr>
          <w:p>
            <w:pPr>
              <w:ind w:left="260"/>
              <w:spacing w:after="0"/>
              <w:rPr>
                <w:sz w:val="20"/>
                <w:szCs w:val="20"/>
                <w:color w:val="auto"/>
              </w:rPr>
            </w:pPr>
            <w:r>
              <w:rPr>
                <w:rFonts w:ascii="Arial" w:cs="Arial" w:eastAsia="Arial" w:hAnsi="Arial"/>
                <w:sz w:val="14"/>
                <w:szCs w:val="14"/>
                <w:b w:val="1"/>
                <w:bCs w:val="1"/>
                <w:color w:val="auto"/>
              </w:rPr>
              <w:t>Kathy Hibbs</w:t>
            </w:r>
          </w:p>
        </w:tc>
        <w:tc>
          <w:tcPr>
            <w:tcW w:w="3500" w:type="dxa"/>
            <w:vAlign w:val="bottom"/>
          </w:tcPr>
          <w:p>
            <w:pPr>
              <w:ind w:left="2500"/>
              <w:spacing w:after="0"/>
              <w:rPr>
                <w:sz w:val="20"/>
                <w:szCs w:val="20"/>
                <w:color w:val="auto"/>
              </w:rPr>
            </w:pPr>
            <w:r>
              <w:rPr>
                <w:rFonts w:ascii="Arial" w:cs="Arial" w:eastAsia="Arial" w:hAnsi="Arial"/>
                <w:sz w:val="14"/>
                <w:szCs w:val="14"/>
                <w:color w:val="auto"/>
              </w:rPr>
              <w:t>278,007</w:t>
            </w:r>
          </w:p>
        </w:tc>
        <w:tc>
          <w:tcPr>
            <w:tcW w:w="2440" w:type="dxa"/>
            <w:vAlign w:val="bottom"/>
          </w:tcPr>
          <w:p>
            <w:pPr>
              <w:jc w:val="right"/>
              <w:ind w:right="188"/>
              <w:spacing w:after="0"/>
              <w:rPr>
                <w:sz w:val="20"/>
                <w:szCs w:val="20"/>
                <w:color w:val="auto"/>
              </w:rPr>
            </w:pPr>
            <w:r>
              <w:rPr>
                <w:rFonts w:ascii="Arial" w:cs="Arial" w:eastAsia="Arial" w:hAnsi="Arial"/>
                <w:sz w:val="14"/>
                <w:szCs w:val="14"/>
                <w:color w:val="auto"/>
              </w:rPr>
              <w:t>43,128</w:t>
            </w:r>
          </w:p>
        </w:tc>
      </w:tr>
      <w:tr>
        <w:trPr>
          <w:trHeight w:val="69"/>
        </w:trPr>
        <w:tc>
          <w:tcPr>
            <w:tcW w:w="3460" w:type="dxa"/>
            <w:vAlign w:val="bottom"/>
            <w:tcBorders>
              <w:bottom w:val="single" w:sz="8" w:color="666666"/>
            </w:tcBorders>
          </w:tcPr>
          <w:p>
            <w:pPr>
              <w:spacing w:after="0"/>
              <w:rPr>
                <w:sz w:val="6"/>
                <w:szCs w:val="6"/>
                <w:color w:val="auto"/>
              </w:rPr>
            </w:pPr>
          </w:p>
        </w:tc>
        <w:tc>
          <w:tcPr>
            <w:tcW w:w="3500" w:type="dxa"/>
            <w:vAlign w:val="bottom"/>
            <w:tcBorders>
              <w:bottom w:val="single" w:sz="8" w:color="666666"/>
            </w:tcBorders>
          </w:tcPr>
          <w:p>
            <w:pPr>
              <w:spacing w:after="0"/>
              <w:rPr>
                <w:sz w:val="6"/>
                <w:szCs w:val="6"/>
                <w:color w:val="auto"/>
              </w:rPr>
            </w:pPr>
          </w:p>
        </w:tc>
        <w:tc>
          <w:tcPr>
            <w:tcW w:w="2440" w:type="dxa"/>
            <w:vAlign w:val="bottom"/>
            <w:tcBorders>
              <w:bottom w:val="single" w:sz="8" w:color="666666"/>
            </w:tcBorders>
          </w:tcPr>
          <w:p>
            <w:pPr>
              <w:spacing w:after="0"/>
              <w:rPr>
                <w:sz w:val="6"/>
                <w:szCs w:val="6"/>
                <w:color w:val="auto"/>
              </w:rPr>
            </w:pPr>
          </w:p>
        </w:tc>
      </w:tr>
      <w:tr>
        <w:trPr>
          <w:trHeight w:val="372"/>
        </w:trPr>
        <w:tc>
          <w:tcPr>
            <w:tcW w:w="346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Martin D. Madaus, Ph.D.</w:t>
            </w:r>
            <w:r>
              <w:rPr>
                <w:rFonts w:ascii="Arial" w:cs="Arial" w:eastAsia="Arial" w:hAnsi="Arial"/>
                <w:sz w:val="23"/>
                <w:szCs w:val="23"/>
                <w:b w:val="1"/>
                <w:bCs w:val="1"/>
                <w:color w:val="auto"/>
                <w:vertAlign w:val="superscript"/>
              </w:rPr>
              <w:t>(1)</w:t>
            </w:r>
          </w:p>
        </w:tc>
        <w:tc>
          <w:tcPr>
            <w:tcW w:w="3500" w:type="dxa"/>
            <w:vAlign w:val="bottom"/>
            <w:tcBorders>
              <w:bottom w:val="single" w:sz="8" w:color="666666"/>
            </w:tcBorders>
          </w:tcPr>
          <w:p>
            <w:pPr>
              <w:ind w:left="2500"/>
              <w:spacing w:after="0"/>
              <w:rPr>
                <w:sz w:val="20"/>
                <w:szCs w:val="20"/>
                <w:color w:val="auto"/>
              </w:rPr>
            </w:pPr>
            <w:r>
              <w:rPr>
                <w:rFonts w:ascii="Arial" w:cs="Arial" w:eastAsia="Arial" w:hAnsi="Arial"/>
                <w:sz w:val="14"/>
                <w:szCs w:val="14"/>
                <w:color w:val="auto"/>
              </w:rPr>
              <w:t>101,352</w:t>
            </w:r>
          </w:p>
        </w:tc>
        <w:tc>
          <w:tcPr>
            <w:tcW w:w="2440" w:type="dxa"/>
            <w:vAlign w:val="bottom"/>
            <w:tcBorders>
              <w:bottom w:val="single" w:sz="8" w:color="666666"/>
            </w:tcBorders>
          </w:tcPr>
          <w:p>
            <w:pPr>
              <w:jc w:val="right"/>
              <w:ind w:right="148"/>
              <w:spacing w:after="0"/>
              <w:rPr>
                <w:sz w:val="20"/>
                <w:szCs w:val="20"/>
                <w:color w:val="auto"/>
              </w:rPr>
            </w:pPr>
            <w:r>
              <w:rPr>
                <w:rFonts w:ascii="Arial" w:cs="Arial" w:eastAsia="Arial" w:hAnsi="Arial"/>
                <w:sz w:val="14"/>
                <w:szCs w:val="14"/>
                <w:color w:val="auto"/>
              </w:rPr>
              <w:t>—</w:t>
            </w:r>
          </w:p>
        </w:tc>
      </w:tr>
      <w:tr>
        <w:trPr>
          <w:trHeight w:val="372"/>
        </w:trPr>
        <w:tc>
          <w:tcPr>
            <w:tcW w:w="346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Carlos V. Paya, M.D., Ph.D.</w:t>
            </w:r>
            <w:r>
              <w:rPr>
                <w:rFonts w:ascii="Arial" w:cs="Arial" w:eastAsia="Arial" w:hAnsi="Arial"/>
                <w:sz w:val="23"/>
                <w:szCs w:val="23"/>
                <w:b w:val="1"/>
                <w:bCs w:val="1"/>
                <w:color w:val="auto"/>
                <w:vertAlign w:val="superscript"/>
              </w:rPr>
              <w:t>(1)</w:t>
            </w:r>
          </w:p>
        </w:tc>
        <w:tc>
          <w:tcPr>
            <w:tcW w:w="3500" w:type="dxa"/>
            <w:vAlign w:val="bottom"/>
            <w:tcBorders>
              <w:bottom w:val="single" w:sz="8" w:color="666666"/>
            </w:tcBorders>
          </w:tcPr>
          <w:p>
            <w:pPr>
              <w:ind w:left="2500"/>
              <w:spacing w:after="0"/>
              <w:rPr>
                <w:sz w:val="20"/>
                <w:szCs w:val="20"/>
                <w:color w:val="auto"/>
              </w:rPr>
            </w:pPr>
            <w:r>
              <w:rPr>
                <w:rFonts w:ascii="Arial" w:cs="Arial" w:eastAsia="Arial" w:hAnsi="Arial"/>
                <w:sz w:val="14"/>
                <w:szCs w:val="14"/>
                <w:color w:val="auto"/>
              </w:rPr>
              <w:t>154,742</w:t>
            </w:r>
          </w:p>
        </w:tc>
        <w:tc>
          <w:tcPr>
            <w:tcW w:w="2440" w:type="dxa"/>
            <w:vAlign w:val="bottom"/>
            <w:tcBorders>
              <w:bottom w:val="single" w:sz="8" w:color="666666"/>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5"/>
        </w:trPr>
        <w:tc>
          <w:tcPr>
            <w:tcW w:w="3460" w:type="dxa"/>
            <w:vAlign w:val="bottom"/>
          </w:tcPr>
          <w:p>
            <w:pPr>
              <w:ind w:left="260"/>
              <w:spacing w:after="0"/>
              <w:rPr>
                <w:sz w:val="20"/>
                <w:szCs w:val="20"/>
                <w:color w:val="auto"/>
              </w:rPr>
            </w:pPr>
            <w:r>
              <w:rPr>
                <w:rFonts w:ascii="Arial" w:cs="Arial" w:eastAsia="Arial" w:hAnsi="Arial"/>
                <w:sz w:val="14"/>
                <w:szCs w:val="14"/>
                <w:b w:val="1"/>
                <w:bCs w:val="1"/>
                <w:color w:val="auto"/>
              </w:rPr>
              <w:t>Frank Witney, Ph.D.</w:t>
            </w:r>
          </w:p>
        </w:tc>
        <w:tc>
          <w:tcPr>
            <w:tcW w:w="3500" w:type="dxa"/>
            <w:vAlign w:val="bottom"/>
          </w:tcPr>
          <w:p>
            <w:pPr>
              <w:ind w:left="2500"/>
              <w:spacing w:after="0"/>
              <w:rPr>
                <w:sz w:val="20"/>
                <w:szCs w:val="20"/>
                <w:color w:val="auto"/>
              </w:rPr>
            </w:pPr>
            <w:r>
              <w:rPr>
                <w:rFonts w:ascii="Arial" w:cs="Arial" w:eastAsia="Arial" w:hAnsi="Arial"/>
                <w:sz w:val="14"/>
                <w:szCs w:val="14"/>
                <w:color w:val="auto"/>
              </w:rPr>
              <w:t>173,565</w:t>
            </w:r>
          </w:p>
        </w:tc>
        <w:tc>
          <w:tcPr>
            <w:tcW w:w="2440" w:type="dxa"/>
            <w:vAlign w:val="bottom"/>
          </w:tcPr>
          <w:p>
            <w:pPr>
              <w:jc w:val="right"/>
              <w:ind w:right="188"/>
              <w:spacing w:after="0"/>
              <w:rPr>
                <w:sz w:val="20"/>
                <w:szCs w:val="20"/>
                <w:color w:val="auto"/>
              </w:rPr>
            </w:pPr>
            <w:r>
              <w:rPr>
                <w:rFonts w:ascii="Arial" w:cs="Arial" w:eastAsia="Arial" w:hAnsi="Arial"/>
                <w:sz w:val="14"/>
                <w:szCs w:val="14"/>
                <w:color w:val="auto"/>
              </w:rPr>
              <w:t>50,919</w:t>
            </w:r>
          </w:p>
        </w:tc>
      </w:tr>
      <w:tr>
        <w:trPr>
          <w:trHeight w:val="69"/>
        </w:trPr>
        <w:tc>
          <w:tcPr>
            <w:tcW w:w="3460" w:type="dxa"/>
            <w:vAlign w:val="bottom"/>
            <w:tcBorders>
              <w:bottom w:val="single" w:sz="8" w:color="24356E"/>
            </w:tcBorders>
          </w:tcPr>
          <w:p>
            <w:pPr>
              <w:spacing w:after="0"/>
              <w:rPr>
                <w:sz w:val="6"/>
                <w:szCs w:val="6"/>
                <w:color w:val="auto"/>
              </w:rPr>
            </w:pPr>
          </w:p>
        </w:tc>
        <w:tc>
          <w:tcPr>
            <w:tcW w:w="3500" w:type="dxa"/>
            <w:vAlign w:val="bottom"/>
            <w:tcBorders>
              <w:bottom w:val="single" w:sz="8" w:color="24356E"/>
            </w:tcBorders>
          </w:tcPr>
          <w:p>
            <w:pPr>
              <w:spacing w:after="0"/>
              <w:rPr>
                <w:sz w:val="6"/>
                <w:szCs w:val="6"/>
                <w:color w:val="auto"/>
              </w:rPr>
            </w:pPr>
          </w:p>
        </w:tc>
        <w:tc>
          <w:tcPr>
            <w:tcW w:w="2440" w:type="dxa"/>
            <w:vAlign w:val="bottom"/>
            <w:tcBorders>
              <w:bottom w:val="single" w:sz="8" w:color="24356E"/>
            </w:tcBorders>
          </w:tcPr>
          <w:p>
            <w:pPr>
              <w:spacing w:after="0"/>
              <w:rPr>
                <w:sz w:val="6"/>
                <w:szCs w:val="6"/>
                <w:color w:val="auto"/>
              </w:rPr>
            </w:pPr>
          </w:p>
        </w:tc>
      </w:tr>
    </w:tbl>
    <w:p>
      <w:pPr>
        <w:spacing w:after="0" w:line="158" w:lineRule="exact"/>
        <w:rPr>
          <w:sz w:val="20"/>
          <w:szCs w:val="20"/>
          <w:color w:val="auto"/>
        </w:rPr>
      </w:pPr>
    </w:p>
    <w:p>
      <w:pPr>
        <w:ind w:left="360" w:right="80" w:hanging="354"/>
        <w:spacing w:after="0" w:line="236" w:lineRule="auto"/>
        <w:tabs>
          <w:tab w:leader="none" w:pos="36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Dr. Paya, Ms. Clague and Dr. Madaus resigned from the Board in January 2024 in connection with our merger with SomaLogic. Upon the effective time of the merger, all outstanding equity awards issued by us and held by such persons became fully vested and the period during which such persons may exercise outstanding options was extended to the full term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59664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9"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Pay Versus Performance</w:t>
      </w:r>
    </w:p>
    <w:p>
      <w:pPr>
        <w:spacing w:after="0" w:line="28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333333"/>
        </w:rPr>
        <w:t>As required by Item 402(v) of Regulation S-K, we are providing the following table and related disclosures. The information contained in this section shall not be deemed incorporated by reference in any filing under the Securities Act or the Exchange Act.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Pay Versus Performance Table</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333333"/>
        </w:rPr>
        <w:t>The following table sets forth the compensation information of our Principal Executive Officer (“PEO”), our former PEO and the average compensation for our other NEOs (“Non-PEO NEOs”) and the total stockholder return and net loss for each of fiscal year 2024, 2023, 2022 and 2021. For further information regarding our executive compensation programs, please refer to the sections titled “</w:t>
      </w:r>
      <w:r>
        <w:rPr>
          <w:rFonts w:ascii="Arial" w:cs="Arial" w:eastAsia="Arial" w:hAnsi="Arial"/>
          <w:sz w:val="16"/>
          <w:szCs w:val="16"/>
          <w:i w:val="1"/>
          <w:iCs w:val="1"/>
          <w:color w:val="333333"/>
        </w:rPr>
        <w:t>Compensation Discussion and Analysis</w:t>
      </w:r>
      <w:r>
        <w:rPr>
          <w:rFonts w:ascii="Arial" w:cs="Arial" w:eastAsia="Arial" w:hAnsi="Arial"/>
          <w:sz w:val="16"/>
          <w:szCs w:val="16"/>
          <w:color w:val="333333"/>
        </w:rPr>
        <w:t>” and “</w:t>
      </w:r>
      <w:r>
        <w:rPr>
          <w:rFonts w:ascii="Arial" w:cs="Arial" w:eastAsia="Arial" w:hAnsi="Arial"/>
          <w:sz w:val="16"/>
          <w:szCs w:val="16"/>
          <w:i w:val="1"/>
          <w:iCs w:val="1"/>
          <w:color w:val="333333"/>
        </w:rPr>
        <w:t>Summary Compensation Table</w:t>
      </w:r>
      <w:r>
        <w:rPr>
          <w:rFonts w:ascii="Arial" w:cs="Arial" w:eastAsia="Arial" w:hAnsi="Arial"/>
          <w:sz w:val="16"/>
          <w:szCs w:val="16"/>
          <w:color w:val="333333"/>
        </w:rPr>
        <w:t>” above.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400" w:type="dxa"/>
            <w:vAlign w:val="bottom"/>
            <w:shd w:val="clear" w:color="auto" w:fill="24356E"/>
          </w:tcPr>
          <w:p>
            <w:pPr>
              <w:spacing w:after="0"/>
              <w:rPr>
                <w:sz w:val="24"/>
                <w:szCs w:val="24"/>
                <w:color w:val="auto"/>
              </w:rPr>
            </w:pPr>
          </w:p>
        </w:tc>
        <w:tc>
          <w:tcPr>
            <w:tcW w:w="200" w:type="dxa"/>
            <w:vAlign w:val="bottom"/>
            <w:shd w:val="clear" w:color="auto" w:fill="24356E"/>
          </w:tcPr>
          <w:p>
            <w:pPr>
              <w:spacing w:after="0"/>
              <w:rPr>
                <w:sz w:val="24"/>
                <w:szCs w:val="24"/>
                <w:color w:val="auto"/>
              </w:rPr>
            </w:pPr>
          </w:p>
        </w:tc>
        <w:tc>
          <w:tcPr>
            <w:tcW w:w="800" w:type="dxa"/>
            <w:vAlign w:val="bottom"/>
            <w:shd w:val="clear" w:color="auto" w:fill="24356E"/>
          </w:tcPr>
          <w:p>
            <w:pPr>
              <w:spacing w:after="0"/>
              <w:rPr>
                <w:sz w:val="24"/>
                <w:szCs w:val="24"/>
                <w:color w:val="auto"/>
              </w:rPr>
            </w:pPr>
          </w:p>
        </w:tc>
        <w:tc>
          <w:tcPr>
            <w:tcW w:w="880" w:type="dxa"/>
            <w:vAlign w:val="bottom"/>
            <w:shd w:val="clear" w:color="auto" w:fill="24356E"/>
          </w:tcPr>
          <w:p>
            <w:pPr>
              <w:spacing w:after="0"/>
              <w:rPr>
                <w:sz w:val="24"/>
                <w:szCs w:val="24"/>
                <w:color w:val="auto"/>
              </w:rPr>
            </w:pPr>
          </w:p>
        </w:tc>
        <w:tc>
          <w:tcPr>
            <w:tcW w:w="1000" w:type="dxa"/>
            <w:vAlign w:val="bottom"/>
            <w:shd w:val="clear" w:color="auto" w:fill="24356E"/>
          </w:tcPr>
          <w:p>
            <w:pPr>
              <w:spacing w:after="0"/>
              <w:rPr>
                <w:sz w:val="24"/>
                <w:szCs w:val="24"/>
                <w:color w:val="auto"/>
              </w:rPr>
            </w:pPr>
          </w:p>
        </w:tc>
        <w:tc>
          <w:tcPr>
            <w:tcW w:w="960" w:type="dxa"/>
            <w:vAlign w:val="bottom"/>
            <w:shd w:val="clear" w:color="auto" w:fill="24356E"/>
          </w:tcPr>
          <w:p>
            <w:pPr>
              <w:spacing w:after="0"/>
              <w:rPr>
                <w:sz w:val="24"/>
                <w:szCs w:val="24"/>
                <w:color w:val="auto"/>
              </w:rPr>
            </w:pPr>
          </w:p>
        </w:tc>
        <w:tc>
          <w:tcPr>
            <w:tcW w:w="920" w:type="dxa"/>
            <w:vAlign w:val="bottom"/>
            <w:shd w:val="clear" w:color="auto" w:fill="24356E"/>
          </w:tcPr>
          <w:p>
            <w:pPr>
              <w:spacing w:after="0"/>
              <w:rPr>
                <w:sz w:val="24"/>
                <w:szCs w:val="24"/>
                <w:color w:val="auto"/>
              </w:rPr>
            </w:pPr>
          </w:p>
        </w:tc>
        <w:tc>
          <w:tcPr>
            <w:tcW w:w="860" w:type="dxa"/>
            <w:vAlign w:val="bottom"/>
            <w:shd w:val="clear" w:color="auto" w:fill="24356E"/>
          </w:tcPr>
          <w:p>
            <w:pPr>
              <w:spacing w:after="0"/>
              <w:rPr>
                <w:sz w:val="24"/>
                <w:szCs w:val="24"/>
                <w:color w:val="auto"/>
              </w:rPr>
            </w:pPr>
          </w:p>
        </w:tc>
        <w:tc>
          <w:tcPr>
            <w:tcW w:w="820" w:type="dxa"/>
            <w:vAlign w:val="bottom"/>
            <w:vMerge w:val="restart"/>
            <w:shd w:val="clear" w:color="auto" w:fill="24356E"/>
          </w:tcPr>
          <w:p>
            <w:pPr>
              <w:jc w:val="right"/>
              <w:ind w:right="37"/>
              <w:spacing w:after="0"/>
              <w:rPr>
                <w:sz w:val="20"/>
                <w:szCs w:val="20"/>
                <w:color w:val="auto"/>
              </w:rPr>
            </w:pPr>
            <w:r>
              <w:rPr>
                <w:rFonts w:ascii="Arial" w:cs="Arial" w:eastAsia="Arial" w:hAnsi="Arial"/>
                <w:sz w:val="13"/>
                <w:szCs w:val="13"/>
                <w:b w:val="1"/>
                <w:bCs w:val="1"/>
                <w:color w:val="FFFFFF"/>
              </w:rPr>
              <w:t>Value of</w:t>
            </w:r>
          </w:p>
        </w:tc>
        <w:tc>
          <w:tcPr>
            <w:tcW w:w="76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Value of</w:t>
            </w:r>
          </w:p>
        </w:tc>
        <w:tc>
          <w:tcPr>
            <w:tcW w:w="100" w:type="dxa"/>
            <w:vAlign w:val="bottom"/>
            <w:shd w:val="clear" w:color="auto" w:fill="24356E"/>
          </w:tcPr>
          <w:p>
            <w:pPr>
              <w:spacing w:after="0"/>
              <w:rPr>
                <w:sz w:val="24"/>
                <w:szCs w:val="24"/>
                <w:color w:val="auto"/>
              </w:rPr>
            </w:pPr>
          </w:p>
        </w:tc>
        <w:tc>
          <w:tcPr>
            <w:tcW w:w="820" w:type="dxa"/>
            <w:vAlign w:val="bottom"/>
            <w:shd w:val="clear" w:color="auto" w:fill="24356E"/>
          </w:tcPr>
          <w:p>
            <w:pPr>
              <w:spacing w:after="0"/>
              <w:rPr>
                <w:sz w:val="24"/>
                <w:szCs w:val="24"/>
                <w:color w:val="auto"/>
              </w:rPr>
            </w:pPr>
          </w:p>
        </w:tc>
        <w:tc>
          <w:tcPr>
            <w:tcW w:w="100" w:type="dxa"/>
            <w:vAlign w:val="bottom"/>
            <w:shd w:val="clear" w:color="auto" w:fill="24356E"/>
          </w:tcPr>
          <w:p>
            <w:pPr>
              <w:spacing w:after="0"/>
              <w:rPr>
                <w:sz w:val="24"/>
                <w:szCs w:val="24"/>
                <w:color w:val="auto"/>
              </w:rPr>
            </w:pPr>
          </w:p>
        </w:tc>
        <w:tc>
          <w:tcPr>
            <w:tcW w:w="780" w:type="dxa"/>
            <w:vAlign w:val="bottom"/>
            <w:shd w:val="clear" w:color="auto" w:fill="24356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24356E"/>
          </w:tcPr>
          <w:p>
            <w:pPr>
              <w:spacing w:after="0"/>
              <w:rPr>
                <w:sz w:val="11"/>
                <w:szCs w:val="11"/>
                <w:color w:val="auto"/>
              </w:rPr>
            </w:pPr>
          </w:p>
        </w:tc>
        <w:tc>
          <w:tcPr>
            <w:tcW w:w="200" w:type="dxa"/>
            <w:vAlign w:val="bottom"/>
            <w:shd w:val="clear" w:color="auto" w:fill="24356E"/>
          </w:tcPr>
          <w:p>
            <w:pPr>
              <w:spacing w:after="0"/>
              <w:rPr>
                <w:sz w:val="11"/>
                <w:szCs w:val="11"/>
                <w:color w:val="auto"/>
              </w:rPr>
            </w:pPr>
          </w:p>
        </w:tc>
        <w:tc>
          <w:tcPr>
            <w:tcW w:w="800" w:type="dxa"/>
            <w:vAlign w:val="bottom"/>
            <w:shd w:val="clear" w:color="auto" w:fill="24356E"/>
          </w:tcPr>
          <w:p>
            <w:pPr>
              <w:spacing w:after="0"/>
              <w:rPr>
                <w:sz w:val="11"/>
                <w:szCs w:val="11"/>
                <w:color w:val="auto"/>
              </w:rPr>
            </w:pPr>
          </w:p>
        </w:tc>
        <w:tc>
          <w:tcPr>
            <w:tcW w:w="880" w:type="dxa"/>
            <w:vAlign w:val="bottom"/>
            <w:shd w:val="clear" w:color="auto" w:fill="24356E"/>
          </w:tcPr>
          <w:p>
            <w:pPr>
              <w:spacing w:after="0"/>
              <w:rPr>
                <w:sz w:val="11"/>
                <w:szCs w:val="11"/>
                <w:color w:val="auto"/>
              </w:rPr>
            </w:pPr>
          </w:p>
        </w:tc>
        <w:tc>
          <w:tcPr>
            <w:tcW w:w="1000" w:type="dxa"/>
            <w:vAlign w:val="bottom"/>
            <w:shd w:val="clear" w:color="auto" w:fill="24356E"/>
          </w:tcPr>
          <w:p>
            <w:pPr>
              <w:spacing w:after="0"/>
              <w:rPr>
                <w:sz w:val="11"/>
                <w:szCs w:val="11"/>
                <w:color w:val="auto"/>
              </w:rPr>
            </w:pPr>
          </w:p>
        </w:tc>
        <w:tc>
          <w:tcPr>
            <w:tcW w:w="960" w:type="dxa"/>
            <w:vAlign w:val="bottom"/>
            <w:shd w:val="clear" w:color="auto" w:fill="24356E"/>
          </w:tcPr>
          <w:p>
            <w:pPr>
              <w:spacing w:after="0"/>
              <w:rPr>
                <w:sz w:val="11"/>
                <w:szCs w:val="11"/>
                <w:color w:val="auto"/>
              </w:rPr>
            </w:pPr>
          </w:p>
        </w:tc>
        <w:tc>
          <w:tcPr>
            <w:tcW w:w="920" w:type="dxa"/>
            <w:vAlign w:val="bottom"/>
            <w:vMerge w:val="restart"/>
            <w:shd w:val="clear" w:color="auto" w:fill="24356E"/>
          </w:tcPr>
          <w:p>
            <w:pPr>
              <w:jc w:val="right"/>
              <w:ind w:right="77"/>
              <w:spacing w:after="0"/>
              <w:rPr>
                <w:sz w:val="20"/>
                <w:szCs w:val="20"/>
                <w:color w:val="auto"/>
              </w:rPr>
            </w:pPr>
            <w:r>
              <w:rPr>
                <w:rFonts w:ascii="Arial" w:cs="Arial" w:eastAsia="Arial" w:hAnsi="Arial"/>
                <w:sz w:val="13"/>
                <w:szCs w:val="13"/>
                <w:b w:val="1"/>
                <w:bCs w:val="1"/>
                <w:color w:val="FFFFFF"/>
              </w:rPr>
              <w:t>Average</w:t>
            </w:r>
          </w:p>
        </w:tc>
        <w:tc>
          <w:tcPr>
            <w:tcW w:w="860" w:type="dxa"/>
            <w:vAlign w:val="bottom"/>
            <w:shd w:val="clear" w:color="auto" w:fill="24356E"/>
          </w:tcPr>
          <w:p>
            <w:pPr>
              <w:spacing w:after="0"/>
              <w:rPr>
                <w:sz w:val="11"/>
                <w:szCs w:val="11"/>
                <w:color w:val="auto"/>
              </w:rPr>
            </w:pPr>
          </w:p>
        </w:tc>
        <w:tc>
          <w:tcPr>
            <w:tcW w:w="820" w:type="dxa"/>
            <w:vAlign w:val="bottom"/>
            <w:vMerge w:val="continue"/>
            <w:shd w:val="clear" w:color="auto" w:fill="24356E"/>
          </w:tcPr>
          <w:p>
            <w:pPr>
              <w:spacing w:after="0"/>
              <w:rPr>
                <w:sz w:val="11"/>
                <w:szCs w:val="11"/>
                <w:color w:val="auto"/>
              </w:rPr>
            </w:pPr>
          </w:p>
        </w:tc>
        <w:tc>
          <w:tcPr>
            <w:tcW w:w="76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rPr>
              <w:t>Initial</w:t>
            </w:r>
          </w:p>
        </w:tc>
        <w:tc>
          <w:tcPr>
            <w:tcW w:w="100" w:type="dxa"/>
            <w:vAlign w:val="bottom"/>
            <w:shd w:val="clear" w:color="auto" w:fill="24356E"/>
          </w:tcPr>
          <w:p>
            <w:pPr>
              <w:spacing w:after="0"/>
              <w:rPr>
                <w:sz w:val="11"/>
                <w:szCs w:val="11"/>
                <w:color w:val="auto"/>
              </w:rPr>
            </w:pPr>
          </w:p>
        </w:tc>
        <w:tc>
          <w:tcPr>
            <w:tcW w:w="820" w:type="dxa"/>
            <w:vAlign w:val="bottom"/>
            <w:shd w:val="clear" w:color="auto" w:fill="24356E"/>
          </w:tcPr>
          <w:p>
            <w:pPr>
              <w:spacing w:after="0"/>
              <w:rPr>
                <w:sz w:val="11"/>
                <w:szCs w:val="11"/>
                <w:color w:val="auto"/>
              </w:rPr>
            </w:pPr>
          </w:p>
        </w:tc>
        <w:tc>
          <w:tcPr>
            <w:tcW w:w="100" w:type="dxa"/>
            <w:vAlign w:val="bottom"/>
            <w:shd w:val="clear" w:color="auto" w:fill="24356E"/>
          </w:tcPr>
          <w:p>
            <w:pPr>
              <w:spacing w:after="0"/>
              <w:rPr>
                <w:sz w:val="11"/>
                <w:szCs w:val="11"/>
                <w:color w:val="auto"/>
              </w:rPr>
            </w:pPr>
          </w:p>
        </w:tc>
        <w:tc>
          <w:tcPr>
            <w:tcW w:w="780" w:type="dxa"/>
            <w:vAlign w:val="bottom"/>
            <w:shd w:val="clear" w:color="auto" w:fill="24356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24356E"/>
          </w:tcPr>
          <w:p>
            <w:pPr>
              <w:spacing w:after="0"/>
              <w:rPr>
                <w:sz w:val="11"/>
                <w:szCs w:val="11"/>
                <w:color w:val="auto"/>
              </w:rPr>
            </w:pPr>
          </w:p>
        </w:tc>
        <w:tc>
          <w:tcPr>
            <w:tcW w:w="200" w:type="dxa"/>
            <w:vAlign w:val="bottom"/>
            <w:shd w:val="clear" w:color="auto" w:fill="24356E"/>
          </w:tcPr>
          <w:p>
            <w:pPr>
              <w:spacing w:after="0"/>
              <w:rPr>
                <w:sz w:val="11"/>
                <w:szCs w:val="11"/>
                <w:color w:val="auto"/>
              </w:rPr>
            </w:pPr>
          </w:p>
        </w:tc>
        <w:tc>
          <w:tcPr>
            <w:tcW w:w="800" w:type="dxa"/>
            <w:vAlign w:val="bottom"/>
            <w:vMerge w:val="restart"/>
            <w:shd w:val="clear" w:color="auto" w:fill="24356E"/>
          </w:tcPr>
          <w:p>
            <w:pPr>
              <w:jc w:val="right"/>
              <w:ind w:right="78"/>
              <w:spacing w:after="0"/>
              <w:rPr>
                <w:sz w:val="20"/>
                <w:szCs w:val="20"/>
                <w:color w:val="auto"/>
              </w:rPr>
            </w:pPr>
            <w:r>
              <w:rPr>
                <w:rFonts w:ascii="Arial" w:cs="Arial" w:eastAsia="Arial" w:hAnsi="Arial"/>
                <w:sz w:val="13"/>
                <w:szCs w:val="13"/>
                <w:b w:val="1"/>
                <w:bCs w:val="1"/>
                <w:color w:val="FFFFFF"/>
              </w:rPr>
              <w:t>Summary</w:t>
            </w:r>
          </w:p>
        </w:tc>
        <w:tc>
          <w:tcPr>
            <w:tcW w:w="880" w:type="dxa"/>
            <w:vAlign w:val="bottom"/>
            <w:shd w:val="clear" w:color="auto" w:fill="24356E"/>
          </w:tcPr>
          <w:p>
            <w:pPr>
              <w:spacing w:after="0"/>
              <w:rPr>
                <w:sz w:val="11"/>
                <w:szCs w:val="11"/>
                <w:color w:val="auto"/>
              </w:rPr>
            </w:pPr>
          </w:p>
        </w:tc>
        <w:tc>
          <w:tcPr>
            <w:tcW w:w="1000" w:type="dxa"/>
            <w:vAlign w:val="bottom"/>
            <w:vMerge w:val="restart"/>
            <w:shd w:val="clear" w:color="auto" w:fill="24356E"/>
          </w:tcPr>
          <w:p>
            <w:pPr>
              <w:jc w:val="right"/>
              <w:ind w:right="58"/>
              <w:spacing w:after="0"/>
              <w:rPr>
                <w:sz w:val="20"/>
                <w:szCs w:val="20"/>
                <w:color w:val="auto"/>
              </w:rPr>
            </w:pPr>
            <w:r>
              <w:rPr>
                <w:rFonts w:ascii="Arial" w:cs="Arial" w:eastAsia="Arial" w:hAnsi="Arial"/>
                <w:sz w:val="13"/>
                <w:szCs w:val="13"/>
                <w:b w:val="1"/>
                <w:bCs w:val="1"/>
                <w:color w:val="FFFFFF"/>
              </w:rPr>
              <w:t>Summary</w:t>
            </w:r>
          </w:p>
        </w:tc>
        <w:tc>
          <w:tcPr>
            <w:tcW w:w="960" w:type="dxa"/>
            <w:vAlign w:val="bottom"/>
            <w:shd w:val="clear" w:color="auto" w:fill="24356E"/>
          </w:tcPr>
          <w:p>
            <w:pPr>
              <w:spacing w:after="0"/>
              <w:rPr>
                <w:sz w:val="11"/>
                <w:szCs w:val="11"/>
                <w:color w:val="auto"/>
              </w:rPr>
            </w:pPr>
          </w:p>
        </w:tc>
        <w:tc>
          <w:tcPr>
            <w:tcW w:w="920" w:type="dxa"/>
            <w:vAlign w:val="bottom"/>
            <w:vMerge w:val="continue"/>
            <w:shd w:val="clear" w:color="auto" w:fill="24356E"/>
          </w:tcPr>
          <w:p>
            <w:pPr>
              <w:spacing w:after="0"/>
              <w:rPr>
                <w:sz w:val="11"/>
                <w:szCs w:val="11"/>
                <w:color w:val="auto"/>
              </w:rPr>
            </w:pPr>
          </w:p>
        </w:tc>
        <w:tc>
          <w:tcPr>
            <w:tcW w:w="860" w:type="dxa"/>
            <w:vAlign w:val="bottom"/>
            <w:vMerge w:val="restart"/>
            <w:shd w:val="clear" w:color="auto" w:fill="24356E"/>
          </w:tcPr>
          <w:p>
            <w:pPr>
              <w:jc w:val="right"/>
              <w:spacing w:after="0"/>
              <w:rPr>
                <w:sz w:val="20"/>
                <w:szCs w:val="20"/>
                <w:color w:val="auto"/>
              </w:rPr>
            </w:pPr>
            <w:r>
              <w:rPr>
                <w:rFonts w:ascii="Arial" w:cs="Arial" w:eastAsia="Arial" w:hAnsi="Arial"/>
                <w:sz w:val="13"/>
                <w:szCs w:val="13"/>
                <w:b w:val="1"/>
                <w:bCs w:val="1"/>
                <w:color w:val="FFFFFF"/>
              </w:rPr>
              <w:t>Average</w:t>
            </w:r>
          </w:p>
        </w:tc>
        <w:tc>
          <w:tcPr>
            <w:tcW w:w="820" w:type="dxa"/>
            <w:vAlign w:val="bottom"/>
            <w:shd w:val="clear" w:color="auto" w:fill="24356E"/>
          </w:tcPr>
          <w:p>
            <w:pPr>
              <w:jc w:val="right"/>
              <w:ind w:right="37"/>
              <w:spacing w:after="0" w:line="135" w:lineRule="exact"/>
              <w:rPr>
                <w:sz w:val="20"/>
                <w:szCs w:val="20"/>
                <w:color w:val="auto"/>
              </w:rPr>
            </w:pPr>
            <w:r>
              <w:rPr>
                <w:rFonts w:ascii="Arial" w:cs="Arial" w:eastAsia="Arial" w:hAnsi="Arial"/>
                <w:sz w:val="13"/>
                <w:szCs w:val="13"/>
                <w:b w:val="1"/>
                <w:bCs w:val="1"/>
                <w:color w:val="FFFFFF"/>
              </w:rPr>
              <w:t>Initial</w:t>
            </w:r>
          </w:p>
        </w:tc>
        <w:tc>
          <w:tcPr>
            <w:tcW w:w="76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rPr>
              <w:t>Fixed $100</w:t>
            </w:r>
          </w:p>
        </w:tc>
        <w:tc>
          <w:tcPr>
            <w:tcW w:w="100" w:type="dxa"/>
            <w:vAlign w:val="bottom"/>
            <w:shd w:val="clear" w:color="auto" w:fill="24356E"/>
          </w:tcPr>
          <w:p>
            <w:pPr>
              <w:spacing w:after="0"/>
              <w:rPr>
                <w:sz w:val="11"/>
                <w:szCs w:val="11"/>
                <w:color w:val="auto"/>
              </w:rPr>
            </w:pPr>
          </w:p>
        </w:tc>
        <w:tc>
          <w:tcPr>
            <w:tcW w:w="820" w:type="dxa"/>
            <w:vAlign w:val="bottom"/>
            <w:shd w:val="clear" w:color="auto" w:fill="24356E"/>
          </w:tcPr>
          <w:p>
            <w:pPr>
              <w:spacing w:after="0"/>
              <w:rPr>
                <w:sz w:val="11"/>
                <w:szCs w:val="11"/>
                <w:color w:val="auto"/>
              </w:rPr>
            </w:pPr>
          </w:p>
        </w:tc>
        <w:tc>
          <w:tcPr>
            <w:tcW w:w="100" w:type="dxa"/>
            <w:vAlign w:val="bottom"/>
            <w:shd w:val="clear" w:color="auto" w:fill="24356E"/>
          </w:tcPr>
          <w:p>
            <w:pPr>
              <w:spacing w:after="0"/>
              <w:rPr>
                <w:sz w:val="11"/>
                <w:szCs w:val="11"/>
                <w:color w:val="auto"/>
              </w:rPr>
            </w:pPr>
          </w:p>
        </w:tc>
        <w:tc>
          <w:tcPr>
            <w:tcW w:w="780" w:type="dxa"/>
            <w:vAlign w:val="bottom"/>
            <w:shd w:val="clear" w:color="auto" w:fill="24356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24356E"/>
          </w:tcPr>
          <w:p>
            <w:pPr>
              <w:spacing w:after="0"/>
              <w:rPr>
                <w:sz w:val="11"/>
                <w:szCs w:val="11"/>
                <w:color w:val="auto"/>
              </w:rPr>
            </w:pPr>
          </w:p>
        </w:tc>
        <w:tc>
          <w:tcPr>
            <w:tcW w:w="200" w:type="dxa"/>
            <w:vAlign w:val="bottom"/>
            <w:shd w:val="clear" w:color="auto" w:fill="24356E"/>
          </w:tcPr>
          <w:p>
            <w:pPr>
              <w:spacing w:after="0"/>
              <w:rPr>
                <w:sz w:val="11"/>
                <w:szCs w:val="11"/>
                <w:color w:val="auto"/>
              </w:rPr>
            </w:pPr>
          </w:p>
        </w:tc>
        <w:tc>
          <w:tcPr>
            <w:tcW w:w="800" w:type="dxa"/>
            <w:vAlign w:val="bottom"/>
            <w:vMerge w:val="continue"/>
            <w:shd w:val="clear" w:color="auto" w:fill="24356E"/>
          </w:tcPr>
          <w:p>
            <w:pPr>
              <w:spacing w:after="0"/>
              <w:rPr>
                <w:sz w:val="11"/>
                <w:szCs w:val="11"/>
                <w:color w:val="auto"/>
              </w:rPr>
            </w:pPr>
          </w:p>
        </w:tc>
        <w:tc>
          <w:tcPr>
            <w:tcW w:w="880" w:type="dxa"/>
            <w:vAlign w:val="bottom"/>
            <w:shd w:val="clear" w:color="auto" w:fill="24356E"/>
          </w:tcPr>
          <w:p>
            <w:pPr>
              <w:spacing w:after="0"/>
              <w:rPr>
                <w:sz w:val="11"/>
                <w:szCs w:val="11"/>
                <w:color w:val="auto"/>
              </w:rPr>
            </w:pPr>
          </w:p>
        </w:tc>
        <w:tc>
          <w:tcPr>
            <w:tcW w:w="1000" w:type="dxa"/>
            <w:vAlign w:val="bottom"/>
            <w:vMerge w:val="continue"/>
            <w:shd w:val="clear" w:color="auto" w:fill="24356E"/>
          </w:tcPr>
          <w:p>
            <w:pPr>
              <w:spacing w:after="0"/>
              <w:rPr>
                <w:sz w:val="11"/>
                <w:szCs w:val="11"/>
                <w:color w:val="auto"/>
              </w:rPr>
            </w:pPr>
          </w:p>
        </w:tc>
        <w:tc>
          <w:tcPr>
            <w:tcW w:w="960" w:type="dxa"/>
            <w:vAlign w:val="bottom"/>
            <w:shd w:val="clear" w:color="auto" w:fill="24356E"/>
          </w:tcPr>
          <w:p>
            <w:pPr>
              <w:spacing w:after="0"/>
              <w:rPr>
                <w:sz w:val="11"/>
                <w:szCs w:val="11"/>
                <w:color w:val="auto"/>
              </w:rPr>
            </w:pPr>
          </w:p>
        </w:tc>
        <w:tc>
          <w:tcPr>
            <w:tcW w:w="920" w:type="dxa"/>
            <w:vAlign w:val="bottom"/>
            <w:shd w:val="clear" w:color="auto" w:fill="24356E"/>
          </w:tcPr>
          <w:p>
            <w:pPr>
              <w:jc w:val="right"/>
              <w:ind w:right="77"/>
              <w:spacing w:after="0" w:line="135" w:lineRule="exact"/>
              <w:rPr>
                <w:sz w:val="20"/>
                <w:szCs w:val="20"/>
                <w:color w:val="auto"/>
              </w:rPr>
            </w:pPr>
            <w:r>
              <w:rPr>
                <w:rFonts w:ascii="Arial" w:cs="Arial" w:eastAsia="Arial" w:hAnsi="Arial"/>
                <w:sz w:val="13"/>
                <w:szCs w:val="13"/>
                <w:b w:val="1"/>
                <w:bCs w:val="1"/>
                <w:color w:val="FFFFFF"/>
              </w:rPr>
              <w:t>Summary</w:t>
            </w:r>
          </w:p>
        </w:tc>
        <w:tc>
          <w:tcPr>
            <w:tcW w:w="860" w:type="dxa"/>
            <w:vAlign w:val="bottom"/>
            <w:vMerge w:val="continue"/>
            <w:shd w:val="clear" w:color="auto" w:fill="24356E"/>
          </w:tcPr>
          <w:p>
            <w:pPr>
              <w:spacing w:after="0"/>
              <w:rPr>
                <w:sz w:val="11"/>
                <w:szCs w:val="11"/>
                <w:color w:val="auto"/>
              </w:rPr>
            </w:pPr>
          </w:p>
        </w:tc>
        <w:tc>
          <w:tcPr>
            <w:tcW w:w="820" w:type="dxa"/>
            <w:vAlign w:val="bottom"/>
            <w:shd w:val="clear" w:color="auto" w:fill="24356E"/>
          </w:tcPr>
          <w:p>
            <w:pPr>
              <w:jc w:val="right"/>
              <w:ind w:right="37"/>
              <w:spacing w:after="0" w:line="135" w:lineRule="exact"/>
              <w:rPr>
                <w:sz w:val="20"/>
                <w:szCs w:val="20"/>
                <w:color w:val="auto"/>
              </w:rPr>
            </w:pPr>
            <w:r>
              <w:rPr>
                <w:rFonts w:ascii="Arial" w:cs="Arial" w:eastAsia="Arial" w:hAnsi="Arial"/>
                <w:sz w:val="13"/>
                <w:szCs w:val="13"/>
                <w:b w:val="1"/>
                <w:bCs w:val="1"/>
                <w:color w:val="FFFFFF"/>
              </w:rPr>
              <w:t>Fixed $100</w:t>
            </w:r>
          </w:p>
        </w:tc>
        <w:tc>
          <w:tcPr>
            <w:tcW w:w="76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w w:val="99"/>
              </w:rPr>
              <w:t>Investment</w:t>
            </w:r>
          </w:p>
        </w:tc>
        <w:tc>
          <w:tcPr>
            <w:tcW w:w="100" w:type="dxa"/>
            <w:vAlign w:val="bottom"/>
            <w:shd w:val="clear" w:color="auto" w:fill="24356E"/>
          </w:tcPr>
          <w:p>
            <w:pPr>
              <w:spacing w:after="0"/>
              <w:rPr>
                <w:sz w:val="11"/>
                <w:szCs w:val="11"/>
                <w:color w:val="auto"/>
              </w:rPr>
            </w:pPr>
          </w:p>
        </w:tc>
        <w:tc>
          <w:tcPr>
            <w:tcW w:w="820" w:type="dxa"/>
            <w:vAlign w:val="bottom"/>
            <w:shd w:val="clear" w:color="auto" w:fill="24356E"/>
          </w:tcPr>
          <w:p>
            <w:pPr>
              <w:spacing w:after="0"/>
              <w:rPr>
                <w:sz w:val="11"/>
                <w:szCs w:val="11"/>
                <w:color w:val="auto"/>
              </w:rPr>
            </w:pPr>
          </w:p>
        </w:tc>
        <w:tc>
          <w:tcPr>
            <w:tcW w:w="100" w:type="dxa"/>
            <w:vAlign w:val="bottom"/>
            <w:shd w:val="clear" w:color="auto" w:fill="24356E"/>
          </w:tcPr>
          <w:p>
            <w:pPr>
              <w:spacing w:after="0"/>
              <w:rPr>
                <w:sz w:val="11"/>
                <w:szCs w:val="11"/>
                <w:color w:val="auto"/>
              </w:rPr>
            </w:pPr>
          </w:p>
        </w:tc>
        <w:tc>
          <w:tcPr>
            <w:tcW w:w="780" w:type="dxa"/>
            <w:vAlign w:val="bottom"/>
            <w:shd w:val="clear" w:color="auto" w:fill="24356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24356E"/>
          </w:tcPr>
          <w:p>
            <w:pPr>
              <w:spacing w:after="0"/>
              <w:rPr>
                <w:sz w:val="11"/>
                <w:szCs w:val="11"/>
                <w:color w:val="auto"/>
              </w:rPr>
            </w:pPr>
          </w:p>
        </w:tc>
        <w:tc>
          <w:tcPr>
            <w:tcW w:w="1880" w:type="dxa"/>
            <w:vAlign w:val="bottom"/>
            <w:gridSpan w:val="3"/>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w w:val="97"/>
              </w:rPr>
              <w:t>Compensation Compensation</w:t>
            </w:r>
          </w:p>
        </w:tc>
        <w:tc>
          <w:tcPr>
            <w:tcW w:w="3740" w:type="dxa"/>
            <w:vAlign w:val="bottom"/>
            <w:gridSpan w:val="4"/>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w w:val="98"/>
              </w:rPr>
              <w:t>Compensation Compensation Compensation Compensation</w:t>
            </w:r>
          </w:p>
        </w:tc>
        <w:tc>
          <w:tcPr>
            <w:tcW w:w="820" w:type="dxa"/>
            <w:vAlign w:val="bottom"/>
            <w:shd w:val="clear" w:color="auto" w:fill="24356E"/>
          </w:tcPr>
          <w:p>
            <w:pPr>
              <w:jc w:val="right"/>
              <w:ind w:right="37"/>
              <w:spacing w:after="0" w:line="135" w:lineRule="exact"/>
              <w:rPr>
                <w:sz w:val="20"/>
                <w:szCs w:val="20"/>
                <w:color w:val="auto"/>
              </w:rPr>
            </w:pPr>
            <w:r>
              <w:rPr>
                <w:rFonts w:ascii="Arial" w:cs="Arial" w:eastAsia="Arial" w:hAnsi="Arial"/>
                <w:sz w:val="13"/>
                <w:szCs w:val="13"/>
                <w:b w:val="1"/>
                <w:bCs w:val="1"/>
                <w:color w:val="FFFFFF"/>
              </w:rPr>
              <w:t>Investment</w:t>
            </w:r>
          </w:p>
        </w:tc>
        <w:tc>
          <w:tcPr>
            <w:tcW w:w="76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rPr>
              <w:t>Based On</w:t>
            </w:r>
          </w:p>
        </w:tc>
        <w:tc>
          <w:tcPr>
            <w:tcW w:w="100" w:type="dxa"/>
            <w:vAlign w:val="bottom"/>
            <w:shd w:val="clear" w:color="auto" w:fill="24356E"/>
          </w:tcPr>
          <w:p>
            <w:pPr>
              <w:spacing w:after="0"/>
              <w:rPr>
                <w:sz w:val="11"/>
                <w:szCs w:val="11"/>
                <w:color w:val="auto"/>
              </w:rPr>
            </w:pPr>
          </w:p>
        </w:tc>
        <w:tc>
          <w:tcPr>
            <w:tcW w:w="820" w:type="dxa"/>
            <w:vAlign w:val="bottom"/>
            <w:shd w:val="clear" w:color="auto" w:fill="24356E"/>
          </w:tcPr>
          <w:p>
            <w:pPr>
              <w:spacing w:after="0"/>
              <w:rPr>
                <w:sz w:val="11"/>
                <w:szCs w:val="11"/>
                <w:color w:val="auto"/>
              </w:rPr>
            </w:pPr>
          </w:p>
        </w:tc>
        <w:tc>
          <w:tcPr>
            <w:tcW w:w="100" w:type="dxa"/>
            <w:vAlign w:val="bottom"/>
            <w:shd w:val="clear" w:color="auto" w:fill="24356E"/>
          </w:tcPr>
          <w:p>
            <w:pPr>
              <w:spacing w:after="0"/>
              <w:rPr>
                <w:sz w:val="11"/>
                <w:szCs w:val="11"/>
                <w:color w:val="auto"/>
              </w:rPr>
            </w:pPr>
          </w:p>
        </w:tc>
        <w:tc>
          <w:tcPr>
            <w:tcW w:w="780" w:type="dxa"/>
            <w:vAlign w:val="bottom"/>
            <w:shd w:val="clear" w:color="auto" w:fill="24356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24356E"/>
          </w:tcPr>
          <w:p>
            <w:pPr>
              <w:spacing w:after="0"/>
              <w:rPr>
                <w:sz w:val="11"/>
                <w:szCs w:val="11"/>
                <w:color w:val="auto"/>
              </w:rPr>
            </w:pPr>
          </w:p>
        </w:tc>
        <w:tc>
          <w:tcPr>
            <w:tcW w:w="200" w:type="dxa"/>
            <w:vAlign w:val="bottom"/>
            <w:shd w:val="clear" w:color="auto" w:fill="24356E"/>
          </w:tcPr>
          <w:p>
            <w:pPr>
              <w:spacing w:after="0"/>
              <w:rPr>
                <w:sz w:val="11"/>
                <w:szCs w:val="11"/>
                <w:color w:val="auto"/>
              </w:rPr>
            </w:pPr>
          </w:p>
        </w:tc>
        <w:tc>
          <w:tcPr>
            <w:tcW w:w="800" w:type="dxa"/>
            <w:vAlign w:val="bottom"/>
            <w:shd w:val="clear" w:color="auto" w:fill="24356E"/>
          </w:tcPr>
          <w:p>
            <w:pPr>
              <w:jc w:val="right"/>
              <w:ind w:right="78"/>
              <w:spacing w:after="0" w:line="135" w:lineRule="exact"/>
              <w:rPr>
                <w:sz w:val="20"/>
                <w:szCs w:val="20"/>
                <w:color w:val="auto"/>
              </w:rPr>
            </w:pPr>
            <w:r>
              <w:rPr>
                <w:rFonts w:ascii="Arial" w:cs="Arial" w:eastAsia="Arial" w:hAnsi="Arial"/>
                <w:sz w:val="13"/>
                <w:szCs w:val="13"/>
                <w:b w:val="1"/>
                <w:bCs w:val="1"/>
                <w:color w:val="FFFFFF"/>
              </w:rPr>
              <w:t>Table</w:t>
            </w:r>
          </w:p>
        </w:tc>
        <w:tc>
          <w:tcPr>
            <w:tcW w:w="88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rPr>
              <w:t>Actually</w:t>
            </w:r>
          </w:p>
        </w:tc>
        <w:tc>
          <w:tcPr>
            <w:tcW w:w="1000" w:type="dxa"/>
            <w:vAlign w:val="bottom"/>
            <w:shd w:val="clear" w:color="auto" w:fill="24356E"/>
          </w:tcPr>
          <w:p>
            <w:pPr>
              <w:jc w:val="right"/>
              <w:ind w:right="58"/>
              <w:spacing w:after="0" w:line="135" w:lineRule="exact"/>
              <w:rPr>
                <w:sz w:val="20"/>
                <w:szCs w:val="20"/>
                <w:color w:val="auto"/>
              </w:rPr>
            </w:pPr>
            <w:r>
              <w:rPr>
                <w:rFonts w:ascii="Arial" w:cs="Arial" w:eastAsia="Arial" w:hAnsi="Arial"/>
                <w:sz w:val="13"/>
                <w:szCs w:val="13"/>
                <w:b w:val="1"/>
                <w:bCs w:val="1"/>
                <w:color w:val="FFFFFF"/>
              </w:rPr>
              <w:t>Table</w:t>
            </w:r>
          </w:p>
        </w:tc>
        <w:tc>
          <w:tcPr>
            <w:tcW w:w="960" w:type="dxa"/>
            <w:vAlign w:val="bottom"/>
            <w:shd w:val="clear" w:color="auto" w:fill="24356E"/>
          </w:tcPr>
          <w:p>
            <w:pPr>
              <w:jc w:val="right"/>
              <w:ind w:right="98"/>
              <w:spacing w:after="0" w:line="135" w:lineRule="exact"/>
              <w:rPr>
                <w:sz w:val="20"/>
                <w:szCs w:val="20"/>
                <w:color w:val="auto"/>
              </w:rPr>
            </w:pPr>
            <w:r>
              <w:rPr>
                <w:rFonts w:ascii="Arial" w:cs="Arial" w:eastAsia="Arial" w:hAnsi="Arial"/>
                <w:sz w:val="13"/>
                <w:szCs w:val="13"/>
                <w:b w:val="1"/>
                <w:bCs w:val="1"/>
                <w:color w:val="FFFFFF"/>
              </w:rPr>
              <w:t>Actually</w:t>
            </w:r>
          </w:p>
        </w:tc>
        <w:tc>
          <w:tcPr>
            <w:tcW w:w="920" w:type="dxa"/>
            <w:vAlign w:val="bottom"/>
            <w:shd w:val="clear" w:color="auto" w:fill="24356E"/>
          </w:tcPr>
          <w:p>
            <w:pPr>
              <w:jc w:val="right"/>
              <w:ind w:right="77"/>
              <w:spacing w:after="0" w:line="135" w:lineRule="exact"/>
              <w:rPr>
                <w:sz w:val="20"/>
                <w:szCs w:val="20"/>
                <w:color w:val="auto"/>
              </w:rPr>
            </w:pPr>
            <w:r>
              <w:rPr>
                <w:rFonts w:ascii="Arial" w:cs="Arial" w:eastAsia="Arial" w:hAnsi="Arial"/>
                <w:sz w:val="13"/>
                <w:szCs w:val="13"/>
                <w:b w:val="1"/>
                <w:bCs w:val="1"/>
                <w:color w:val="FFFFFF"/>
              </w:rPr>
              <w:t>Table</w:t>
            </w:r>
          </w:p>
        </w:tc>
        <w:tc>
          <w:tcPr>
            <w:tcW w:w="86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rPr>
              <w:t>Actually</w:t>
            </w:r>
          </w:p>
        </w:tc>
        <w:tc>
          <w:tcPr>
            <w:tcW w:w="820" w:type="dxa"/>
            <w:vAlign w:val="bottom"/>
            <w:shd w:val="clear" w:color="auto" w:fill="24356E"/>
          </w:tcPr>
          <w:p>
            <w:pPr>
              <w:jc w:val="right"/>
              <w:ind w:right="37"/>
              <w:spacing w:after="0" w:line="135" w:lineRule="exact"/>
              <w:rPr>
                <w:sz w:val="20"/>
                <w:szCs w:val="20"/>
                <w:color w:val="auto"/>
              </w:rPr>
            </w:pPr>
            <w:r>
              <w:rPr>
                <w:rFonts w:ascii="Arial" w:cs="Arial" w:eastAsia="Arial" w:hAnsi="Arial"/>
                <w:sz w:val="13"/>
                <w:szCs w:val="13"/>
                <w:b w:val="1"/>
                <w:bCs w:val="1"/>
                <w:color w:val="FFFFFF"/>
              </w:rPr>
              <w:t>Based On</w:t>
            </w:r>
          </w:p>
        </w:tc>
        <w:tc>
          <w:tcPr>
            <w:tcW w:w="76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rPr>
              <w:t>Peer Group</w:t>
            </w:r>
          </w:p>
        </w:tc>
        <w:tc>
          <w:tcPr>
            <w:tcW w:w="100" w:type="dxa"/>
            <w:vAlign w:val="bottom"/>
            <w:shd w:val="clear" w:color="auto" w:fill="24356E"/>
          </w:tcPr>
          <w:p>
            <w:pPr>
              <w:spacing w:after="0"/>
              <w:rPr>
                <w:sz w:val="11"/>
                <w:szCs w:val="11"/>
                <w:color w:val="auto"/>
              </w:rPr>
            </w:pPr>
          </w:p>
        </w:tc>
        <w:tc>
          <w:tcPr>
            <w:tcW w:w="820" w:type="dxa"/>
            <w:vAlign w:val="bottom"/>
            <w:shd w:val="clear" w:color="auto" w:fill="24356E"/>
          </w:tcPr>
          <w:p>
            <w:pPr>
              <w:spacing w:after="0"/>
              <w:rPr>
                <w:sz w:val="11"/>
                <w:szCs w:val="11"/>
                <w:color w:val="auto"/>
              </w:rPr>
            </w:pPr>
          </w:p>
        </w:tc>
        <w:tc>
          <w:tcPr>
            <w:tcW w:w="100" w:type="dxa"/>
            <w:vAlign w:val="bottom"/>
            <w:shd w:val="clear" w:color="auto" w:fill="24356E"/>
          </w:tcPr>
          <w:p>
            <w:pPr>
              <w:spacing w:after="0"/>
              <w:rPr>
                <w:sz w:val="11"/>
                <w:szCs w:val="11"/>
                <w:color w:val="auto"/>
              </w:rPr>
            </w:pPr>
          </w:p>
        </w:tc>
        <w:tc>
          <w:tcPr>
            <w:tcW w:w="780" w:type="dxa"/>
            <w:vAlign w:val="bottom"/>
            <w:shd w:val="clear" w:color="auto" w:fill="24356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shd w:val="clear" w:color="auto" w:fill="24356E"/>
          </w:tcPr>
          <w:p>
            <w:pPr>
              <w:spacing w:after="0"/>
              <w:rPr>
                <w:sz w:val="11"/>
                <w:szCs w:val="11"/>
                <w:color w:val="auto"/>
              </w:rPr>
            </w:pPr>
          </w:p>
        </w:tc>
        <w:tc>
          <w:tcPr>
            <w:tcW w:w="200" w:type="dxa"/>
            <w:vAlign w:val="bottom"/>
            <w:shd w:val="clear" w:color="auto" w:fill="24356E"/>
          </w:tcPr>
          <w:p>
            <w:pPr>
              <w:spacing w:after="0"/>
              <w:rPr>
                <w:sz w:val="11"/>
                <w:szCs w:val="11"/>
                <w:color w:val="auto"/>
              </w:rPr>
            </w:pPr>
          </w:p>
        </w:tc>
        <w:tc>
          <w:tcPr>
            <w:tcW w:w="800" w:type="dxa"/>
            <w:vAlign w:val="bottom"/>
            <w:shd w:val="clear" w:color="auto" w:fill="24356E"/>
          </w:tcPr>
          <w:p>
            <w:pPr>
              <w:jc w:val="right"/>
              <w:ind w:right="78"/>
              <w:spacing w:after="0" w:line="135" w:lineRule="exact"/>
              <w:rPr>
                <w:sz w:val="20"/>
                <w:szCs w:val="20"/>
                <w:color w:val="auto"/>
              </w:rPr>
            </w:pPr>
            <w:r>
              <w:rPr>
                <w:rFonts w:ascii="Arial" w:cs="Arial" w:eastAsia="Arial" w:hAnsi="Arial"/>
                <w:sz w:val="13"/>
                <w:szCs w:val="13"/>
                <w:b w:val="1"/>
                <w:bCs w:val="1"/>
                <w:color w:val="FFFFFF"/>
              </w:rPr>
              <w:t>Total for</w:t>
            </w:r>
          </w:p>
        </w:tc>
        <w:tc>
          <w:tcPr>
            <w:tcW w:w="88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rPr>
              <w:t>Paid to</w:t>
            </w:r>
          </w:p>
        </w:tc>
        <w:tc>
          <w:tcPr>
            <w:tcW w:w="1000" w:type="dxa"/>
            <w:vAlign w:val="bottom"/>
            <w:shd w:val="clear" w:color="auto" w:fill="24356E"/>
          </w:tcPr>
          <w:p>
            <w:pPr>
              <w:jc w:val="right"/>
              <w:ind w:right="58"/>
              <w:spacing w:after="0" w:line="135" w:lineRule="exact"/>
              <w:rPr>
                <w:sz w:val="20"/>
                <w:szCs w:val="20"/>
                <w:color w:val="auto"/>
              </w:rPr>
            </w:pPr>
            <w:r>
              <w:rPr>
                <w:rFonts w:ascii="Arial" w:cs="Arial" w:eastAsia="Arial" w:hAnsi="Arial"/>
                <w:sz w:val="13"/>
                <w:szCs w:val="13"/>
                <w:b w:val="1"/>
                <w:bCs w:val="1"/>
                <w:color w:val="FFFFFF"/>
              </w:rPr>
              <w:t>Total for</w:t>
            </w:r>
          </w:p>
        </w:tc>
        <w:tc>
          <w:tcPr>
            <w:tcW w:w="960" w:type="dxa"/>
            <w:vAlign w:val="bottom"/>
            <w:shd w:val="clear" w:color="auto" w:fill="24356E"/>
          </w:tcPr>
          <w:p>
            <w:pPr>
              <w:jc w:val="right"/>
              <w:ind w:right="98"/>
              <w:spacing w:after="0" w:line="135" w:lineRule="exact"/>
              <w:rPr>
                <w:sz w:val="20"/>
                <w:szCs w:val="20"/>
                <w:color w:val="auto"/>
              </w:rPr>
            </w:pPr>
            <w:r>
              <w:rPr>
                <w:rFonts w:ascii="Arial" w:cs="Arial" w:eastAsia="Arial" w:hAnsi="Arial"/>
                <w:sz w:val="13"/>
                <w:szCs w:val="13"/>
                <w:b w:val="1"/>
                <w:bCs w:val="1"/>
                <w:color w:val="FFFFFF"/>
              </w:rPr>
              <w:t>Paid to</w:t>
            </w:r>
          </w:p>
        </w:tc>
        <w:tc>
          <w:tcPr>
            <w:tcW w:w="920" w:type="dxa"/>
            <w:vAlign w:val="bottom"/>
            <w:shd w:val="clear" w:color="auto" w:fill="24356E"/>
          </w:tcPr>
          <w:p>
            <w:pPr>
              <w:jc w:val="right"/>
              <w:ind w:right="77"/>
              <w:spacing w:after="0" w:line="135" w:lineRule="exact"/>
              <w:rPr>
                <w:sz w:val="20"/>
                <w:szCs w:val="20"/>
                <w:color w:val="auto"/>
              </w:rPr>
            </w:pPr>
            <w:r>
              <w:rPr>
                <w:rFonts w:ascii="Arial" w:cs="Arial" w:eastAsia="Arial" w:hAnsi="Arial"/>
                <w:sz w:val="13"/>
                <w:szCs w:val="13"/>
                <w:b w:val="1"/>
                <w:bCs w:val="1"/>
                <w:color w:val="FFFFFF"/>
              </w:rPr>
              <w:t>Total for</w:t>
            </w:r>
          </w:p>
        </w:tc>
        <w:tc>
          <w:tcPr>
            <w:tcW w:w="86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rPr>
              <w:t>Paid to</w:t>
            </w:r>
          </w:p>
        </w:tc>
        <w:tc>
          <w:tcPr>
            <w:tcW w:w="820" w:type="dxa"/>
            <w:vAlign w:val="bottom"/>
            <w:shd w:val="clear" w:color="auto" w:fill="24356E"/>
          </w:tcPr>
          <w:p>
            <w:pPr>
              <w:jc w:val="right"/>
              <w:ind w:right="37"/>
              <w:spacing w:after="0" w:line="135" w:lineRule="exact"/>
              <w:rPr>
                <w:sz w:val="20"/>
                <w:szCs w:val="20"/>
                <w:color w:val="auto"/>
              </w:rPr>
            </w:pPr>
            <w:r>
              <w:rPr>
                <w:rFonts w:ascii="Arial" w:cs="Arial" w:eastAsia="Arial" w:hAnsi="Arial"/>
                <w:sz w:val="13"/>
                <w:szCs w:val="13"/>
                <w:b w:val="1"/>
                <w:bCs w:val="1"/>
                <w:color w:val="FFFFFF"/>
              </w:rPr>
              <w:t>Total</w:t>
            </w:r>
          </w:p>
        </w:tc>
        <w:tc>
          <w:tcPr>
            <w:tcW w:w="760" w:type="dxa"/>
            <w:vAlign w:val="bottom"/>
            <w:shd w:val="clear" w:color="auto" w:fill="24356E"/>
          </w:tcPr>
          <w:p>
            <w:pPr>
              <w:jc w:val="right"/>
              <w:spacing w:after="0" w:line="135" w:lineRule="exact"/>
              <w:rPr>
                <w:sz w:val="20"/>
                <w:szCs w:val="20"/>
                <w:color w:val="auto"/>
              </w:rPr>
            </w:pPr>
            <w:r>
              <w:rPr>
                <w:rFonts w:ascii="Arial" w:cs="Arial" w:eastAsia="Arial" w:hAnsi="Arial"/>
                <w:sz w:val="13"/>
                <w:szCs w:val="13"/>
                <w:b w:val="1"/>
                <w:bCs w:val="1"/>
                <w:color w:val="FFFFFF"/>
              </w:rPr>
              <w:t>Total</w:t>
            </w:r>
          </w:p>
        </w:tc>
        <w:tc>
          <w:tcPr>
            <w:tcW w:w="100" w:type="dxa"/>
            <w:vAlign w:val="bottom"/>
            <w:shd w:val="clear" w:color="auto" w:fill="24356E"/>
          </w:tcPr>
          <w:p>
            <w:pPr>
              <w:spacing w:after="0"/>
              <w:rPr>
                <w:sz w:val="11"/>
                <w:szCs w:val="11"/>
                <w:color w:val="auto"/>
              </w:rPr>
            </w:pPr>
          </w:p>
        </w:tc>
        <w:tc>
          <w:tcPr>
            <w:tcW w:w="820" w:type="dxa"/>
            <w:vAlign w:val="bottom"/>
            <w:shd w:val="clear" w:color="auto" w:fill="24356E"/>
          </w:tcPr>
          <w:p>
            <w:pPr>
              <w:spacing w:after="0"/>
              <w:rPr>
                <w:sz w:val="11"/>
                <w:szCs w:val="11"/>
                <w:color w:val="auto"/>
              </w:rPr>
            </w:pPr>
          </w:p>
        </w:tc>
        <w:tc>
          <w:tcPr>
            <w:tcW w:w="100" w:type="dxa"/>
            <w:vAlign w:val="bottom"/>
            <w:shd w:val="clear" w:color="auto" w:fill="24356E"/>
          </w:tcPr>
          <w:p>
            <w:pPr>
              <w:spacing w:after="0"/>
              <w:rPr>
                <w:sz w:val="11"/>
                <w:szCs w:val="11"/>
                <w:color w:val="auto"/>
              </w:rPr>
            </w:pPr>
          </w:p>
        </w:tc>
        <w:tc>
          <w:tcPr>
            <w:tcW w:w="780" w:type="dxa"/>
            <w:vAlign w:val="bottom"/>
            <w:vMerge w:val="restart"/>
            <w:shd w:val="clear" w:color="auto" w:fill="24356E"/>
          </w:tcPr>
          <w:p>
            <w:pPr>
              <w:jc w:val="right"/>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3"/>
        </w:trPr>
        <w:tc>
          <w:tcPr>
            <w:tcW w:w="400" w:type="dxa"/>
            <w:vAlign w:val="bottom"/>
            <w:shd w:val="clear" w:color="auto" w:fill="24356E"/>
          </w:tcPr>
          <w:p>
            <w:pPr>
              <w:spacing w:after="0"/>
              <w:rPr>
                <w:sz w:val="12"/>
                <w:szCs w:val="12"/>
                <w:color w:val="auto"/>
              </w:rPr>
            </w:pPr>
          </w:p>
        </w:tc>
        <w:tc>
          <w:tcPr>
            <w:tcW w:w="200" w:type="dxa"/>
            <w:vAlign w:val="bottom"/>
            <w:shd w:val="clear" w:color="auto" w:fill="24356E"/>
          </w:tcPr>
          <w:p>
            <w:pPr>
              <w:spacing w:after="0"/>
              <w:rPr>
                <w:sz w:val="12"/>
                <w:szCs w:val="12"/>
                <w:color w:val="auto"/>
              </w:rPr>
            </w:pPr>
          </w:p>
        </w:tc>
        <w:tc>
          <w:tcPr>
            <w:tcW w:w="800" w:type="dxa"/>
            <w:vAlign w:val="bottom"/>
            <w:shd w:val="clear" w:color="auto" w:fill="24356E"/>
          </w:tcPr>
          <w:p>
            <w:pPr>
              <w:jc w:val="right"/>
              <w:ind w:right="78"/>
              <w:spacing w:after="0" w:line="143" w:lineRule="exact"/>
              <w:rPr>
                <w:sz w:val="20"/>
                <w:szCs w:val="20"/>
                <w:color w:val="auto"/>
              </w:rPr>
            </w:pPr>
            <w:r>
              <w:rPr>
                <w:rFonts w:ascii="Arial" w:cs="Arial" w:eastAsia="Arial" w:hAnsi="Arial"/>
                <w:sz w:val="13"/>
                <w:szCs w:val="13"/>
                <w:b w:val="1"/>
                <w:bCs w:val="1"/>
                <w:color w:val="FFFFFF"/>
              </w:rPr>
              <w:t>current</w:t>
            </w:r>
          </w:p>
        </w:tc>
        <w:tc>
          <w:tcPr>
            <w:tcW w:w="880" w:type="dxa"/>
            <w:vAlign w:val="bottom"/>
            <w:shd w:val="clear" w:color="auto" w:fill="24356E"/>
          </w:tcPr>
          <w:p>
            <w:pPr>
              <w:jc w:val="right"/>
              <w:spacing w:after="0" w:line="143" w:lineRule="exact"/>
              <w:rPr>
                <w:sz w:val="20"/>
                <w:szCs w:val="20"/>
                <w:color w:val="auto"/>
              </w:rPr>
            </w:pPr>
            <w:r>
              <w:rPr>
                <w:rFonts w:ascii="Arial" w:cs="Arial" w:eastAsia="Arial" w:hAnsi="Arial"/>
                <w:sz w:val="13"/>
                <w:szCs w:val="13"/>
                <w:b w:val="1"/>
                <w:bCs w:val="1"/>
                <w:color w:val="FFFFFF"/>
              </w:rPr>
              <w:t>current</w:t>
            </w:r>
          </w:p>
        </w:tc>
        <w:tc>
          <w:tcPr>
            <w:tcW w:w="1000" w:type="dxa"/>
            <w:vAlign w:val="bottom"/>
            <w:shd w:val="clear" w:color="auto" w:fill="24356E"/>
          </w:tcPr>
          <w:p>
            <w:pPr>
              <w:jc w:val="right"/>
              <w:ind w:right="58"/>
              <w:spacing w:after="0" w:line="143" w:lineRule="exact"/>
              <w:rPr>
                <w:sz w:val="20"/>
                <w:szCs w:val="20"/>
                <w:color w:val="auto"/>
              </w:rPr>
            </w:pPr>
            <w:r>
              <w:rPr>
                <w:rFonts w:ascii="Arial" w:cs="Arial" w:eastAsia="Arial" w:hAnsi="Arial"/>
                <w:sz w:val="13"/>
                <w:szCs w:val="13"/>
                <w:b w:val="1"/>
                <w:bCs w:val="1"/>
                <w:color w:val="FFFFFF"/>
              </w:rPr>
              <w:t>former</w:t>
            </w:r>
          </w:p>
        </w:tc>
        <w:tc>
          <w:tcPr>
            <w:tcW w:w="960" w:type="dxa"/>
            <w:vAlign w:val="bottom"/>
            <w:shd w:val="clear" w:color="auto" w:fill="24356E"/>
          </w:tcPr>
          <w:p>
            <w:pPr>
              <w:jc w:val="right"/>
              <w:ind w:right="98"/>
              <w:spacing w:after="0" w:line="143" w:lineRule="exact"/>
              <w:rPr>
                <w:sz w:val="20"/>
                <w:szCs w:val="20"/>
                <w:color w:val="auto"/>
              </w:rPr>
            </w:pPr>
            <w:r>
              <w:rPr>
                <w:rFonts w:ascii="Arial" w:cs="Arial" w:eastAsia="Arial" w:hAnsi="Arial"/>
                <w:sz w:val="13"/>
                <w:szCs w:val="13"/>
                <w:b w:val="1"/>
                <w:bCs w:val="1"/>
                <w:color w:val="FFFFFF"/>
              </w:rPr>
              <w:t>former</w:t>
            </w:r>
          </w:p>
        </w:tc>
        <w:tc>
          <w:tcPr>
            <w:tcW w:w="920" w:type="dxa"/>
            <w:vAlign w:val="bottom"/>
            <w:shd w:val="clear" w:color="auto" w:fill="24356E"/>
          </w:tcPr>
          <w:p>
            <w:pPr>
              <w:jc w:val="right"/>
              <w:ind w:right="77"/>
              <w:spacing w:after="0" w:line="143" w:lineRule="exact"/>
              <w:rPr>
                <w:sz w:val="20"/>
                <w:szCs w:val="20"/>
                <w:color w:val="auto"/>
              </w:rPr>
            </w:pPr>
            <w:r>
              <w:rPr>
                <w:rFonts w:ascii="Arial" w:cs="Arial" w:eastAsia="Arial" w:hAnsi="Arial"/>
                <w:sz w:val="13"/>
                <w:szCs w:val="13"/>
                <w:b w:val="1"/>
                <w:bCs w:val="1"/>
                <w:color w:val="FFFFFF"/>
              </w:rPr>
              <w:t>Non-PEO</w:t>
            </w:r>
          </w:p>
        </w:tc>
        <w:tc>
          <w:tcPr>
            <w:tcW w:w="860" w:type="dxa"/>
            <w:vAlign w:val="bottom"/>
            <w:shd w:val="clear" w:color="auto" w:fill="24356E"/>
          </w:tcPr>
          <w:p>
            <w:pPr>
              <w:jc w:val="right"/>
              <w:spacing w:after="0" w:line="143" w:lineRule="exact"/>
              <w:rPr>
                <w:sz w:val="20"/>
                <w:szCs w:val="20"/>
                <w:color w:val="auto"/>
              </w:rPr>
            </w:pPr>
            <w:r>
              <w:rPr>
                <w:rFonts w:ascii="Arial" w:cs="Arial" w:eastAsia="Arial" w:hAnsi="Arial"/>
                <w:sz w:val="13"/>
                <w:szCs w:val="13"/>
                <w:b w:val="1"/>
                <w:bCs w:val="1"/>
                <w:color w:val="FFFFFF"/>
              </w:rPr>
              <w:t>Non-PEO</w:t>
            </w:r>
          </w:p>
        </w:tc>
        <w:tc>
          <w:tcPr>
            <w:tcW w:w="1580" w:type="dxa"/>
            <w:vAlign w:val="bottom"/>
            <w:gridSpan w:val="2"/>
            <w:shd w:val="clear" w:color="auto" w:fill="24356E"/>
          </w:tcPr>
          <w:p>
            <w:pPr>
              <w:jc w:val="right"/>
              <w:spacing w:after="0" w:line="143" w:lineRule="exact"/>
              <w:rPr>
                <w:sz w:val="20"/>
                <w:szCs w:val="20"/>
                <w:color w:val="auto"/>
              </w:rPr>
            </w:pPr>
            <w:r>
              <w:rPr>
                <w:rFonts w:ascii="Arial" w:cs="Arial" w:eastAsia="Arial" w:hAnsi="Arial"/>
                <w:sz w:val="13"/>
                <w:szCs w:val="13"/>
                <w:b w:val="1"/>
                <w:bCs w:val="1"/>
                <w:color w:val="FFFFFF"/>
                <w:w w:val="99"/>
              </w:rPr>
              <w:t>Shareholder Shareholder</w:t>
            </w:r>
          </w:p>
        </w:tc>
        <w:tc>
          <w:tcPr>
            <w:tcW w:w="100" w:type="dxa"/>
            <w:vAlign w:val="bottom"/>
            <w:shd w:val="clear" w:color="auto" w:fill="24356E"/>
          </w:tcPr>
          <w:p>
            <w:pPr>
              <w:spacing w:after="0"/>
              <w:rPr>
                <w:sz w:val="12"/>
                <w:szCs w:val="12"/>
                <w:color w:val="auto"/>
              </w:rPr>
            </w:pPr>
          </w:p>
        </w:tc>
        <w:tc>
          <w:tcPr>
            <w:tcW w:w="820" w:type="dxa"/>
            <w:vAlign w:val="bottom"/>
            <w:shd w:val="clear" w:color="auto" w:fill="24356E"/>
          </w:tcPr>
          <w:p>
            <w:pPr>
              <w:spacing w:after="0"/>
              <w:rPr>
                <w:sz w:val="12"/>
                <w:szCs w:val="12"/>
                <w:color w:val="auto"/>
              </w:rPr>
            </w:pPr>
          </w:p>
        </w:tc>
        <w:tc>
          <w:tcPr>
            <w:tcW w:w="100" w:type="dxa"/>
            <w:vAlign w:val="bottom"/>
            <w:shd w:val="clear" w:color="auto" w:fill="24356E"/>
          </w:tcPr>
          <w:p>
            <w:pPr>
              <w:spacing w:after="0"/>
              <w:rPr>
                <w:sz w:val="12"/>
                <w:szCs w:val="12"/>
                <w:color w:val="auto"/>
              </w:rPr>
            </w:pPr>
          </w:p>
        </w:tc>
        <w:tc>
          <w:tcPr>
            <w:tcW w:w="780" w:type="dxa"/>
            <w:vAlign w:val="bottom"/>
            <w:vMerge w:val="continue"/>
            <w:shd w:val="clear" w:color="auto" w:fill="24356E"/>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0" w:type="dxa"/>
            <w:vAlign w:val="bottom"/>
            <w:shd w:val="clear" w:color="auto" w:fill="24356E"/>
          </w:tcPr>
          <w:p>
            <w:pPr>
              <w:ind w:left="100"/>
              <w:spacing w:after="0"/>
              <w:rPr>
                <w:sz w:val="20"/>
                <w:szCs w:val="20"/>
                <w:color w:val="auto"/>
              </w:rPr>
            </w:pPr>
            <w:r>
              <w:rPr>
                <w:rFonts w:ascii="Arial" w:cs="Arial" w:eastAsia="Arial" w:hAnsi="Arial"/>
                <w:sz w:val="13"/>
                <w:szCs w:val="13"/>
                <w:b w:val="1"/>
                <w:bCs w:val="1"/>
                <w:color w:val="FFFFFF"/>
                <w:w w:val="99"/>
              </w:rPr>
              <w:t>Year</w:t>
            </w:r>
          </w:p>
        </w:tc>
        <w:tc>
          <w:tcPr>
            <w:tcW w:w="200" w:type="dxa"/>
            <w:vAlign w:val="bottom"/>
            <w:shd w:val="clear" w:color="auto" w:fill="24356E"/>
          </w:tcPr>
          <w:p>
            <w:pPr>
              <w:spacing w:after="0"/>
              <w:rPr>
                <w:sz w:val="24"/>
                <w:szCs w:val="24"/>
                <w:color w:val="auto"/>
              </w:rPr>
            </w:pPr>
          </w:p>
        </w:tc>
        <w:tc>
          <w:tcPr>
            <w:tcW w:w="800" w:type="dxa"/>
            <w:vAlign w:val="bottom"/>
            <w:shd w:val="clear" w:color="auto" w:fill="24356E"/>
          </w:tcPr>
          <w:p>
            <w:pPr>
              <w:jc w:val="right"/>
              <w:ind w:right="38"/>
              <w:spacing w:after="0" w:line="281" w:lineRule="exact"/>
              <w:rPr>
                <w:sz w:val="20"/>
                <w:szCs w:val="20"/>
                <w:color w:val="auto"/>
              </w:rPr>
            </w:pPr>
            <w:r>
              <w:rPr>
                <w:rFonts w:ascii="Arial" w:cs="Arial" w:eastAsia="Arial" w:hAnsi="Arial"/>
                <w:sz w:val="25"/>
                <w:szCs w:val="25"/>
                <w:b w:val="1"/>
                <w:bCs w:val="1"/>
                <w:color w:val="FFFFFF"/>
                <w:vertAlign w:val="subscript"/>
              </w:rPr>
              <w:t>PEO</w:t>
            </w:r>
            <w:r>
              <w:rPr>
                <w:rFonts w:ascii="Arial" w:cs="Arial" w:eastAsia="Arial" w:hAnsi="Arial"/>
                <w:sz w:val="10"/>
                <w:szCs w:val="10"/>
                <w:b w:val="1"/>
                <w:bCs w:val="1"/>
                <w:color w:val="FFFFFF"/>
              </w:rPr>
              <w:t>(1)</w:t>
            </w:r>
          </w:p>
        </w:tc>
        <w:tc>
          <w:tcPr>
            <w:tcW w:w="880" w:type="dxa"/>
            <w:vAlign w:val="bottom"/>
            <w:shd w:val="clear" w:color="auto" w:fill="24356E"/>
          </w:tcPr>
          <w:p>
            <w:pPr>
              <w:jc w:val="right"/>
              <w:spacing w:after="0" w:line="281" w:lineRule="exact"/>
              <w:rPr>
                <w:sz w:val="20"/>
                <w:szCs w:val="20"/>
                <w:color w:val="auto"/>
              </w:rPr>
            </w:pPr>
            <w:r>
              <w:rPr>
                <w:rFonts w:ascii="Arial" w:cs="Arial" w:eastAsia="Arial" w:hAnsi="Arial"/>
                <w:sz w:val="25"/>
                <w:szCs w:val="25"/>
                <w:b w:val="1"/>
                <w:bCs w:val="1"/>
                <w:color w:val="FFFFFF"/>
                <w:vertAlign w:val="subscript"/>
              </w:rPr>
              <w:t>PEO</w:t>
            </w:r>
            <w:r>
              <w:rPr>
                <w:rFonts w:ascii="Arial" w:cs="Arial" w:eastAsia="Arial" w:hAnsi="Arial"/>
                <w:sz w:val="10"/>
                <w:szCs w:val="10"/>
                <w:b w:val="1"/>
                <w:bCs w:val="1"/>
                <w:color w:val="FFFFFF"/>
              </w:rPr>
              <w:t>(2)</w:t>
            </w:r>
          </w:p>
        </w:tc>
        <w:tc>
          <w:tcPr>
            <w:tcW w:w="1000" w:type="dxa"/>
            <w:vAlign w:val="bottom"/>
            <w:shd w:val="clear" w:color="auto" w:fill="24356E"/>
          </w:tcPr>
          <w:p>
            <w:pPr>
              <w:jc w:val="right"/>
              <w:ind w:right="18"/>
              <w:spacing w:after="0" w:line="281" w:lineRule="exact"/>
              <w:rPr>
                <w:sz w:val="20"/>
                <w:szCs w:val="20"/>
                <w:color w:val="auto"/>
              </w:rPr>
            </w:pPr>
            <w:r>
              <w:rPr>
                <w:rFonts w:ascii="Arial" w:cs="Arial" w:eastAsia="Arial" w:hAnsi="Arial"/>
                <w:sz w:val="25"/>
                <w:szCs w:val="25"/>
                <w:b w:val="1"/>
                <w:bCs w:val="1"/>
                <w:color w:val="FFFFFF"/>
                <w:vertAlign w:val="subscript"/>
              </w:rPr>
              <w:t>PEO</w:t>
            </w:r>
            <w:r>
              <w:rPr>
                <w:rFonts w:ascii="Arial" w:cs="Arial" w:eastAsia="Arial" w:hAnsi="Arial"/>
                <w:sz w:val="10"/>
                <w:szCs w:val="10"/>
                <w:b w:val="1"/>
                <w:bCs w:val="1"/>
                <w:color w:val="FFFFFF"/>
              </w:rPr>
              <w:t>(1)</w:t>
            </w:r>
          </w:p>
        </w:tc>
        <w:tc>
          <w:tcPr>
            <w:tcW w:w="960" w:type="dxa"/>
            <w:vAlign w:val="bottom"/>
            <w:shd w:val="clear" w:color="auto" w:fill="24356E"/>
          </w:tcPr>
          <w:p>
            <w:pPr>
              <w:jc w:val="right"/>
              <w:ind w:right="58"/>
              <w:spacing w:after="0" w:line="281" w:lineRule="exact"/>
              <w:rPr>
                <w:sz w:val="20"/>
                <w:szCs w:val="20"/>
                <w:color w:val="auto"/>
              </w:rPr>
            </w:pPr>
            <w:r>
              <w:rPr>
                <w:rFonts w:ascii="Arial" w:cs="Arial" w:eastAsia="Arial" w:hAnsi="Arial"/>
                <w:sz w:val="25"/>
                <w:szCs w:val="25"/>
                <w:b w:val="1"/>
                <w:bCs w:val="1"/>
                <w:color w:val="FFFFFF"/>
                <w:vertAlign w:val="subscript"/>
              </w:rPr>
              <w:t>PEO</w:t>
            </w:r>
            <w:r>
              <w:rPr>
                <w:rFonts w:ascii="Arial" w:cs="Arial" w:eastAsia="Arial" w:hAnsi="Arial"/>
                <w:sz w:val="10"/>
                <w:szCs w:val="10"/>
                <w:b w:val="1"/>
                <w:bCs w:val="1"/>
                <w:color w:val="FFFFFF"/>
              </w:rPr>
              <w:t>(2)</w:t>
            </w:r>
          </w:p>
        </w:tc>
        <w:tc>
          <w:tcPr>
            <w:tcW w:w="920" w:type="dxa"/>
            <w:vAlign w:val="bottom"/>
            <w:shd w:val="clear" w:color="auto" w:fill="24356E"/>
          </w:tcPr>
          <w:p>
            <w:pPr>
              <w:jc w:val="right"/>
              <w:ind w:right="37"/>
              <w:spacing w:after="0"/>
              <w:rPr>
                <w:sz w:val="20"/>
                <w:szCs w:val="20"/>
                <w:color w:val="auto"/>
              </w:rPr>
            </w:pPr>
            <w:r>
              <w:rPr>
                <w:rFonts w:ascii="Arial" w:cs="Arial" w:eastAsia="Arial" w:hAnsi="Arial"/>
                <w:sz w:val="13"/>
                <w:szCs w:val="13"/>
                <w:b w:val="1"/>
                <w:bCs w:val="1"/>
                <w:color w:val="FFFFFF"/>
              </w:rPr>
              <w:t>NEOs</w:t>
            </w:r>
            <w:r>
              <w:rPr>
                <w:rFonts w:ascii="Arial" w:cs="Arial" w:eastAsia="Arial" w:hAnsi="Arial"/>
                <w:sz w:val="20"/>
                <w:szCs w:val="20"/>
                <w:b w:val="1"/>
                <w:bCs w:val="1"/>
                <w:color w:val="FFFFFF"/>
                <w:vertAlign w:val="superscript"/>
              </w:rPr>
              <w:t>(3)</w:t>
            </w:r>
          </w:p>
        </w:tc>
        <w:tc>
          <w:tcPr>
            <w:tcW w:w="86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NEOs</w:t>
            </w:r>
            <w:r>
              <w:rPr>
                <w:rFonts w:ascii="Arial" w:cs="Arial" w:eastAsia="Arial" w:hAnsi="Arial"/>
                <w:sz w:val="20"/>
                <w:szCs w:val="20"/>
                <w:b w:val="1"/>
                <w:bCs w:val="1"/>
                <w:color w:val="FFFFFF"/>
                <w:vertAlign w:val="superscript"/>
              </w:rPr>
              <w:t>(2)</w:t>
            </w:r>
          </w:p>
        </w:tc>
        <w:tc>
          <w:tcPr>
            <w:tcW w:w="82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Return</w:t>
            </w:r>
            <w:r>
              <w:rPr>
                <w:rFonts w:ascii="Arial" w:cs="Arial" w:eastAsia="Arial" w:hAnsi="Arial"/>
                <w:sz w:val="20"/>
                <w:szCs w:val="20"/>
                <w:b w:val="1"/>
                <w:bCs w:val="1"/>
                <w:color w:val="FFFFFF"/>
                <w:vertAlign w:val="superscript"/>
              </w:rPr>
              <w:t>(4)</w:t>
            </w:r>
          </w:p>
        </w:tc>
        <w:tc>
          <w:tcPr>
            <w:tcW w:w="76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Return</w:t>
            </w:r>
            <w:r>
              <w:rPr>
                <w:rFonts w:ascii="Arial" w:cs="Arial" w:eastAsia="Arial" w:hAnsi="Arial"/>
                <w:sz w:val="20"/>
                <w:szCs w:val="20"/>
                <w:b w:val="1"/>
                <w:bCs w:val="1"/>
                <w:color w:val="FFFFFF"/>
                <w:vertAlign w:val="superscript"/>
              </w:rPr>
              <w:t>(5)</w:t>
            </w:r>
          </w:p>
        </w:tc>
        <w:tc>
          <w:tcPr>
            <w:tcW w:w="100" w:type="dxa"/>
            <w:vAlign w:val="bottom"/>
            <w:shd w:val="clear" w:color="auto" w:fill="24356E"/>
          </w:tcPr>
          <w:p>
            <w:pPr>
              <w:spacing w:after="0"/>
              <w:rPr>
                <w:sz w:val="24"/>
                <w:szCs w:val="24"/>
                <w:color w:val="auto"/>
              </w:rPr>
            </w:pPr>
          </w:p>
        </w:tc>
        <w:tc>
          <w:tcPr>
            <w:tcW w:w="82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Net Loss</w:t>
            </w:r>
            <w:r>
              <w:rPr>
                <w:rFonts w:ascii="Arial" w:cs="Arial" w:eastAsia="Arial" w:hAnsi="Arial"/>
                <w:sz w:val="20"/>
                <w:szCs w:val="20"/>
                <w:b w:val="1"/>
                <w:bCs w:val="1"/>
                <w:color w:val="FFFFFF"/>
                <w:vertAlign w:val="superscript"/>
              </w:rPr>
              <w:t>(6)</w:t>
            </w:r>
          </w:p>
        </w:tc>
        <w:tc>
          <w:tcPr>
            <w:tcW w:w="100" w:type="dxa"/>
            <w:vAlign w:val="bottom"/>
            <w:shd w:val="clear" w:color="auto" w:fill="24356E"/>
          </w:tcPr>
          <w:p>
            <w:pPr>
              <w:spacing w:after="0"/>
              <w:rPr>
                <w:sz w:val="24"/>
                <w:szCs w:val="24"/>
                <w:color w:val="auto"/>
              </w:rPr>
            </w:pPr>
          </w:p>
        </w:tc>
        <w:tc>
          <w:tcPr>
            <w:tcW w:w="78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w w:val="99"/>
              </w:rPr>
              <w:t>Revenue</w:t>
            </w:r>
            <w:r>
              <w:rPr>
                <w:rFonts w:ascii="Arial" w:cs="Arial" w:eastAsia="Arial" w:hAnsi="Arial"/>
                <w:sz w:val="20"/>
                <w:szCs w:val="20"/>
                <w:b w:val="1"/>
                <w:bCs w:val="1"/>
                <w:color w:val="FFFFFF"/>
                <w:w w:val="99"/>
                <w:vertAlign w:val="superscript"/>
              </w:rPr>
              <w:t>(7)</w:t>
            </w:r>
          </w:p>
        </w:tc>
        <w:tc>
          <w:tcPr>
            <w:tcW w:w="0" w:type="dxa"/>
            <w:vAlign w:val="bottom"/>
          </w:tcPr>
          <w:p>
            <w:pPr>
              <w:spacing w:after="0"/>
              <w:rPr>
                <w:sz w:val="1"/>
                <w:szCs w:val="1"/>
                <w:color w:val="auto"/>
              </w:rPr>
            </w:pPr>
          </w:p>
        </w:tc>
      </w:tr>
      <w:tr>
        <w:trPr>
          <w:trHeight w:val="221"/>
        </w:trPr>
        <w:tc>
          <w:tcPr>
            <w:tcW w:w="400" w:type="dxa"/>
            <w:vAlign w:val="bottom"/>
            <w:shd w:val="clear" w:color="auto" w:fill="24356E"/>
          </w:tcPr>
          <w:p>
            <w:pPr>
              <w:ind w:left="100"/>
              <w:spacing w:after="0"/>
              <w:rPr>
                <w:sz w:val="20"/>
                <w:szCs w:val="20"/>
                <w:color w:val="auto"/>
              </w:rPr>
            </w:pPr>
            <w:r>
              <w:rPr>
                <w:rFonts w:ascii="Arial" w:cs="Arial" w:eastAsia="Arial" w:hAnsi="Arial"/>
                <w:sz w:val="13"/>
                <w:szCs w:val="13"/>
                <w:b w:val="1"/>
                <w:bCs w:val="1"/>
                <w:color w:val="FFFFFF"/>
              </w:rPr>
              <w:t>(a)</w:t>
            </w:r>
          </w:p>
        </w:tc>
        <w:tc>
          <w:tcPr>
            <w:tcW w:w="200" w:type="dxa"/>
            <w:vAlign w:val="bottom"/>
            <w:shd w:val="clear" w:color="auto" w:fill="24356E"/>
          </w:tcPr>
          <w:p>
            <w:pPr>
              <w:spacing w:after="0"/>
              <w:rPr>
                <w:sz w:val="19"/>
                <w:szCs w:val="19"/>
                <w:color w:val="auto"/>
              </w:rPr>
            </w:pPr>
          </w:p>
        </w:tc>
        <w:tc>
          <w:tcPr>
            <w:tcW w:w="800" w:type="dxa"/>
            <w:vAlign w:val="bottom"/>
            <w:shd w:val="clear" w:color="auto" w:fill="24356E"/>
          </w:tcPr>
          <w:p>
            <w:pPr>
              <w:jc w:val="right"/>
              <w:ind w:right="38"/>
              <w:spacing w:after="0"/>
              <w:rPr>
                <w:sz w:val="20"/>
                <w:szCs w:val="20"/>
                <w:color w:val="auto"/>
              </w:rPr>
            </w:pPr>
            <w:r>
              <w:rPr>
                <w:rFonts w:ascii="Arial" w:cs="Arial" w:eastAsia="Arial" w:hAnsi="Arial"/>
                <w:sz w:val="13"/>
                <w:szCs w:val="13"/>
                <w:b w:val="1"/>
                <w:bCs w:val="1"/>
                <w:color w:val="FFFFFF"/>
              </w:rPr>
              <w:t>(b)</w:t>
            </w:r>
          </w:p>
        </w:tc>
        <w:tc>
          <w:tcPr>
            <w:tcW w:w="88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(c)</w:t>
            </w:r>
          </w:p>
        </w:tc>
        <w:tc>
          <w:tcPr>
            <w:tcW w:w="1000" w:type="dxa"/>
            <w:vAlign w:val="bottom"/>
            <w:shd w:val="clear" w:color="auto" w:fill="24356E"/>
          </w:tcPr>
          <w:p>
            <w:pPr>
              <w:jc w:val="right"/>
              <w:ind w:right="18"/>
              <w:spacing w:after="0"/>
              <w:rPr>
                <w:sz w:val="20"/>
                <w:szCs w:val="20"/>
                <w:color w:val="auto"/>
              </w:rPr>
            </w:pPr>
            <w:r>
              <w:rPr>
                <w:rFonts w:ascii="Arial" w:cs="Arial" w:eastAsia="Arial" w:hAnsi="Arial"/>
                <w:sz w:val="13"/>
                <w:szCs w:val="13"/>
                <w:b w:val="1"/>
                <w:bCs w:val="1"/>
                <w:color w:val="FFFFFF"/>
              </w:rPr>
              <w:t>(d)</w:t>
            </w:r>
          </w:p>
        </w:tc>
        <w:tc>
          <w:tcPr>
            <w:tcW w:w="960" w:type="dxa"/>
            <w:vAlign w:val="bottom"/>
            <w:shd w:val="clear" w:color="auto" w:fill="24356E"/>
          </w:tcPr>
          <w:p>
            <w:pPr>
              <w:jc w:val="right"/>
              <w:ind w:right="58"/>
              <w:spacing w:after="0"/>
              <w:rPr>
                <w:sz w:val="20"/>
                <w:szCs w:val="20"/>
                <w:color w:val="auto"/>
              </w:rPr>
            </w:pPr>
            <w:r>
              <w:rPr>
                <w:rFonts w:ascii="Arial" w:cs="Arial" w:eastAsia="Arial" w:hAnsi="Arial"/>
                <w:sz w:val="13"/>
                <w:szCs w:val="13"/>
                <w:b w:val="1"/>
                <w:bCs w:val="1"/>
                <w:color w:val="FFFFFF"/>
              </w:rPr>
              <w:t>(e)</w:t>
            </w:r>
          </w:p>
        </w:tc>
        <w:tc>
          <w:tcPr>
            <w:tcW w:w="920" w:type="dxa"/>
            <w:vAlign w:val="bottom"/>
            <w:shd w:val="clear" w:color="auto" w:fill="24356E"/>
          </w:tcPr>
          <w:p>
            <w:pPr>
              <w:jc w:val="right"/>
              <w:ind w:right="37"/>
              <w:spacing w:after="0"/>
              <w:rPr>
                <w:sz w:val="20"/>
                <w:szCs w:val="20"/>
                <w:color w:val="auto"/>
              </w:rPr>
            </w:pPr>
            <w:r>
              <w:rPr>
                <w:rFonts w:ascii="Arial" w:cs="Arial" w:eastAsia="Arial" w:hAnsi="Arial"/>
                <w:sz w:val="13"/>
                <w:szCs w:val="13"/>
                <w:b w:val="1"/>
                <w:bCs w:val="1"/>
                <w:color w:val="FFFFFF"/>
              </w:rPr>
              <w:t>(f)</w:t>
            </w:r>
          </w:p>
        </w:tc>
        <w:tc>
          <w:tcPr>
            <w:tcW w:w="86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(g)</w:t>
            </w:r>
          </w:p>
        </w:tc>
        <w:tc>
          <w:tcPr>
            <w:tcW w:w="82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(h)</w:t>
            </w:r>
          </w:p>
        </w:tc>
        <w:tc>
          <w:tcPr>
            <w:tcW w:w="76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(i)</w:t>
            </w:r>
          </w:p>
        </w:tc>
        <w:tc>
          <w:tcPr>
            <w:tcW w:w="100" w:type="dxa"/>
            <w:vAlign w:val="bottom"/>
            <w:shd w:val="clear" w:color="auto" w:fill="24356E"/>
          </w:tcPr>
          <w:p>
            <w:pPr>
              <w:spacing w:after="0"/>
              <w:rPr>
                <w:sz w:val="19"/>
                <w:szCs w:val="19"/>
                <w:color w:val="auto"/>
              </w:rPr>
            </w:pPr>
          </w:p>
        </w:tc>
        <w:tc>
          <w:tcPr>
            <w:tcW w:w="82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(j)</w:t>
            </w:r>
          </w:p>
        </w:tc>
        <w:tc>
          <w:tcPr>
            <w:tcW w:w="100" w:type="dxa"/>
            <w:vAlign w:val="bottom"/>
            <w:shd w:val="clear" w:color="auto" w:fill="24356E"/>
          </w:tcPr>
          <w:p>
            <w:pPr>
              <w:spacing w:after="0"/>
              <w:rPr>
                <w:sz w:val="19"/>
                <w:szCs w:val="19"/>
                <w:color w:val="auto"/>
              </w:rPr>
            </w:pPr>
          </w:p>
        </w:tc>
        <w:tc>
          <w:tcPr>
            <w:tcW w:w="780" w:type="dxa"/>
            <w:vAlign w:val="bottom"/>
            <w:shd w:val="clear" w:color="auto" w:fill="24356E"/>
          </w:tcPr>
          <w:p>
            <w:pPr>
              <w:jc w:val="right"/>
              <w:spacing w:after="0"/>
              <w:rPr>
                <w:sz w:val="20"/>
                <w:szCs w:val="20"/>
                <w:color w:val="auto"/>
              </w:rPr>
            </w:pPr>
            <w:r>
              <w:rPr>
                <w:rFonts w:ascii="Arial" w:cs="Arial" w:eastAsia="Arial" w:hAnsi="Arial"/>
                <w:sz w:val="13"/>
                <w:szCs w:val="13"/>
                <w:b w:val="1"/>
                <w:bCs w:val="1"/>
                <w:color w:val="FFFFFF"/>
              </w:rPr>
              <w:t>(k)</w:t>
            </w:r>
          </w:p>
        </w:tc>
        <w:tc>
          <w:tcPr>
            <w:tcW w:w="0" w:type="dxa"/>
            <w:vAlign w:val="bottom"/>
          </w:tcPr>
          <w:p>
            <w:pPr>
              <w:spacing w:after="0"/>
              <w:rPr>
                <w:sz w:val="1"/>
                <w:szCs w:val="1"/>
                <w:color w:val="auto"/>
              </w:rPr>
            </w:pPr>
          </w:p>
        </w:tc>
      </w:tr>
      <w:tr>
        <w:trPr>
          <w:trHeight w:val="62"/>
        </w:trPr>
        <w:tc>
          <w:tcPr>
            <w:tcW w:w="400" w:type="dxa"/>
            <w:vAlign w:val="bottom"/>
            <w:shd w:val="clear" w:color="auto" w:fill="24356E"/>
          </w:tcPr>
          <w:p>
            <w:pPr>
              <w:spacing w:after="0"/>
              <w:rPr>
                <w:sz w:val="5"/>
                <w:szCs w:val="5"/>
                <w:color w:val="auto"/>
              </w:rPr>
            </w:pPr>
          </w:p>
        </w:tc>
        <w:tc>
          <w:tcPr>
            <w:tcW w:w="200" w:type="dxa"/>
            <w:vAlign w:val="bottom"/>
            <w:shd w:val="clear" w:color="auto" w:fill="24356E"/>
          </w:tcPr>
          <w:p>
            <w:pPr>
              <w:spacing w:after="0"/>
              <w:rPr>
                <w:sz w:val="5"/>
                <w:szCs w:val="5"/>
                <w:color w:val="auto"/>
              </w:rPr>
            </w:pPr>
          </w:p>
        </w:tc>
        <w:tc>
          <w:tcPr>
            <w:tcW w:w="800" w:type="dxa"/>
            <w:vAlign w:val="bottom"/>
            <w:shd w:val="clear" w:color="auto" w:fill="24356E"/>
          </w:tcPr>
          <w:p>
            <w:pPr>
              <w:spacing w:after="0"/>
              <w:rPr>
                <w:sz w:val="5"/>
                <w:szCs w:val="5"/>
                <w:color w:val="auto"/>
              </w:rPr>
            </w:pPr>
          </w:p>
        </w:tc>
        <w:tc>
          <w:tcPr>
            <w:tcW w:w="880" w:type="dxa"/>
            <w:vAlign w:val="bottom"/>
            <w:shd w:val="clear" w:color="auto" w:fill="24356E"/>
          </w:tcPr>
          <w:p>
            <w:pPr>
              <w:spacing w:after="0"/>
              <w:rPr>
                <w:sz w:val="5"/>
                <w:szCs w:val="5"/>
                <w:color w:val="auto"/>
              </w:rPr>
            </w:pPr>
          </w:p>
        </w:tc>
        <w:tc>
          <w:tcPr>
            <w:tcW w:w="1000" w:type="dxa"/>
            <w:vAlign w:val="bottom"/>
            <w:shd w:val="clear" w:color="auto" w:fill="24356E"/>
          </w:tcPr>
          <w:p>
            <w:pPr>
              <w:spacing w:after="0"/>
              <w:rPr>
                <w:sz w:val="5"/>
                <w:szCs w:val="5"/>
                <w:color w:val="auto"/>
              </w:rPr>
            </w:pPr>
          </w:p>
        </w:tc>
        <w:tc>
          <w:tcPr>
            <w:tcW w:w="960" w:type="dxa"/>
            <w:vAlign w:val="bottom"/>
            <w:shd w:val="clear" w:color="auto" w:fill="24356E"/>
          </w:tcPr>
          <w:p>
            <w:pPr>
              <w:spacing w:after="0"/>
              <w:rPr>
                <w:sz w:val="5"/>
                <w:szCs w:val="5"/>
                <w:color w:val="auto"/>
              </w:rPr>
            </w:pPr>
          </w:p>
        </w:tc>
        <w:tc>
          <w:tcPr>
            <w:tcW w:w="920" w:type="dxa"/>
            <w:vAlign w:val="bottom"/>
            <w:shd w:val="clear" w:color="auto" w:fill="24356E"/>
          </w:tcPr>
          <w:p>
            <w:pPr>
              <w:spacing w:after="0"/>
              <w:rPr>
                <w:sz w:val="5"/>
                <w:szCs w:val="5"/>
                <w:color w:val="auto"/>
              </w:rPr>
            </w:pPr>
          </w:p>
        </w:tc>
        <w:tc>
          <w:tcPr>
            <w:tcW w:w="860" w:type="dxa"/>
            <w:vAlign w:val="bottom"/>
            <w:shd w:val="clear" w:color="auto" w:fill="24356E"/>
          </w:tcPr>
          <w:p>
            <w:pPr>
              <w:spacing w:after="0"/>
              <w:rPr>
                <w:sz w:val="5"/>
                <w:szCs w:val="5"/>
                <w:color w:val="auto"/>
              </w:rPr>
            </w:pPr>
          </w:p>
        </w:tc>
        <w:tc>
          <w:tcPr>
            <w:tcW w:w="820" w:type="dxa"/>
            <w:vAlign w:val="bottom"/>
            <w:shd w:val="clear" w:color="auto" w:fill="24356E"/>
          </w:tcPr>
          <w:p>
            <w:pPr>
              <w:spacing w:after="0"/>
              <w:rPr>
                <w:sz w:val="5"/>
                <w:szCs w:val="5"/>
                <w:color w:val="auto"/>
              </w:rPr>
            </w:pPr>
          </w:p>
        </w:tc>
        <w:tc>
          <w:tcPr>
            <w:tcW w:w="760" w:type="dxa"/>
            <w:vAlign w:val="bottom"/>
            <w:shd w:val="clear" w:color="auto" w:fill="24356E"/>
          </w:tcPr>
          <w:p>
            <w:pPr>
              <w:spacing w:after="0"/>
              <w:rPr>
                <w:sz w:val="5"/>
                <w:szCs w:val="5"/>
                <w:color w:val="auto"/>
              </w:rPr>
            </w:pPr>
          </w:p>
        </w:tc>
        <w:tc>
          <w:tcPr>
            <w:tcW w:w="100" w:type="dxa"/>
            <w:vAlign w:val="bottom"/>
            <w:shd w:val="clear" w:color="auto" w:fill="24356E"/>
          </w:tcPr>
          <w:p>
            <w:pPr>
              <w:spacing w:after="0"/>
              <w:rPr>
                <w:sz w:val="5"/>
                <w:szCs w:val="5"/>
                <w:color w:val="auto"/>
              </w:rPr>
            </w:pPr>
          </w:p>
        </w:tc>
        <w:tc>
          <w:tcPr>
            <w:tcW w:w="820" w:type="dxa"/>
            <w:vAlign w:val="bottom"/>
            <w:shd w:val="clear" w:color="auto" w:fill="24356E"/>
          </w:tcPr>
          <w:p>
            <w:pPr>
              <w:spacing w:after="0"/>
              <w:rPr>
                <w:sz w:val="5"/>
                <w:szCs w:val="5"/>
                <w:color w:val="auto"/>
              </w:rPr>
            </w:pPr>
          </w:p>
        </w:tc>
        <w:tc>
          <w:tcPr>
            <w:tcW w:w="100" w:type="dxa"/>
            <w:vAlign w:val="bottom"/>
            <w:shd w:val="clear" w:color="auto" w:fill="24356E"/>
          </w:tcPr>
          <w:p>
            <w:pPr>
              <w:spacing w:after="0"/>
              <w:rPr>
                <w:sz w:val="5"/>
                <w:szCs w:val="5"/>
                <w:color w:val="auto"/>
              </w:rPr>
            </w:pPr>
          </w:p>
        </w:tc>
        <w:tc>
          <w:tcPr>
            <w:tcW w:w="780" w:type="dxa"/>
            <w:vAlign w:val="bottom"/>
            <w:shd w:val="clear" w:color="auto" w:fill="24356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400" w:type="dxa"/>
            <w:vAlign w:val="bottom"/>
          </w:tcPr>
          <w:p>
            <w:pPr>
              <w:ind w:left="100"/>
              <w:spacing w:after="0"/>
              <w:rPr>
                <w:sz w:val="20"/>
                <w:szCs w:val="20"/>
                <w:color w:val="auto"/>
              </w:rPr>
            </w:pPr>
            <w:r>
              <w:rPr>
                <w:rFonts w:ascii="Arial" w:cs="Arial" w:eastAsia="Arial" w:hAnsi="Arial"/>
                <w:sz w:val="13"/>
                <w:szCs w:val="13"/>
                <w:b w:val="1"/>
                <w:bCs w:val="1"/>
                <w:color w:val="auto"/>
                <w:w w:val="96"/>
              </w:rPr>
              <w:t>2024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8,337,044</w:t>
            </w: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$3,790,919</w:t>
            </w: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$2,719,381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$1,550,220</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$29.17</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$ 93.49</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w w:val="93"/>
              </w:rPr>
              <w:t>(138,885,000)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w w:val="94"/>
              </w:rPr>
              <w:t>174,432,000</w:t>
            </w:r>
          </w:p>
        </w:tc>
        <w:tc>
          <w:tcPr>
            <w:tcW w:w="0" w:type="dxa"/>
            <w:vAlign w:val="bottom"/>
          </w:tcPr>
          <w:p>
            <w:pPr>
              <w:spacing w:after="0"/>
              <w:rPr>
                <w:sz w:val="1"/>
                <w:szCs w:val="1"/>
                <w:color w:val="auto"/>
              </w:rPr>
            </w:pPr>
          </w:p>
        </w:tc>
      </w:tr>
      <w:tr>
        <w:trPr>
          <w:trHeight w:val="62"/>
        </w:trPr>
        <w:tc>
          <w:tcPr>
            <w:tcW w:w="400" w:type="dxa"/>
            <w:vAlign w:val="bottom"/>
            <w:tcBorders>
              <w:bottom w:val="single" w:sz="8" w:color="666666"/>
            </w:tcBorders>
          </w:tcPr>
          <w:p>
            <w:pPr>
              <w:spacing w:after="0"/>
              <w:rPr>
                <w:sz w:val="5"/>
                <w:szCs w:val="5"/>
                <w:color w:val="auto"/>
              </w:rPr>
            </w:pPr>
          </w:p>
        </w:tc>
        <w:tc>
          <w:tcPr>
            <w:tcW w:w="200" w:type="dxa"/>
            <w:vAlign w:val="bottom"/>
            <w:tcBorders>
              <w:bottom w:val="single" w:sz="8" w:color="666666"/>
            </w:tcBorders>
          </w:tcPr>
          <w:p>
            <w:pPr>
              <w:spacing w:after="0"/>
              <w:rPr>
                <w:sz w:val="5"/>
                <w:szCs w:val="5"/>
                <w:color w:val="auto"/>
              </w:rPr>
            </w:pPr>
          </w:p>
        </w:tc>
        <w:tc>
          <w:tcPr>
            <w:tcW w:w="800" w:type="dxa"/>
            <w:vAlign w:val="bottom"/>
            <w:tcBorders>
              <w:bottom w:val="single" w:sz="8" w:color="666666"/>
            </w:tcBorders>
          </w:tcPr>
          <w:p>
            <w:pPr>
              <w:spacing w:after="0"/>
              <w:rPr>
                <w:sz w:val="5"/>
                <w:szCs w:val="5"/>
                <w:color w:val="auto"/>
              </w:rPr>
            </w:pPr>
          </w:p>
        </w:tc>
        <w:tc>
          <w:tcPr>
            <w:tcW w:w="880" w:type="dxa"/>
            <w:vAlign w:val="bottom"/>
            <w:tcBorders>
              <w:bottom w:val="single" w:sz="8" w:color="666666"/>
            </w:tcBorders>
          </w:tcPr>
          <w:p>
            <w:pPr>
              <w:spacing w:after="0"/>
              <w:rPr>
                <w:sz w:val="5"/>
                <w:szCs w:val="5"/>
                <w:color w:val="auto"/>
              </w:rPr>
            </w:pPr>
          </w:p>
        </w:tc>
        <w:tc>
          <w:tcPr>
            <w:tcW w:w="1000" w:type="dxa"/>
            <w:vAlign w:val="bottom"/>
            <w:tcBorders>
              <w:bottom w:val="single" w:sz="8" w:color="666666"/>
            </w:tcBorders>
          </w:tcPr>
          <w:p>
            <w:pPr>
              <w:spacing w:after="0"/>
              <w:rPr>
                <w:sz w:val="5"/>
                <w:szCs w:val="5"/>
                <w:color w:val="auto"/>
              </w:rPr>
            </w:pPr>
          </w:p>
        </w:tc>
        <w:tc>
          <w:tcPr>
            <w:tcW w:w="960" w:type="dxa"/>
            <w:vAlign w:val="bottom"/>
            <w:tcBorders>
              <w:bottom w:val="single" w:sz="8" w:color="666666"/>
            </w:tcBorders>
          </w:tcPr>
          <w:p>
            <w:pPr>
              <w:spacing w:after="0"/>
              <w:rPr>
                <w:sz w:val="5"/>
                <w:szCs w:val="5"/>
                <w:color w:val="auto"/>
              </w:rPr>
            </w:pPr>
          </w:p>
        </w:tc>
        <w:tc>
          <w:tcPr>
            <w:tcW w:w="920" w:type="dxa"/>
            <w:vAlign w:val="bottom"/>
            <w:tcBorders>
              <w:bottom w:val="single" w:sz="8" w:color="666666"/>
            </w:tcBorders>
          </w:tcPr>
          <w:p>
            <w:pPr>
              <w:spacing w:after="0"/>
              <w:rPr>
                <w:sz w:val="5"/>
                <w:szCs w:val="5"/>
                <w:color w:val="auto"/>
              </w:rPr>
            </w:pPr>
          </w:p>
        </w:tc>
        <w:tc>
          <w:tcPr>
            <w:tcW w:w="860" w:type="dxa"/>
            <w:vAlign w:val="bottom"/>
            <w:tcBorders>
              <w:bottom w:val="single" w:sz="8" w:color="666666"/>
            </w:tcBorders>
          </w:tcPr>
          <w:p>
            <w:pPr>
              <w:spacing w:after="0"/>
              <w:rPr>
                <w:sz w:val="5"/>
                <w:szCs w:val="5"/>
                <w:color w:val="auto"/>
              </w:rPr>
            </w:pPr>
          </w:p>
        </w:tc>
        <w:tc>
          <w:tcPr>
            <w:tcW w:w="820" w:type="dxa"/>
            <w:vAlign w:val="bottom"/>
            <w:tcBorders>
              <w:bottom w:val="single" w:sz="8" w:color="666666"/>
            </w:tcBorders>
          </w:tcPr>
          <w:p>
            <w:pPr>
              <w:spacing w:after="0"/>
              <w:rPr>
                <w:sz w:val="5"/>
                <w:szCs w:val="5"/>
                <w:color w:val="auto"/>
              </w:rPr>
            </w:pPr>
          </w:p>
        </w:tc>
        <w:tc>
          <w:tcPr>
            <w:tcW w:w="760" w:type="dxa"/>
            <w:vAlign w:val="bottom"/>
            <w:tcBorders>
              <w:bottom w:val="single" w:sz="8" w:color="666666"/>
            </w:tcBorders>
          </w:tcPr>
          <w:p>
            <w:pPr>
              <w:spacing w:after="0"/>
              <w:rPr>
                <w:sz w:val="5"/>
                <w:szCs w:val="5"/>
                <w:color w:val="auto"/>
              </w:rPr>
            </w:pPr>
          </w:p>
        </w:tc>
        <w:tc>
          <w:tcPr>
            <w:tcW w:w="100" w:type="dxa"/>
            <w:vAlign w:val="bottom"/>
            <w:tcBorders>
              <w:bottom w:val="single" w:sz="8" w:color="666666"/>
            </w:tcBorders>
          </w:tcPr>
          <w:p>
            <w:pPr>
              <w:spacing w:after="0"/>
              <w:rPr>
                <w:sz w:val="5"/>
                <w:szCs w:val="5"/>
                <w:color w:val="auto"/>
              </w:rPr>
            </w:pPr>
          </w:p>
        </w:tc>
        <w:tc>
          <w:tcPr>
            <w:tcW w:w="820" w:type="dxa"/>
            <w:vAlign w:val="bottom"/>
            <w:tcBorders>
              <w:bottom w:val="single" w:sz="8" w:color="666666"/>
            </w:tcBorders>
          </w:tcPr>
          <w:p>
            <w:pPr>
              <w:spacing w:after="0"/>
              <w:rPr>
                <w:sz w:val="5"/>
                <w:szCs w:val="5"/>
                <w:color w:val="auto"/>
              </w:rPr>
            </w:pPr>
          </w:p>
        </w:tc>
        <w:tc>
          <w:tcPr>
            <w:tcW w:w="100" w:type="dxa"/>
            <w:vAlign w:val="bottom"/>
            <w:tcBorders>
              <w:bottom w:val="single" w:sz="8" w:color="666666"/>
            </w:tcBorders>
          </w:tcPr>
          <w:p>
            <w:pPr>
              <w:spacing w:after="0"/>
              <w:rPr>
                <w:sz w:val="5"/>
                <w:szCs w:val="5"/>
                <w:color w:val="auto"/>
              </w:rPr>
            </w:pPr>
          </w:p>
        </w:tc>
        <w:tc>
          <w:tcPr>
            <w:tcW w:w="780" w:type="dxa"/>
            <w:vAlign w:val="bottom"/>
            <w:tcBorders>
              <w:bottom w:val="single" w:sz="8" w:color="666666"/>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0" w:type="dxa"/>
            <w:vAlign w:val="bottom"/>
          </w:tcPr>
          <w:p>
            <w:pPr>
              <w:ind w:left="100"/>
              <w:spacing w:after="0"/>
              <w:rPr>
                <w:sz w:val="20"/>
                <w:szCs w:val="20"/>
                <w:color w:val="auto"/>
              </w:rPr>
            </w:pPr>
            <w:r>
              <w:rPr>
                <w:rFonts w:ascii="Arial" w:cs="Arial" w:eastAsia="Arial" w:hAnsi="Arial"/>
                <w:sz w:val="13"/>
                <w:szCs w:val="13"/>
                <w:b w:val="1"/>
                <w:bCs w:val="1"/>
                <w:color w:val="auto"/>
                <w:w w:val="96"/>
              </w:rPr>
              <w:t>2023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1,931,088</w:t>
            </w: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$6,168,709</w:t>
            </w: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$1,226,547</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$1,967,879</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$36.83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$ 94.03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(74,656,000)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w w:val="94"/>
              </w:rPr>
              <w:t>106,340,000</w:t>
            </w:r>
          </w:p>
        </w:tc>
        <w:tc>
          <w:tcPr>
            <w:tcW w:w="0" w:type="dxa"/>
            <w:vAlign w:val="bottom"/>
          </w:tcPr>
          <w:p>
            <w:pPr>
              <w:spacing w:after="0"/>
              <w:rPr>
                <w:sz w:val="1"/>
                <w:szCs w:val="1"/>
                <w:color w:val="auto"/>
              </w:rPr>
            </w:pPr>
          </w:p>
        </w:tc>
      </w:tr>
      <w:tr>
        <w:trPr>
          <w:trHeight w:val="62"/>
        </w:trPr>
        <w:tc>
          <w:tcPr>
            <w:tcW w:w="400" w:type="dxa"/>
            <w:vAlign w:val="bottom"/>
            <w:tcBorders>
              <w:bottom w:val="single" w:sz="8" w:color="666666"/>
            </w:tcBorders>
          </w:tcPr>
          <w:p>
            <w:pPr>
              <w:spacing w:after="0"/>
              <w:rPr>
                <w:sz w:val="5"/>
                <w:szCs w:val="5"/>
                <w:color w:val="auto"/>
              </w:rPr>
            </w:pPr>
          </w:p>
        </w:tc>
        <w:tc>
          <w:tcPr>
            <w:tcW w:w="200" w:type="dxa"/>
            <w:vAlign w:val="bottom"/>
            <w:tcBorders>
              <w:bottom w:val="single" w:sz="8" w:color="666666"/>
            </w:tcBorders>
          </w:tcPr>
          <w:p>
            <w:pPr>
              <w:spacing w:after="0"/>
              <w:rPr>
                <w:sz w:val="5"/>
                <w:szCs w:val="5"/>
                <w:color w:val="auto"/>
              </w:rPr>
            </w:pPr>
          </w:p>
        </w:tc>
        <w:tc>
          <w:tcPr>
            <w:tcW w:w="800" w:type="dxa"/>
            <w:vAlign w:val="bottom"/>
            <w:tcBorders>
              <w:bottom w:val="single" w:sz="8" w:color="666666"/>
            </w:tcBorders>
          </w:tcPr>
          <w:p>
            <w:pPr>
              <w:spacing w:after="0"/>
              <w:rPr>
                <w:sz w:val="5"/>
                <w:szCs w:val="5"/>
                <w:color w:val="auto"/>
              </w:rPr>
            </w:pPr>
          </w:p>
        </w:tc>
        <w:tc>
          <w:tcPr>
            <w:tcW w:w="880" w:type="dxa"/>
            <w:vAlign w:val="bottom"/>
            <w:tcBorders>
              <w:bottom w:val="single" w:sz="8" w:color="666666"/>
            </w:tcBorders>
          </w:tcPr>
          <w:p>
            <w:pPr>
              <w:spacing w:after="0"/>
              <w:rPr>
                <w:sz w:val="5"/>
                <w:szCs w:val="5"/>
                <w:color w:val="auto"/>
              </w:rPr>
            </w:pPr>
          </w:p>
        </w:tc>
        <w:tc>
          <w:tcPr>
            <w:tcW w:w="1000" w:type="dxa"/>
            <w:vAlign w:val="bottom"/>
            <w:tcBorders>
              <w:bottom w:val="single" w:sz="8" w:color="666666"/>
            </w:tcBorders>
          </w:tcPr>
          <w:p>
            <w:pPr>
              <w:spacing w:after="0"/>
              <w:rPr>
                <w:sz w:val="5"/>
                <w:szCs w:val="5"/>
                <w:color w:val="auto"/>
              </w:rPr>
            </w:pPr>
          </w:p>
        </w:tc>
        <w:tc>
          <w:tcPr>
            <w:tcW w:w="960" w:type="dxa"/>
            <w:vAlign w:val="bottom"/>
            <w:tcBorders>
              <w:bottom w:val="single" w:sz="8" w:color="666666"/>
            </w:tcBorders>
          </w:tcPr>
          <w:p>
            <w:pPr>
              <w:spacing w:after="0"/>
              <w:rPr>
                <w:sz w:val="5"/>
                <w:szCs w:val="5"/>
                <w:color w:val="auto"/>
              </w:rPr>
            </w:pPr>
          </w:p>
        </w:tc>
        <w:tc>
          <w:tcPr>
            <w:tcW w:w="920" w:type="dxa"/>
            <w:vAlign w:val="bottom"/>
            <w:tcBorders>
              <w:bottom w:val="single" w:sz="8" w:color="666666"/>
            </w:tcBorders>
          </w:tcPr>
          <w:p>
            <w:pPr>
              <w:spacing w:after="0"/>
              <w:rPr>
                <w:sz w:val="5"/>
                <w:szCs w:val="5"/>
                <w:color w:val="auto"/>
              </w:rPr>
            </w:pPr>
          </w:p>
        </w:tc>
        <w:tc>
          <w:tcPr>
            <w:tcW w:w="860" w:type="dxa"/>
            <w:vAlign w:val="bottom"/>
            <w:tcBorders>
              <w:bottom w:val="single" w:sz="8" w:color="666666"/>
            </w:tcBorders>
          </w:tcPr>
          <w:p>
            <w:pPr>
              <w:spacing w:after="0"/>
              <w:rPr>
                <w:sz w:val="5"/>
                <w:szCs w:val="5"/>
                <w:color w:val="auto"/>
              </w:rPr>
            </w:pPr>
          </w:p>
        </w:tc>
        <w:tc>
          <w:tcPr>
            <w:tcW w:w="820" w:type="dxa"/>
            <w:vAlign w:val="bottom"/>
            <w:tcBorders>
              <w:bottom w:val="single" w:sz="8" w:color="666666"/>
            </w:tcBorders>
          </w:tcPr>
          <w:p>
            <w:pPr>
              <w:spacing w:after="0"/>
              <w:rPr>
                <w:sz w:val="5"/>
                <w:szCs w:val="5"/>
                <w:color w:val="auto"/>
              </w:rPr>
            </w:pPr>
          </w:p>
        </w:tc>
        <w:tc>
          <w:tcPr>
            <w:tcW w:w="760" w:type="dxa"/>
            <w:vAlign w:val="bottom"/>
            <w:tcBorders>
              <w:bottom w:val="single" w:sz="8" w:color="666666"/>
            </w:tcBorders>
          </w:tcPr>
          <w:p>
            <w:pPr>
              <w:spacing w:after="0"/>
              <w:rPr>
                <w:sz w:val="5"/>
                <w:szCs w:val="5"/>
                <w:color w:val="auto"/>
              </w:rPr>
            </w:pPr>
          </w:p>
        </w:tc>
        <w:tc>
          <w:tcPr>
            <w:tcW w:w="100" w:type="dxa"/>
            <w:vAlign w:val="bottom"/>
            <w:tcBorders>
              <w:bottom w:val="single" w:sz="8" w:color="666666"/>
            </w:tcBorders>
          </w:tcPr>
          <w:p>
            <w:pPr>
              <w:spacing w:after="0"/>
              <w:rPr>
                <w:sz w:val="5"/>
                <w:szCs w:val="5"/>
                <w:color w:val="auto"/>
              </w:rPr>
            </w:pPr>
          </w:p>
        </w:tc>
        <w:tc>
          <w:tcPr>
            <w:tcW w:w="820" w:type="dxa"/>
            <w:vAlign w:val="bottom"/>
            <w:tcBorders>
              <w:bottom w:val="single" w:sz="8" w:color="666666"/>
            </w:tcBorders>
          </w:tcPr>
          <w:p>
            <w:pPr>
              <w:spacing w:after="0"/>
              <w:rPr>
                <w:sz w:val="5"/>
                <w:szCs w:val="5"/>
                <w:color w:val="auto"/>
              </w:rPr>
            </w:pPr>
          </w:p>
        </w:tc>
        <w:tc>
          <w:tcPr>
            <w:tcW w:w="100" w:type="dxa"/>
            <w:vAlign w:val="bottom"/>
            <w:tcBorders>
              <w:bottom w:val="single" w:sz="8" w:color="666666"/>
            </w:tcBorders>
          </w:tcPr>
          <w:p>
            <w:pPr>
              <w:spacing w:after="0"/>
              <w:rPr>
                <w:sz w:val="5"/>
                <w:szCs w:val="5"/>
                <w:color w:val="auto"/>
              </w:rPr>
            </w:pPr>
          </w:p>
        </w:tc>
        <w:tc>
          <w:tcPr>
            <w:tcW w:w="780" w:type="dxa"/>
            <w:vAlign w:val="bottom"/>
            <w:tcBorders>
              <w:bottom w:val="single" w:sz="8" w:color="666666"/>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0" w:type="dxa"/>
            <w:vAlign w:val="bottom"/>
          </w:tcPr>
          <w:p>
            <w:pPr>
              <w:ind w:left="100"/>
              <w:spacing w:after="0"/>
              <w:rPr>
                <w:sz w:val="20"/>
                <w:szCs w:val="20"/>
                <w:color w:val="auto"/>
              </w:rPr>
            </w:pPr>
            <w:r>
              <w:rPr>
                <w:rFonts w:ascii="Arial" w:cs="Arial" w:eastAsia="Arial" w:hAnsi="Arial"/>
                <w:sz w:val="13"/>
                <w:szCs w:val="13"/>
                <w:b w:val="1"/>
                <w:bCs w:val="1"/>
                <w:color w:val="auto"/>
                <w:w w:val="96"/>
              </w:rPr>
              <w:t>2022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w w:val="92"/>
              </w:rPr>
              <w:t>15,895,848</w:t>
            </w:r>
          </w:p>
        </w:tc>
        <w:tc>
          <w:tcPr>
            <w:tcW w:w="880" w:type="dxa"/>
            <w:vAlign w:val="bottom"/>
          </w:tcPr>
          <w:p>
            <w:pPr>
              <w:jc w:val="right"/>
              <w:ind w:right="78"/>
              <w:spacing w:after="0"/>
              <w:rPr>
                <w:sz w:val="20"/>
                <w:szCs w:val="20"/>
                <w:color w:val="auto"/>
              </w:rPr>
            </w:pPr>
            <w:r>
              <w:rPr>
                <w:rFonts w:ascii="Arial" w:cs="Arial" w:eastAsia="Arial" w:hAnsi="Arial"/>
                <w:sz w:val="13"/>
                <w:szCs w:val="13"/>
                <w:color w:val="auto"/>
              </w:rPr>
              <w:t>$4,280,101</w:t>
            </w:r>
          </w:p>
        </w:tc>
        <w:tc>
          <w:tcPr>
            <w:tcW w:w="1000" w:type="dxa"/>
            <w:vAlign w:val="bottom"/>
          </w:tcPr>
          <w:p>
            <w:pPr>
              <w:ind w:left="200"/>
              <w:spacing w:after="0"/>
              <w:rPr>
                <w:sz w:val="20"/>
                <w:szCs w:val="20"/>
                <w:color w:val="auto"/>
              </w:rPr>
            </w:pPr>
            <w:r>
              <w:rPr>
                <w:rFonts w:ascii="Arial" w:cs="Arial" w:eastAsia="Arial" w:hAnsi="Arial"/>
                <w:sz w:val="13"/>
                <w:szCs w:val="13"/>
                <w:color w:val="auto"/>
              </w:rPr>
              <w:t>$1,638,601</w:t>
            </w:r>
          </w:p>
        </w:tc>
        <w:tc>
          <w:tcPr>
            <w:tcW w:w="960" w:type="dxa"/>
            <w:vAlign w:val="bottom"/>
          </w:tcPr>
          <w:p>
            <w:pPr>
              <w:ind w:left="100"/>
              <w:spacing w:after="0"/>
              <w:rPr>
                <w:sz w:val="20"/>
                <w:szCs w:val="20"/>
                <w:color w:val="auto"/>
              </w:rPr>
            </w:pPr>
            <w:r>
              <w:rPr>
                <w:rFonts w:ascii="Arial" w:cs="Arial" w:eastAsia="Arial" w:hAnsi="Arial"/>
                <w:sz w:val="13"/>
                <w:szCs w:val="13"/>
                <w:color w:val="auto"/>
              </w:rPr>
              <w:t>$(3,291,062)</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$3,630,555</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$1,328,816</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$19.50</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$ 89.90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w w:val="93"/>
              </w:rPr>
              <w:t>(190,098,000)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97,948,000</w:t>
            </w:r>
          </w:p>
        </w:tc>
        <w:tc>
          <w:tcPr>
            <w:tcW w:w="0" w:type="dxa"/>
            <w:vAlign w:val="bottom"/>
          </w:tcPr>
          <w:p>
            <w:pPr>
              <w:spacing w:after="0"/>
              <w:rPr>
                <w:sz w:val="1"/>
                <w:szCs w:val="1"/>
                <w:color w:val="auto"/>
              </w:rPr>
            </w:pPr>
          </w:p>
        </w:tc>
      </w:tr>
      <w:tr>
        <w:trPr>
          <w:trHeight w:val="62"/>
        </w:trPr>
        <w:tc>
          <w:tcPr>
            <w:tcW w:w="400" w:type="dxa"/>
            <w:vAlign w:val="bottom"/>
            <w:tcBorders>
              <w:bottom w:val="single" w:sz="8" w:color="666666"/>
            </w:tcBorders>
          </w:tcPr>
          <w:p>
            <w:pPr>
              <w:spacing w:after="0"/>
              <w:rPr>
                <w:sz w:val="5"/>
                <w:szCs w:val="5"/>
                <w:color w:val="auto"/>
              </w:rPr>
            </w:pPr>
          </w:p>
        </w:tc>
        <w:tc>
          <w:tcPr>
            <w:tcW w:w="200" w:type="dxa"/>
            <w:vAlign w:val="bottom"/>
            <w:tcBorders>
              <w:bottom w:val="single" w:sz="8" w:color="666666"/>
            </w:tcBorders>
          </w:tcPr>
          <w:p>
            <w:pPr>
              <w:spacing w:after="0"/>
              <w:rPr>
                <w:sz w:val="5"/>
                <w:szCs w:val="5"/>
                <w:color w:val="auto"/>
              </w:rPr>
            </w:pPr>
          </w:p>
        </w:tc>
        <w:tc>
          <w:tcPr>
            <w:tcW w:w="800" w:type="dxa"/>
            <w:vAlign w:val="bottom"/>
            <w:tcBorders>
              <w:bottom w:val="single" w:sz="8" w:color="666666"/>
            </w:tcBorders>
          </w:tcPr>
          <w:p>
            <w:pPr>
              <w:spacing w:after="0"/>
              <w:rPr>
                <w:sz w:val="5"/>
                <w:szCs w:val="5"/>
                <w:color w:val="auto"/>
              </w:rPr>
            </w:pPr>
          </w:p>
        </w:tc>
        <w:tc>
          <w:tcPr>
            <w:tcW w:w="880" w:type="dxa"/>
            <w:vAlign w:val="bottom"/>
            <w:tcBorders>
              <w:bottom w:val="single" w:sz="8" w:color="666666"/>
            </w:tcBorders>
          </w:tcPr>
          <w:p>
            <w:pPr>
              <w:spacing w:after="0"/>
              <w:rPr>
                <w:sz w:val="5"/>
                <w:szCs w:val="5"/>
                <w:color w:val="auto"/>
              </w:rPr>
            </w:pPr>
          </w:p>
        </w:tc>
        <w:tc>
          <w:tcPr>
            <w:tcW w:w="1000" w:type="dxa"/>
            <w:vAlign w:val="bottom"/>
            <w:tcBorders>
              <w:bottom w:val="single" w:sz="8" w:color="666666"/>
            </w:tcBorders>
          </w:tcPr>
          <w:p>
            <w:pPr>
              <w:spacing w:after="0"/>
              <w:rPr>
                <w:sz w:val="5"/>
                <w:szCs w:val="5"/>
                <w:color w:val="auto"/>
              </w:rPr>
            </w:pPr>
          </w:p>
        </w:tc>
        <w:tc>
          <w:tcPr>
            <w:tcW w:w="960" w:type="dxa"/>
            <w:vAlign w:val="bottom"/>
            <w:tcBorders>
              <w:bottom w:val="single" w:sz="8" w:color="666666"/>
            </w:tcBorders>
          </w:tcPr>
          <w:p>
            <w:pPr>
              <w:spacing w:after="0"/>
              <w:rPr>
                <w:sz w:val="5"/>
                <w:szCs w:val="5"/>
                <w:color w:val="auto"/>
              </w:rPr>
            </w:pPr>
          </w:p>
        </w:tc>
        <w:tc>
          <w:tcPr>
            <w:tcW w:w="920" w:type="dxa"/>
            <w:vAlign w:val="bottom"/>
            <w:tcBorders>
              <w:bottom w:val="single" w:sz="8" w:color="666666"/>
            </w:tcBorders>
          </w:tcPr>
          <w:p>
            <w:pPr>
              <w:spacing w:after="0"/>
              <w:rPr>
                <w:sz w:val="5"/>
                <w:szCs w:val="5"/>
                <w:color w:val="auto"/>
              </w:rPr>
            </w:pPr>
          </w:p>
        </w:tc>
        <w:tc>
          <w:tcPr>
            <w:tcW w:w="860" w:type="dxa"/>
            <w:vAlign w:val="bottom"/>
            <w:tcBorders>
              <w:bottom w:val="single" w:sz="8" w:color="666666"/>
            </w:tcBorders>
          </w:tcPr>
          <w:p>
            <w:pPr>
              <w:spacing w:after="0"/>
              <w:rPr>
                <w:sz w:val="5"/>
                <w:szCs w:val="5"/>
                <w:color w:val="auto"/>
              </w:rPr>
            </w:pPr>
          </w:p>
        </w:tc>
        <w:tc>
          <w:tcPr>
            <w:tcW w:w="820" w:type="dxa"/>
            <w:vAlign w:val="bottom"/>
            <w:tcBorders>
              <w:bottom w:val="single" w:sz="8" w:color="666666"/>
            </w:tcBorders>
          </w:tcPr>
          <w:p>
            <w:pPr>
              <w:spacing w:after="0"/>
              <w:rPr>
                <w:sz w:val="5"/>
                <w:szCs w:val="5"/>
                <w:color w:val="auto"/>
              </w:rPr>
            </w:pPr>
          </w:p>
        </w:tc>
        <w:tc>
          <w:tcPr>
            <w:tcW w:w="760" w:type="dxa"/>
            <w:vAlign w:val="bottom"/>
            <w:tcBorders>
              <w:bottom w:val="single" w:sz="8" w:color="666666"/>
            </w:tcBorders>
          </w:tcPr>
          <w:p>
            <w:pPr>
              <w:spacing w:after="0"/>
              <w:rPr>
                <w:sz w:val="5"/>
                <w:szCs w:val="5"/>
                <w:color w:val="auto"/>
              </w:rPr>
            </w:pPr>
          </w:p>
        </w:tc>
        <w:tc>
          <w:tcPr>
            <w:tcW w:w="100" w:type="dxa"/>
            <w:vAlign w:val="bottom"/>
            <w:tcBorders>
              <w:bottom w:val="single" w:sz="8" w:color="666666"/>
            </w:tcBorders>
          </w:tcPr>
          <w:p>
            <w:pPr>
              <w:spacing w:after="0"/>
              <w:rPr>
                <w:sz w:val="5"/>
                <w:szCs w:val="5"/>
                <w:color w:val="auto"/>
              </w:rPr>
            </w:pPr>
          </w:p>
        </w:tc>
        <w:tc>
          <w:tcPr>
            <w:tcW w:w="820" w:type="dxa"/>
            <w:vAlign w:val="bottom"/>
            <w:tcBorders>
              <w:bottom w:val="single" w:sz="8" w:color="666666"/>
            </w:tcBorders>
          </w:tcPr>
          <w:p>
            <w:pPr>
              <w:spacing w:after="0"/>
              <w:rPr>
                <w:sz w:val="5"/>
                <w:szCs w:val="5"/>
                <w:color w:val="auto"/>
              </w:rPr>
            </w:pPr>
          </w:p>
        </w:tc>
        <w:tc>
          <w:tcPr>
            <w:tcW w:w="100" w:type="dxa"/>
            <w:vAlign w:val="bottom"/>
            <w:tcBorders>
              <w:bottom w:val="single" w:sz="8" w:color="666666"/>
            </w:tcBorders>
          </w:tcPr>
          <w:p>
            <w:pPr>
              <w:spacing w:after="0"/>
              <w:rPr>
                <w:sz w:val="5"/>
                <w:szCs w:val="5"/>
                <w:color w:val="auto"/>
              </w:rPr>
            </w:pPr>
          </w:p>
        </w:tc>
        <w:tc>
          <w:tcPr>
            <w:tcW w:w="780" w:type="dxa"/>
            <w:vAlign w:val="bottom"/>
            <w:tcBorders>
              <w:bottom w:val="single" w:sz="8" w:color="666666"/>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0" w:type="dxa"/>
            <w:vAlign w:val="bottom"/>
          </w:tcPr>
          <w:p>
            <w:pPr>
              <w:ind w:left="100"/>
              <w:spacing w:after="0"/>
              <w:rPr>
                <w:sz w:val="20"/>
                <w:szCs w:val="20"/>
                <w:color w:val="auto"/>
              </w:rPr>
            </w:pPr>
            <w:r>
              <w:rPr>
                <w:rFonts w:ascii="Arial" w:cs="Arial" w:eastAsia="Arial" w:hAnsi="Arial"/>
                <w:sz w:val="13"/>
                <w:szCs w:val="13"/>
                <w:b w:val="1"/>
                <w:bCs w:val="1"/>
                <w:color w:val="auto"/>
                <w:w w:val="96"/>
              </w:rPr>
              <w:t>2021</w:t>
            </w:r>
          </w:p>
        </w:tc>
        <w:tc>
          <w:tcPr>
            <w:tcW w:w="200" w:type="dxa"/>
            <w:vAlign w:val="bottom"/>
          </w:tcPr>
          <w:p>
            <w:pPr>
              <w:spacing w:after="0"/>
              <w:rPr>
                <w:sz w:val="18"/>
                <w:szCs w:val="18"/>
                <w:color w:val="auto"/>
              </w:rPr>
            </w:pP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000" w:type="dxa"/>
            <w:vAlign w:val="bottom"/>
          </w:tcPr>
          <w:p>
            <w:pPr>
              <w:ind w:left="200"/>
              <w:spacing w:after="0"/>
              <w:rPr>
                <w:sz w:val="20"/>
                <w:szCs w:val="20"/>
                <w:color w:val="auto"/>
              </w:rPr>
            </w:pPr>
            <w:r>
              <w:rPr>
                <w:rFonts w:ascii="Arial" w:cs="Arial" w:eastAsia="Arial" w:hAnsi="Arial"/>
                <w:sz w:val="13"/>
                <w:szCs w:val="13"/>
                <w:color w:val="auto"/>
              </w:rPr>
              <w:t>$3,311,662</w:t>
            </w:r>
          </w:p>
        </w:tc>
        <w:tc>
          <w:tcPr>
            <w:tcW w:w="960" w:type="dxa"/>
            <w:vAlign w:val="bottom"/>
          </w:tcPr>
          <w:p>
            <w:pPr>
              <w:ind w:left="100"/>
              <w:spacing w:after="0"/>
              <w:rPr>
                <w:sz w:val="20"/>
                <w:szCs w:val="20"/>
                <w:color w:val="auto"/>
              </w:rPr>
            </w:pPr>
            <w:r>
              <w:rPr>
                <w:rFonts w:ascii="Arial" w:cs="Arial" w:eastAsia="Arial" w:hAnsi="Arial"/>
                <w:sz w:val="13"/>
                <w:szCs w:val="13"/>
                <w:color w:val="auto"/>
              </w:rPr>
              <w:t>$ 2,100,340</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$2,153,461</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$1,773,821</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$63.33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$100.02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(59,237,000)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w w:val="94"/>
              </w:rPr>
              <w:t>130,581,000</w:t>
            </w:r>
          </w:p>
        </w:tc>
        <w:tc>
          <w:tcPr>
            <w:tcW w:w="0" w:type="dxa"/>
            <w:vAlign w:val="bottom"/>
          </w:tcPr>
          <w:p>
            <w:pPr>
              <w:spacing w:after="0"/>
              <w:rPr>
                <w:sz w:val="1"/>
                <w:szCs w:val="1"/>
                <w:color w:val="auto"/>
              </w:rPr>
            </w:pPr>
          </w:p>
        </w:tc>
      </w:tr>
      <w:tr>
        <w:trPr>
          <w:trHeight w:val="89"/>
        </w:trPr>
        <w:tc>
          <w:tcPr>
            <w:tcW w:w="400" w:type="dxa"/>
            <w:vAlign w:val="bottom"/>
            <w:tcBorders>
              <w:bottom w:val="single" w:sz="8" w:color="24356E"/>
            </w:tcBorders>
          </w:tcPr>
          <w:p>
            <w:pPr>
              <w:spacing w:after="0"/>
              <w:rPr>
                <w:sz w:val="7"/>
                <w:szCs w:val="7"/>
                <w:color w:val="auto"/>
              </w:rPr>
            </w:pPr>
          </w:p>
        </w:tc>
        <w:tc>
          <w:tcPr>
            <w:tcW w:w="200" w:type="dxa"/>
            <w:vAlign w:val="bottom"/>
            <w:tcBorders>
              <w:bottom w:val="single" w:sz="8" w:color="24356E"/>
            </w:tcBorders>
          </w:tcPr>
          <w:p>
            <w:pPr>
              <w:spacing w:after="0"/>
              <w:rPr>
                <w:sz w:val="7"/>
                <w:szCs w:val="7"/>
                <w:color w:val="auto"/>
              </w:rPr>
            </w:pPr>
          </w:p>
        </w:tc>
        <w:tc>
          <w:tcPr>
            <w:tcW w:w="800" w:type="dxa"/>
            <w:vAlign w:val="bottom"/>
            <w:tcBorders>
              <w:bottom w:val="single" w:sz="8" w:color="24356E"/>
            </w:tcBorders>
          </w:tcPr>
          <w:p>
            <w:pPr>
              <w:spacing w:after="0"/>
              <w:rPr>
                <w:sz w:val="7"/>
                <w:szCs w:val="7"/>
                <w:color w:val="auto"/>
              </w:rPr>
            </w:pPr>
          </w:p>
        </w:tc>
        <w:tc>
          <w:tcPr>
            <w:tcW w:w="880" w:type="dxa"/>
            <w:vAlign w:val="bottom"/>
            <w:tcBorders>
              <w:bottom w:val="single" w:sz="8" w:color="24356E"/>
            </w:tcBorders>
          </w:tcPr>
          <w:p>
            <w:pPr>
              <w:spacing w:after="0"/>
              <w:rPr>
                <w:sz w:val="7"/>
                <w:szCs w:val="7"/>
                <w:color w:val="auto"/>
              </w:rPr>
            </w:pPr>
          </w:p>
        </w:tc>
        <w:tc>
          <w:tcPr>
            <w:tcW w:w="1000" w:type="dxa"/>
            <w:vAlign w:val="bottom"/>
            <w:tcBorders>
              <w:bottom w:val="single" w:sz="8" w:color="24356E"/>
            </w:tcBorders>
          </w:tcPr>
          <w:p>
            <w:pPr>
              <w:spacing w:after="0"/>
              <w:rPr>
                <w:sz w:val="7"/>
                <w:szCs w:val="7"/>
                <w:color w:val="auto"/>
              </w:rPr>
            </w:pPr>
          </w:p>
        </w:tc>
        <w:tc>
          <w:tcPr>
            <w:tcW w:w="960" w:type="dxa"/>
            <w:vAlign w:val="bottom"/>
            <w:tcBorders>
              <w:bottom w:val="single" w:sz="8" w:color="24356E"/>
            </w:tcBorders>
          </w:tcPr>
          <w:p>
            <w:pPr>
              <w:spacing w:after="0"/>
              <w:rPr>
                <w:sz w:val="7"/>
                <w:szCs w:val="7"/>
                <w:color w:val="auto"/>
              </w:rPr>
            </w:pPr>
          </w:p>
        </w:tc>
        <w:tc>
          <w:tcPr>
            <w:tcW w:w="920" w:type="dxa"/>
            <w:vAlign w:val="bottom"/>
            <w:tcBorders>
              <w:bottom w:val="single" w:sz="8" w:color="24356E"/>
            </w:tcBorders>
          </w:tcPr>
          <w:p>
            <w:pPr>
              <w:spacing w:after="0"/>
              <w:rPr>
                <w:sz w:val="7"/>
                <w:szCs w:val="7"/>
                <w:color w:val="auto"/>
              </w:rPr>
            </w:pPr>
          </w:p>
        </w:tc>
        <w:tc>
          <w:tcPr>
            <w:tcW w:w="860" w:type="dxa"/>
            <w:vAlign w:val="bottom"/>
            <w:tcBorders>
              <w:bottom w:val="single" w:sz="8" w:color="24356E"/>
            </w:tcBorders>
          </w:tcPr>
          <w:p>
            <w:pPr>
              <w:spacing w:after="0"/>
              <w:rPr>
                <w:sz w:val="7"/>
                <w:szCs w:val="7"/>
                <w:color w:val="auto"/>
              </w:rPr>
            </w:pPr>
          </w:p>
        </w:tc>
        <w:tc>
          <w:tcPr>
            <w:tcW w:w="820" w:type="dxa"/>
            <w:vAlign w:val="bottom"/>
            <w:tcBorders>
              <w:bottom w:val="single" w:sz="8" w:color="24356E"/>
            </w:tcBorders>
          </w:tcPr>
          <w:p>
            <w:pPr>
              <w:spacing w:after="0"/>
              <w:rPr>
                <w:sz w:val="7"/>
                <w:szCs w:val="7"/>
                <w:color w:val="auto"/>
              </w:rPr>
            </w:pPr>
          </w:p>
        </w:tc>
        <w:tc>
          <w:tcPr>
            <w:tcW w:w="760" w:type="dxa"/>
            <w:vAlign w:val="bottom"/>
            <w:tcBorders>
              <w:bottom w:val="single" w:sz="8" w:color="24356E"/>
            </w:tcBorders>
          </w:tcPr>
          <w:p>
            <w:pPr>
              <w:spacing w:after="0"/>
              <w:rPr>
                <w:sz w:val="7"/>
                <w:szCs w:val="7"/>
                <w:color w:val="auto"/>
              </w:rPr>
            </w:pPr>
          </w:p>
        </w:tc>
        <w:tc>
          <w:tcPr>
            <w:tcW w:w="100" w:type="dxa"/>
            <w:vAlign w:val="bottom"/>
            <w:tcBorders>
              <w:bottom w:val="single" w:sz="8" w:color="24356E"/>
            </w:tcBorders>
          </w:tcPr>
          <w:p>
            <w:pPr>
              <w:spacing w:after="0"/>
              <w:rPr>
                <w:sz w:val="7"/>
                <w:szCs w:val="7"/>
                <w:color w:val="auto"/>
              </w:rPr>
            </w:pPr>
          </w:p>
        </w:tc>
        <w:tc>
          <w:tcPr>
            <w:tcW w:w="820" w:type="dxa"/>
            <w:vAlign w:val="bottom"/>
            <w:tcBorders>
              <w:bottom w:val="single" w:sz="8" w:color="24356E"/>
            </w:tcBorders>
          </w:tcPr>
          <w:p>
            <w:pPr>
              <w:spacing w:after="0"/>
              <w:rPr>
                <w:sz w:val="7"/>
                <w:szCs w:val="7"/>
                <w:color w:val="auto"/>
              </w:rPr>
            </w:pPr>
          </w:p>
        </w:tc>
        <w:tc>
          <w:tcPr>
            <w:tcW w:w="100" w:type="dxa"/>
            <w:vAlign w:val="bottom"/>
            <w:tcBorders>
              <w:bottom w:val="single" w:sz="8" w:color="24356E"/>
            </w:tcBorders>
          </w:tcPr>
          <w:p>
            <w:pPr>
              <w:spacing w:after="0"/>
              <w:rPr>
                <w:sz w:val="7"/>
                <w:szCs w:val="7"/>
                <w:color w:val="auto"/>
              </w:rPr>
            </w:pPr>
          </w:p>
        </w:tc>
        <w:tc>
          <w:tcPr>
            <w:tcW w:w="780" w:type="dxa"/>
            <w:vAlign w:val="bottom"/>
            <w:tcBorders>
              <w:bottom w:val="single" w:sz="8" w:color="24356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-968375</wp:posOffset>
            </wp:positionV>
            <wp:extent cx="59664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38" w:lineRule="exact"/>
        <w:rPr>
          <w:sz w:val="20"/>
          <w:szCs w:val="20"/>
          <w:color w:val="auto"/>
        </w:rPr>
      </w:pPr>
    </w:p>
    <w:p>
      <w:pPr>
        <w:ind w:left="360" w:right="520" w:hanging="354"/>
        <w:spacing w:after="0" w:line="264" w:lineRule="auto"/>
        <w:tabs>
          <w:tab w:leader="none" w:pos="360"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color w:val="auto"/>
        </w:rPr>
        <w:t>The dollar amounts reported in columns (b) and (d) represent the amount of total compensation reported for Dr. Egholm (our current PEO) and Mr. Linthwaite (our former PEO) for each corresponding year in the “Total” column of the Summary Compensation Table. Refer to “Summary Compensation Table” above. Dr. Egholm became our CEO in April 2022. Mr. Linthwaite was our CEO in 2021 until his termination in April 2022.</w:t>
      </w:r>
    </w:p>
    <w:p>
      <w:pPr>
        <w:spacing w:after="0" w:line="17" w:lineRule="exact"/>
        <w:rPr>
          <w:rFonts w:ascii="Arial" w:cs="Arial" w:eastAsia="Arial" w:hAnsi="Arial"/>
          <w:sz w:val="12"/>
          <w:szCs w:val="12"/>
          <w:b w:val="1"/>
          <w:bCs w:val="1"/>
          <w:color w:val="auto"/>
        </w:rPr>
      </w:pPr>
    </w:p>
    <w:p>
      <w:pPr>
        <w:ind w:left="360" w:right="80" w:hanging="354"/>
        <w:spacing w:after="0" w:line="231" w:lineRule="auto"/>
        <w:tabs>
          <w:tab w:leader="none" w:pos="36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The dollar amounts reported in columns (c), (e) and (g) represent the compensation actually paid to our current PEO, our former PEO and the average compensation paid to our Non-PEO NEOs in each listed year. The compensation actually paid does not mean our PEOs and Non-PEO NEOs earned or were actually paid those amounts in the listed year. In accordance with the requirements of Item 402(v) of Regulation S-K, the adjustments shown in the table below were made to determine the compensation actually paid in the most 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59664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90"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102870</wp:posOffset>
            </wp:positionV>
            <wp:extent cx="8890" cy="274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102870</wp:posOffset>
            </wp:positionV>
            <wp:extent cx="8890" cy="274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2040" w:type="dxa"/>
            <w:vAlign w:val="bottom"/>
          </w:tcPr>
          <w:p>
            <w:pPr>
              <w:spacing w:after="0"/>
              <w:rPr>
                <w:sz w:val="24"/>
                <w:szCs w:val="24"/>
                <w:color w:val="auto"/>
              </w:rPr>
            </w:pPr>
          </w:p>
        </w:tc>
        <w:tc>
          <w:tcPr>
            <w:tcW w:w="120" w:type="dxa"/>
            <w:vAlign w:val="bottom"/>
            <w:shd w:val="clear" w:color="auto" w:fill="9492B1"/>
          </w:tcPr>
          <w:p>
            <w:pPr>
              <w:spacing w:after="0"/>
              <w:rPr>
                <w:sz w:val="24"/>
                <w:szCs w:val="24"/>
                <w:color w:val="auto"/>
              </w:rPr>
            </w:pPr>
          </w:p>
        </w:tc>
        <w:tc>
          <w:tcPr>
            <w:tcW w:w="720" w:type="dxa"/>
            <w:vAlign w:val="bottom"/>
            <w:shd w:val="clear" w:color="auto" w:fill="9492B1"/>
          </w:tcPr>
          <w:p>
            <w:pPr>
              <w:spacing w:after="0"/>
              <w:rPr>
                <w:sz w:val="24"/>
                <w:szCs w:val="24"/>
                <w:color w:val="auto"/>
              </w:rPr>
            </w:pPr>
          </w:p>
        </w:tc>
        <w:tc>
          <w:tcPr>
            <w:tcW w:w="800" w:type="dxa"/>
            <w:vAlign w:val="bottom"/>
            <w:shd w:val="clear" w:color="auto" w:fill="9492B1"/>
          </w:tcPr>
          <w:p>
            <w:pPr>
              <w:jc w:val="right"/>
              <w:spacing w:after="0"/>
              <w:rPr>
                <w:sz w:val="20"/>
                <w:szCs w:val="20"/>
                <w:color w:val="auto"/>
              </w:rPr>
            </w:pPr>
            <w:r>
              <w:rPr>
                <w:rFonts w:ascii="Arial" w:cs="Arial" w:eastAsia="Arial" w:hAnsi="Arial"/>
                <w:sz w:val="13"/>
                <w:szCs w:val="13"/>
                <w:color w:val="FFFFFF"/>
                <w:w w:val="96"/>
              </w:rPr>
              <w:t>Current PEO</w:t>
            </w:r>
          </w:p>
        </w:tc>
        <w:tc>
          <w:tcPr>
            <w:tcW w:w="820" w:type="dxa"/>
            <w:vAlign w:val="bottom"/>
            <w:shd w:val="clear" w:color="auto" w:fill="9492B1"/>
          </w:tcPr>
          <w:p>
            <w:pPr>
              <w:spacing w:after="0"/>
              <w:rPr>
                <w:sz w:val="24"/>
                <w:szCs w:val="24"/>
                <w:color w:val="auto"/>
              </w:rPr>
            </w:pPr>
          </w:p>
        </w:tc>
        <w:tc>
          <w:tcPr>
            <w:tcW w:w="1640" w:type="dxa"/>
            <w:vAlign w:val="bottom"/>
            <w:gridSpan w:val="2"/>
            <w:shd w:val="clear" w:color="auto" w:fill="9492B1"/>
          </w:tcPr>
          <w:p>
            <w:pPr>
              <w:jc w:val="right"/>
              <w:ind w:right="417"/>
              <w:spacing w:after="0"/>
              <w:rPr>
                <w:sz w:val="20"/>
                <w:szCs w:val="20"/>
                <w:color w:val="auto"/>
              </w:rPr>
            </w:pPr>
            <w:r>
              <w:rPr>
                <w:rFonts w:ascii="Arial" w:cs="Arial" w:eastAsia="Arial" w:hAnsi="Arial"/>
                <w:sz w:val="13"/>
                <w:szCs w:val="13"/>
                <w:color w:val="FFFFFF"/>
              </w:rPr>
              <w:t>Former PEO</w:t>
            </w:r>
          </w:p>
        </w:tc>
        <w:tc>
          <w:tcPr>
            <w:tcW w:w="760" w:type="dxa"/>
            <w:vAlign w:val="bottom"/>
            <w:shd w:val="clear" w:color="auto" w:fill="9492B1"/>
          </w:tcPr>
          <w:p>
            <w:pPr>
              <w:spacing w:after="0"/>
              <w:rPr>
                <w:sz w:val="24"/>
                <w:szCs w:val="24"/>
                <w:color w:val="auto"/>
              </w:rPr>
            </w:pPr>
          </w:p>
        </w:tc>
        <w:tc>
          <w:tcPr>
            <w:tcW w:w="1580" w:type="dxa"/>
            <w:vAlign w:val="bottom"/>
            <w:gridSpan w:val="2"/>
            <w:shd w:val="clear" w:color="auto" w:fill="9492B1"/>
          </w:tcPr>
          <w:p>
            <w:pPr>
              <w:jc w:val="right"/>
              <w:spacing w:after="0"/>
              <w:rPr>
                <w:sz w:val="20"/>
                <w:szCs w:val="20"/>
                <w:color w:val="auto"/>
              </w:rPr>
            </w:pPr>
            <w:r>
              <w:rPr>
                <w:rFonts w:ascii="Arial" w:cs="Arial" w:eastAsia="Arial" w:hAnsi="Arial"/>
                <w:sz w:val="13"/>
                <w:szCs w:val="13"/>
                <w:color w:val="FFFFFF"/>
              </w:rPr>
              <w:t>Average Non-PEO NEOs</w:t>
            </w:r>
          </w:p>
        </w:tc>
        <w:tc>
          <w:tcPr>
            <w:tcW w:w="920" w:type="dxa"/>
            <w:vAlign w:val="bottom"/>
            <w:shd w:val="clear" w:color="auto" w:fill="9492B1"/>
          </w:tcPr>
          <w:p>
            <w:pPr>
              <w:spacing w:after="0"/>
              <w:rPr>
                <w:sz w:val="24"/>
                <w:szCs w:val="24"/>
                <w:color w:val="auto"/>
              </w:rPr>
            </w:pPr>
          </w:p>
        </w:tc>
      </w:tr>
      <w:tr>
        <w:trPr>
          <w:trHeight w:val="108"/>
        </w:trPr>
        <w:tc>
          <w:tcPr>
            <w:tcW w:w="2040" w:type="dxa"/>
            <w:vAlign w:val="bottom"/>
          </w:tcPr>
          <w:p>
            <w:pPr>
              <w:spacing w:after="0"/>
              <w:rPr>
                <w:sz w:val="9"/>
                <w:szCs w:val="9"/>
                <w:color w:val="auto"/>
              </w:rPr>
            </w:pPr>
          </w:p>
        </w:tc>
        <w:tc>
          <w:tcPr>
            <w:tcW w:w="120" w:type="dxa"/>
            <w:vAlign w:val="bottom"/>
            <w:shd w:val="clear" w:color="auto" w:fill="9492B1"/>
          </w:tcPr>
          <w:p>
            <w:pPr>
              <w:spacing w:after="0"/>
              <w:rPr>
                <w:sz w:val="9"/>
                <w:szCs w:val="9"/>
                <w:color w:val="auto"/>
              </w:rPr>
            </w:pPr>
          </w:p>
        </w:tc>
        <w:tc>
          <w:tcPr>
            <w:tcW w:w="720" w:type="dxa"/>
            <w:vAlign w:val="bottom"/>
            <w:shd w:val="clear" w:color="auto" w:fill="9492B1"/>
          </w:tcPr>
          <w:p>
            <w:pPr>
              <w:spacing w:after="0"/>
              <w:rPr>
                <w:sz w:val="9"/>
                <w:szCs w:val="9"/>
                <w:color w:val="auto"/>
              </w:rPr>
            </w:pPr>
          </w:p>
        </w:tc>
        <w:tc>
          <w:tcPr>
            <w:tcW w:w="800" w:type="dxa"/>
            <w:vAlign w:val="bottom"/>
            <w:shd w:val="clear" w:color="auto" w:fill="9492B1"/>
          </w:tcPr>
          <w:p>
            <w:pPr>
              <w:spacing w:after="0"/>
              <w:rPr>
                <w:sz w:val="9"/>
                <w:szCs w:val="9"/>
                <w:color w:val="auto"/>
              </w:rPr>
            </w:pPr>
          </w:p>
        </w:tc>
        <w:tc>
          <w:tcPr>
            <w:tcW w:w="820" w:type="dxa"/>
            <w:vAlign w:val="bottom"/>
            <w:shd w:val="clear" w:color="auto" w:fill="9492B1"/>
          </w:tcPr>
          <w:p>
            <w:pPr>
              <w:spacing w:after="0"/>
              <w:rPr>
                <w:sz w:val="9"/>
                <w:szCs w:val="9"/>
                <w:color w:val="auto"/>
              </w:rPr>
            </w:pPr>
          </w:p>
        </w:tc>
        <w:tc>
          <w:tcPr>
            <w:tcW w:w="800" w:type="dxa"/>
            <w:vAlign w:val="bottom"/>
            <w:shd w:val="clear" w:color="auto" w:fill="9492B1"/>
          </w:tcPr>
          <w:p>
            <w:pPr>
              <w:spacing w:after="0"/>
              <w:rPr>
                <w:sz w:val="9"/>
                <w:szCs w:val="9"/>
                <w:color w:val="auto"/>
              </w:rPr>
            </w:pPr>
          </w:p>
        </w:tc>
        <w:tc>
          <w:tcPr>
            <w:tcW w:w="840" w:type="dxa"/>
            <w:vAlign w:val="bottom"/>
            <w:shd w:val="clear" w:color="auto" w:fill="9492B1"/>
          </w:tcPr>
          <w:p>
            <w:pPr>
              <w:spacing w:after="0"/>
              <w:rPr>
                <w:sz w:val="9"/>
                <w:szCs w:val="9"/>
                <w:color w:val="auto"/>
              </w:rPr>
            </w:pPr>
          </w:p>
        </w:tc>
        <w:tc>
          <w:tcPr>
            <w:tcW w:w="760" w:type="dxa"/>
            <w:vAlign w:val="bottom"/>
            <w:shd w:val="clear" w:color="auto" w:fill="9492B1"/>
          </w:tcPr>
          <w:p>
            <w:pPr>
              <w:spacing w:after="0"/>
              <w:rPr>
                <w:sz w:val="9"/>
                <w:szCs w:val="9"/>
                <w:color w:val="auto"/>
              </w:rPr>
            </w:pPr>
          </w:p>
        </w:tc>
        <w:tc>
          <w:tcPr>
            <w:tcW w:w="820" w:type="dxa"/>
            <w:vAlign w:val="bottom"/>
            <w:shd w:val="clear" w:color="auto" w:fill="9492B1"/>
          </w:tcPr>
          <w:p>
            <w:pPr>
              <w:spacing w:after="0"/>
              <w:rPr>
                <w:sz w:val="9"/>
                <w:szCs w:val="9"/>
                <w:color w:val="auto"/>
              </w:rPr>
            </w:pPr>
          </w:p>
        </w:tc>
        <w:tc>
          <w:tcPr>
            <w:tcW w:w="760" w:type="dxa"/>
            <w:vAlign w:val="bottom"/>
            <w:shd w:val="clear" w:color="auto" w:fill="9492B1"/>
          </w:tcPr>
          <w:p>
            <w:pPr>
              <w:spacing w:after="0"/>
              <w:rPr>
                <w:sz w:val="9"/>
                <w:szCs w:val="9"/>
                <w:color w:val="auto"/>
              </w:rPr>
            </w:pPr>
          </w:p>
        </w:tc>
        <w:tc>
          <w:tcPr>
            <w:tcW w:w="920" w:type="dxa"/>
            <w:vAlign w:val="bottom"/>
            <w:shd w:val="clear" w:color="auto" w:fill="9492B1"/>
          </w:tcPr>
          <w:p>
            <w:pPr>
              <w:spacing w:after="0"/>
              <w:rPr>
                <w:sz w:val="9"/>
                <w:szCs w:val="9"/>
                <w:color w:val="auto"/>
              </w:rPr>
            </w:pPr>
          </w:p>
        </w:tc>
      </w:tr>
      <w:tr>
        <w:trPr>
          <w:trHeight w:val="256"/>
        </w:trPr>
        <w:tc>
          <w:tcPr>
            <w:tcW w:w="2040" w:type="dxa"/>
            <w:vAlign w:val="bottom"/>
            <w:shd w:val="clear" w:color="auto" w:fill="24356E"/>
          </w:tcPr>
          <w:p>
            <w:pPr>
              <w:spacing w:after="0"/>
              <w:rPr>
                <w:sz w:val="22"/>
                <w:szCs w:val="22"/>
                <w:color w:val="auto"/>
              </w:rPr>
            </w:pPr>
          </w:p>
        </w:tc>
        <w:tc>
          <w:tcPr>
            <w:tcW w:w="120" w:type="dxa"/>
            <w:vAlign w:val="bottom"/>
            <w:shd w:val="clear" w:color="auto" w:fill="24356E"/>
          </w:tcPr>
          <w:p>
            <w:pPr>
              <w:spacing w:after="0"/>
              <w:rPr>
                <w:sz w:val="22"/>
                <w:szCs w:val="22"/>
                <w:color w:val="auto"/>
              </w:rPr>
            </w:pPr>
          </w:p>
        </w:tc>
        <w:tc>
          <w:tcPr>
            <w:tcW w:w="720" w:type="dxa"/>
            <w:vAlign w:val="bottom"/>
            <w:shd w:val="clear" w:color="auto" w:fill="24356E"/>
          </w:tcPr>
          <w:p>
            <w:pPr>
              <w:jc w:val="right"/>
              <w:spacing w:after="0"/>
              <w:rPr>
                <w:sz w:val="20"/>
                <w:szCs w:val="20"/>
                <w:color w:val="auto"/>
              </w:rPr>
            </w:pPr>
            <w:r>
              <w:rPr>
                <w:rFonts w:ascii="Arial" w:cs="Arial" w:eastAsia="Arial" w:hAnsi="Arial"/>
                <w:sz w:val="13"/>
                <w:szCs w:val="13"/>
                <w:color w:val="FFFFFF"/>
              </w:rPr>
              <w:t>2022</w:t>
            </w:r>
          </w:p>
        </w:tc>
        <w:tc>
          <w:tcPr>
            <w:tcW w:w="800" w:type="dxa"/>
            <w:vAlign w:val="bottom"/>
            <w:shd w:val="clear" w:color="auto" w:fill="24356E"/>
          </w:tcPr>
          <w:p>
            <w:pPr>
              <w:jc w:val="right"/>
              <w:spacing w:after="0"/>
              <w:rPr>
                <w:sz w:val="20"/>
                <w:szCs w:val="20"/>
                <w:color w:val="auto"/>
              </w:rPr>
            </w:pPr>
            <w:r>
              <w:rPr>
                <w:rFonts w:ascii="Arial" w:cs="Arial" w:eastAsia="Arial" w:hAnsi="Arial"/>
                <w:sz w:val="13"/>
                <w:szCs w:val="13"/>
                <w:color w:val="FFFFFF"/>
              </w:rPr>
              <w:t>2023</w:t>
            </w:r>
          </w:p>
        </w:tc>
        <w:tc>
          <w:tcPr>
            <w:tcW w:w="820" w:type="dxa"/>
            <w:vAlign w:val="bottom"/>
            <w:shd w:val="clear" w:color="auto" w:fill="24356E"/>
          </w:tcPr>
          <w:p>
            <w:pPr>
              <w:jc w:val="right"/>
              <w:spacing w:after="0"/>
              <w:rPr>
                <w:sz w:val="20"/>
                <w:szCs w:val="20"/>
                <w:color w:val="auto"/>
              </w:rPr>
            </w:pPr>
            <w:r>
              <w:rPr>
                <w:rFonts w:ascii="Arial" w:cs="Arial" w:eastAsia="Arial" w:hAnsi="Arial"/>
                <w:sz w:val="13"/>
                <w:szCs w:val="13"/>
                <w:color w:val="FFFFFF"/>
              </w:rPr>
              <w:t>2024</w:t>
            </w:r>
          </w:p>
        </w:tc>
        <w:tc>
          <w:tcPr>
            <w:tcW w:w="800" w:type="dxa"/>
            <w:vAlign w:val="bottom"/>
            <w:shd w:val="clear" w:color="auto" w:fill="24356E"/>
          </w:tcPr>
          <w:p>
            <w:pPr>
              <w:jc w:val="right"/>
              <w:spacing w:after="0"/>
              <w:rPr>
                <w:sz w:val="20"/>
                <w:szCs w:val="20"/>
                <w:color w:val="auto"/>
              </w:rPr>
            </w:pPr>
            <w:r>
              <w:rPr>
                <w:rFonts w:ascii="Arial" w:cs="Arial" w:eastAsia="Arial" w:hAnsi="Arial"/>
                <w:sz w:val="13"/>
                <w:szCs w:val="13"/>
                <w:color w:val="FFFFFF"/>
              </w:rPr>
              <w:t>2021</w:t>
            </w:r>
          </w:p>
        </w:tc>
        <w:tc>
          <w:tcPr>
            <w:tcW w:w="840" w:type="dxa"/>
            <w:vAlign w:val="bottom"/>
            <w:shd w:val="clear" w:color="auto" w:fill="24356E"/>
          </w:tcPr>
          <w:p>
            <w:pPr>
              <w:jc w:val="right"/>
              <w:spacing w:after="0"/>
              <w:rPr>
                <w:sz w:val="20"/>
                <w:szCs w:val="20"/>
                <w:color w:val="auto"/>
              </w:rPr>
            </w:pPr>
            <w:r>
              <w:rPr>
                <w:rFonts w:ascii="Arial" w:cs="Arial" w:eastAsia="Arial" w:hAnsi="Arial"/>
                <w:sz w:val="13"/>
                <w:szCs w:val="13"/>
                <w:color w:val="FFFFFF"/>
              </w:rPr>
              <w:t>2022</w:t>
            </w:r>
          </w:p>
        </w:tc>
        <w:tc>
          <w:tcPr>
            <w:tcW w:w="760" w:type="dxa"/>
            <w:vAlign w:val="bottom"/>
            <w:shd w:val="clear" w:color="auto" w:fill="24356E"/>
          </w:tcPr>
          <w:p>
            <w:pPr>
              <w:jc w:val="right"/>
              <w:spacing w:after="0"/>
              <w:rPr>
                <w:sz w:val="20"/>
                <w:szCs w:val="20"/>
                <w:color w:val="auto"/>
              </w:rPr>
            </w:pPr>
            <w:r>
              <w:rPr>
                <w:rFonts w:ascii="Arial" w:cs="Arial" w:eastAsia="Arial" w:hAnsi="Arial"/>
                <w:sz w:val="13"/>
                <w:szCs w:val="13"/>
                <w:color w:val="FFFFFF"/>
              </w:rPr>
              <w:t>2021</w:t>
            </w:r>
          </w:p>
        </w:tc>
        <w:tc>
          <w:tcPr>
            <w:tcW w:w="820" w:type="dxa"/>
            <w:vAlign w:val="bottom"/>
            <w:shd w:val="clear" w:color="auto" w:fill="24356E"/>
          </w:tcPr>
          <w:p>
            <w:pPr>
              <w:jc w:val="right"/>
              <w:spacing w:after="0"/>
              <w:rPr>
                <w:sz w:val="20"/>
                <w:szCs w:val="20"/>
                <w:color w:val="auto"/>
              </w:rPr>
            </w:pPr>
            <w:r>
              <w:rPr>
                <w:rFonts w:ascii="Arial" w:cs="Arial" w:eastAsia="Arial" w:hAnsi="Arial"/>
                <w:sz w:val="13"/>
                <w:szCs w:val="13"/>
                <w:color w:val="FFFFFF"/>
              </w:rPr>
              <w:t>2022</w:t>
            </w:r>
          </w:p>
        </w:tc>
        <w:tc>
          <w:tcPr>
            <w:tcW w:w="760" w:type="dxa"/>
            <w:vAlign w:val="bottom"/>
            <w:shd w:val="clear" w:color="auto" w:fill="24356E"/>
          </w:tcPr>
          <w:p>
            <w:pPr>
              <w:jc w:val="right"/>
              <w:spacing w:after="0"/>
              <w:rPr>
                <w:sz w:val="20"/>
                <w:szCs w:val="20"/>
                <w:color w:val="auto"/>
              </w:rPr>
            </w:pPr>
            <w:r>
              <w:rPr>
                <w:rFonts w:ascii="Arial" w:cs="Arial" w:eastAsia="Arial" w:hAnsi="Arial"/>
                <w:sz w:val="13"/>
                <w:szCs w:val="13"/>
                <w:color w:val="FFFFFF"/>
              </w:rPr>
              <w:t>2023</w:t>
            </w:r>
          </w:p>
        </w:tc>
        <w:tc>
          <w:tcPr>
            <w:tcW w:w="920" w:type="dxa"/>
            <w:vAlign w:val="bottom"/>
            <w:shd w:val="clear" w:color="auto" w:fill="24356E"/>
          </w:tcPr>
          <w:p>
            <w:pPr>
              <w:jc w:val="right"/>
              <w:ind w:right="77"/>
              <w:spacing w:after="0"/>
              <w:rPr>
                <w:sz w:val="20"/>
                <w:szCs w:val="20"/>
                <w:color w:val="auto"/>
              </w:rPr>
            </w:pPr>
            <w:r>
              <w:rPr>
                <w:rFonts w:ascii="Arial" w:cs="Arial" w:eastAsia="Arial" w:hAnsi="Arial"/>
                <w:sz w:val="13"/>
                <w:szCs w:val="13"/>
                <w:color w:val="FFFFFF"/>
              </w:rPr>
              <w:t>2024</w:t>
            </w:r>
          </w:p>
        </w:tc>
      </w:tr>
      <w:tr>
        <w:trPr>
          <w:trHeight w:val="108"/>
        </w:trPr>
        <w:tc>
          <w:tcPr>
            <w:tcW w:w="2040" w:type="dxa"/>
            <w:vAlign w:val="bottom"/>
            <w:shd w:val="clear" w:color="auto" w:fill="24356E"/>
          </w:tcPr>
          <w:p>
            <w:pPr>
              <w:spacing w:after="0"/>
              <w:rPr>
                <w:sz w:val="9"/>
                <w:szCs w:val="9"/>
                <w:color w:val="auto"/>
              </w:rPr>
            </w:pPr>
          </w:p>
        </w:tc>
        <w:tc>
          <w:tcPr>
            <w:tcW w:w="120" w:type="dxa"/>
            <w:vAlign w:val="bottom"/>
            <w:shd w:val="clear" w:color="auto" w:fill="24356E"/>
          </w:tcPr>
          <w:p>
            <w:pPr>
              <w:spacing w:after="0"/>
              <w:rPr>
                <w:sz w:val="9"/>
                <w:szCs w:val="9"/>
                <w:color w:val="auto"/>
              </w:rPr>
            </w:pPr>
          </w:p>
        </w:tc>
        <w:tc>
          <w:tcPr>
            <w:tcW w:w="720" w:type="dxa"/>
            <w:vAlign w:val="bottom"/>
            <w:shd w:val="clear" w:color="auto" w:fill="24356E"/>
          </w:tcPr>
          <w:p>
            <w:pPr>
              <w:spacing w:after="0"/>
              <w:rPr>
                <w:sz w:val="9"/>
                <w:szCs w:val="9"/>
                <w:color w:val="auto"/>
              </w:rPr>
            </w:pPr>
          </w:p>
        </w:tc>
        <w:tc>
          <w:tcPr>
            <w:tcW w:w="800" w:type="dxa"/>
            <w:vAlign w:val="bottom"/>
            <w:shd w:val="clear" w:color="auto" w:fill="24356E"/>
          </w:tcPr>
          <w:p>
            <w:pPr>
              <w:spacing w:after="0"/>
              <w:rPr>
                <w:sz w:val="9"/>
                <w:szCs w:val="9"/>
                <w:color w:val="auto"/>
              </w:rPr>
            </w:pPr>
          </w:p>
        </w:tc>
        <w:tc>
          <w:tcPr>
            <w:tcW w:w="820" w:type="dxa"/>
            <w:vAlign w:val="bottom"/>
            <w:shd w:val="clear" w:color="auto" w:fill="24356E"/>
          </w:tcPr>
          <w:p>
            <w:pPr>
              <w:spacing w:after="0"/>
              <w:rPr>
                <w:sz w:val="9"/>
                <w:szCs w:val="9"/>
                <w:color w:val="auto"/>
              </w:rPr>
            </w:pPr>
          </w:p>
        </w:tc>
        <w:tc>
          <w:tcPr>
            <w:tcW w:w="800" w:type="dxa"/>
            <w:vAlign w:val="bottom"/>
            <w:shd w:val="clear" w:color="auto" w:fill="24356E"/>
          </w:tcPr>
          <w:p>
            <w:pPr>
              <w:spacing w:after="0"/>
              <w:rPr>
                <w:sz w:val="9"/>
                <w:szCs w:val="9"/>
                <w:color w:val="auto"/>
              </w:rPr>
            </w:pPr>
          </w:p>
        </w:tc>
        <w:tc>
          <w:tcPr>
            <w:tcW w:w="840" w:type="dxa"/>
            <w:vAlign w:val="bottom"/>
            <w:shd w:val="clear" w:color="auto" w:fill="24356E"/>
          </w:tcPr>
          <w:p>
            <w:pPr>
              <w:spacing w:after="0"/>
              <w:rPr>
                <w:sz w:val="9"/>
                <w:szCs w:val="9"/>
                <w:color w:val="auto"/>
              </w:rPr>
            </w:pPr>
          </w:p>
        </w:tc>
        <w:tc>
          <w:tcPr>
            <w:tcW w:w="760" w:type="dxa"/>
            <w:vAlign w:val="bottom"/>
            <w:shd w:val="clear" w:color="auto" w:fill="24356E"/>
          </w:tcPr>
          <w:p>
            <w:pPr>
              <w:spacing w:after="0"/>
              <w:rPr>
                <w:sz w:val="9"/>
                <w:szCs w:val="9"/>
                <w:color w:val="auto"/>
              </w:rPr>
            </w:pPr>
          </w:p>
        </w:tc>
        <w:tc>
          <w:tcPr>
            <w:tcW w:w="820" w:type="dxa"/>
            <w:vAlign w:val="bottom"/>
            <w:shd w:val="clear" w:color="auto" w:fill="24356E"/>
          </w:tcPr>
          <w:p>
            <w:pPr>
              <w:spacing w:after="0"/>
              <w:rPr>
                <w:sz w:val="9"/>
                <w:szCs w:val="9"/>
                <w:color w:val="auto"/>
              </w:rPr>
            </w:pPr>
          </w:p>
        </w:tc>
        <w:tc>
          <w:tcPr>
            <w:tcW w:w="760" w:type="dxa"/>
            <w:vAlign w:val="bottom"/>
            <w:shd w:val="clear" w:color="auto" w:fill="24356E"/>
          </w:tcPr>
          <w:p>
            <w:pPr>
              <w:spacing w:after="0"/>
              <w:rPr>
                <w:sz w:val="9"/>
                <w:szCs w:val="9"/>
                <w:color w:val="auto"/>
              </w:rPr>
            </w:pPr>
          </w:p>
        </w:tc>
        <w:tc>
          <w:tcPr>
            <w:tcW w:w="920" w:type="dxa"/>
            <w:vAlign w:val="bottom"/>
            <w:shd w:val="clear" w:color="auto" w:fill="24356E"/>
          </w:tcPr>
          <w:p>
            <w:pPr>
              <w:spacing w:after="0"/>
              <w:rPr>
                <w:sz w:val="9"/>
                <w:szCs w:val="9"/>
                <w:color w:val="auto"/>
              </w:rPr>
            </w:pPr>
          </w:p>
        </w:tc>
      </w:tr>
      <w:tr>
        <w:trPr>
          <w:trHeight w:val="225"/>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Summary compensation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2"/>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table total</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w w:val="95"/>
              </w:rPr>
              <w:t>15,895,848</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$1,931,088</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w w:val="98"/>
              </w:rPr>
              <w:t>$ 8,337,044</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w w:val="98"/>
              </w:rPr>
              <w:t>$ 3,311,662</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w w:val="98"/>
              </w:rPr>
              <w:t>$ 1,638,601</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w w:val="98"/>
              </w:rPr>
              <w:t>$2,153,461</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w w:val="98"/>
              </w:rPr>
              <w:t>$ 3,630,555</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w w:val="98"/>
              </w:rPr>
              <w:t>$1,226,547</w:t>
            </w:r>
          </w:p>
        </w:tc>
        <w:tc>
          <w:tcPr>
            <w:tcW w:w="920" w:type="dxa"/>
            <w:vAlign w:val="bottom"/>
          </w:tcPr>
          <w:p>
            <w:pPr>
              <w:jc w:val="right"/>
              <w:ind w:right="157"/>
              <w:spacing w:after="0"/>
              <w:rPr>
                <w:sz w:val="20"/>
                <w:szCs w:val="20"/>
                <w:color w:val="auto"/>
              </w:rPr>
            </w:pPr>
            <w:r>
              <w:rPr>
                <w:rFonts w:ascii="Arial" w:cs="Arial" w:eastAsia="Arial" w:hAnsi="Arial"/>
                <w:sz w:val="13"/>
                <w:szCs w:val="13"/>
                <w:color w:val="auto"/>
                <w:w w:val="98"/>
              </w:rPr>
              <w:t>$ 2,719,381</w:t>
            </w:r>
          </w:p>
        </w:tc>
      </w:tr>
      <w:tr>
        <w:trPr>
          <w:trHeight w:val="89"/>
        </w:trPr>
        <w:tc>
          <w:tcPr>
            <w:tcW w:w="2040" w:type="dxa"/>
            <w:vAlign w:val="bottom"/>
            <w:tcBorders>
              <w:bottom w:val="single" w:sz="8" w:color="666666"/>
            </w:tcBorders>
          </w:tcPr>
          <w:p>
            <w:pPr>
              <w:spacing w:after="0"/>
              <w:rPr>
                <w:sz w:val="7"/>
                <w:szCs w:val="7"/>
                <w:color w:val="auto"/>
              </w:rPr>
            </w:pPr>
          </w:p>
        </w:tc>
        <w:tc>
          <w:tcPr>
            <w:tcW w:w="1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r>
      <w:tr>
        <w:trPr>
          <w:trHeight w:val="219"/>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w w:val="98"/>
              </w:rPr>
              <w:t>Subtract grant date fair value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of option and stock awards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2"/>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granted in fiscal year</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(15,379,859)</w:t>
            </w:r>
          </w:p>
        </w:tc>
        <w:tc>
          <w:tcPr>
            <w:tcW w:w="800" w:type="dxa"/>
            <w:vAlign w:val="bottom"/>
          </w:tcPr>
          <w:p>
            <w:pPr>
              <w:jc w:val="right"/>
              <w:spacing w:after="0"/>
              <w:rPr>
                <w:sz w:val="20"/>
                <w:szCs w:val="20"/>
                <w:color w:val="auto"/>
              </w:rPr>
            </w:pPr>
            <w:r>
              <w:rPr>
                <w:rFonts w:ascii="Arial" w:cs="Arial" w:eastAsia="Arial" w:hAnsi="Arial"/>
                <w:sz w:val="13"/>
                <w:szCs w:val="13"/>
                <w:color w:val="auto"/>
              </w:rPr>
              <w:t>(560,421)</w:t>
            </w:r>
          </w:p>
        </w:tc>
        <w:tc>
          <w:tcPr>
            <w:tcW w:w="820" w:type="dxa"/>
            <w:vAlign w:val="bottom"/>
          </w:tcPr>
          <w:p>
            <w:pPr>
              <w:jc w:val="right"/>
              <w:spacing w:after="0"/>
              <w:rPr>
                <w:sz w:val="20"/>
                <w:szCs w:val="20"/>
                <w:color w:val="auto"/>
              </w:rPr>
            </w:pPr>
            <w:r>
              <w:rPr>
                <w:rFonts w:ascii="Arial" w:cs="Arial" w:eastAsia="Arial" w:hAnsi="Arial"/>
                <w:sz w:val="13"/>
                <w:szCs w:val="13"/>
                <w:color w:val="auto"/>
              </w:rPr>
              <w:t>(7,127,250)</w:t>
            </w:r>
          </w:p>
        </w:tc>
        <w:tc>
          <w:tcPr>
            <w:tcW w:w="800" w:type="dxa"/>
            <w:vAlign w:val="bottom"/>
          </w:tcPr>
          <w:p>
            <w:pPr>
              <w:jc w:val="right"/>
              <w:spacing w:after="0"/>
              <w:rPr>
                <w:sz w:val="20"/>
                <w:szCs w:val="20"/>
                <w:color w:val="auto"/>
              </w:rPr>
            </w:pPr>
            <w:r>
              <w:rPr>
                <w:rFonts w:ascii="Arial" w:cs="Arial" w:eastAsia="Arial" w:hAnsi="Arial"/>
                <w:sz w:val="13"/>
                <w:szCs w:val="13"/>
                <w:color w:val="auto"/>
              </w:rPr>
              <w:t>(2,677,147)</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(693,352)</w:t>
            </w:r>
          </w:p>
        </w:tc>
        <w:tc>
          <w:tcPr>
            <w:tcW w:w="820" w:type="dxa"/>
            <w:vAlign w:val="bottom"/>
          </w:tcPr>
          <w:p>
            <w:pPr>
              <w:jc w:val="right"/>
              <w:spacing w:after="0"/>
              <w:rPr>
                <w:sz w:val="20"/>
                <w:szCs w:val="20"/>
                <w:color w:val="auto"/>
              </w:rPr>
            </w:pPr>
            <w:r>
              <w:rPr>
                <w:rFonts w:ascii="Arial" w:cs="Arial" w:eastAsia="Arial" w:hAnsi="Arial"/>
                <w:sz w:val="13"/>
                <w:szCs w:val="13"/>
                <w:color w:val="auto"/>
              </w:rPr>
              <w:t>(3,266,402)</w:t>
            </w:r>
          </w:p>
        </w:tc>
        <w:tc>
          <w:tcPr>
            <w:tcW w:w="760" w:type="dxa"/>
            <w:vAlign w:val="bottom"/>
          </w:tcPr>
          <w:p>
            <w:pPr>
              <w:jc w:val="right"/>
              <w:spacing w:after="0"/>
              <w:rPr>
                <w:sz w:val="20"/>
                <w:szCs w:val="20"/>
                <w:color w:val="auto"/>
              </w:rPr>
            </w:pPr>
            <w:r>
              <w:rPr>
                <w:rFonts w:ascii="Arial" w:cs="Arial" w:eastAsia="Arial" w:hAnsi="Arial"/>
                <w:sz w:val="13"/>
                <w:szCs w:val="13"/>
                <w:color w:val="auto"/>
              </w:rPr>
              <w:t>(592,207)</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(2,239,583)</w:t>
            </w:r>
          </w:p>
        </w:tc>
      </w:tr>
      <w:tr>
        <w:trPr>
          <w:trHeight w:val="89"/>
        </w:trPr>
        <w:tc>
          <w:tcPr>
            <w:tcW w:w="2040" w:type="dxa"/>
            <w:vAlign w:val="bottom"/>
            <w:tcBorders>
              <w:bottom w:val="single" w:sz="8" w:color="666666"/>
            </w:tcBorders>
          </w:tcPr>
          <w:p>
            <w:pPr>
              <w:spacing w:after="0"/>
              <w:rPr>
                <w:sz w:val="7"/>
                <w:szCs w:val="7"/>
                <w:color w:val="auto"/>
              </w:rPr>
            </w:pPr>
          </w:p>
        </w:tc>
        <w:tc>
          <w:tcPr>
            <w:tcW w:w="1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r>
      <w:tr>
        <w:trPr>
          <w:trHeight w:val="219"/>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Add fair value at fiscal year-</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end of outstanding and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unvested option and stock</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2"/>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w w:val="99"/>
              </w:rPr>
              <w:t>awards granted in fiscal year</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3,764,112</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511,790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3,874,063</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2,596,880</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672,564</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964,663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614,232</w:t>
            </w: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1,527,677</w:t>
            </w:r>
          </w:p>
        </w:tc>
      </w:tr>
      <w:tr>
        <w:trPr>
          <w:trHeight w:val="89"/>
        </w:trPr>
        <w:tc>
          <w:tcPr>
            <w:tcW w:w="2040" w:type="dxa"/>
            <w:vAlign w:val="bottom"/>
            <w:tcBorders>
              <w:bottom w:val="single" w:sz="8" w:color="666666"/>
            </w:tcBorders>
          </w:tcPr>
          <w:p>
            <w:pPr>
              <w:spacing w:after="0"/>
              <w:rPr>
                <w:sz w:val="7"/>
                <w:szCs w:val="7"/>
                <w:color w:val="auto"/>
              </w:rPr>
            </w:pPr>
          </w:p>
        </w:tc>
        <w:tc>
          <w:tcPr>
            <w:tcW w:w="1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r>
      <w:tr>
        <w:trPr>
          <w:trHeight w:val="219"/>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Adjust for change in fair</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value of outstanding and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unvested option and stock</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awards granted in prior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2"/>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fiscal years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2,856,901</w:t>
            </w:r>
          </w:p>
        </w:tc>
        <w:tc>
          <w:tcPr>
            <w:tcW w:w="820" w:type="dxa"/>
            <w:vAlign w:val="bottom"/>
          </w:tcPr>
          <w:p>
            <w:pPr>
              <w:jc w:val="right"/>
              <w:spacing w:after="0"/>
              <w:rPr>
                <w:sz w:val="20"/>
                <w:szCs w:val="20"/>
                <w:color w:val="auto"/>
              </w:rPr>
            </w:pPr>
            <w:r>
              <w:rPr>
                <w:rFonts w:ascii="Arial" w:cs="Arial" w:eastAsia="Arial" w:hAnsi="Arial"/>
                <w:sz w:val="13"/>
                <w:szCs w:val="13"/>
                <w:color w:val="auto"/>
              </w:rPr>
              <w:t>(1,449,124)</w:t>
            </w:r>
          </w:p>
        </w:tc>
        <w:tc>
          <w:tcPr>
            <w:tcW w:w="800" w:type="dxa"/>
            <w:vAlign w:val="bottom"/>
          </w:tcPr>
          <w:p>
            <w:pPr>
              <w:jc w:val="right"/>
              <w:spacing w:after="0"/>
              <w:rPr>
                <w:sz w:val="20"/>
                <w:szCs w:val="20"/>
                <w:color w:val="auto"/>
              </w:rPr>
            </w:pPr>
            <w:r>
              <w:rPr>
                <w:rFonts w:ascii="Arial" w:cs="Arial" w:eastAsia="Arial" w:hAnsi="Arial"/>
                <w:sz w:val="13"/>
                <w:szCs w:val="13"/>
                <w:color w:val="auto"/>
              </w:rPr>
              <w:t>(1,029,776)</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(1,716,792)</w:t>
            </w:r>
          </w:p>
        </w:tc>
        <w:tc>
          <w:tcPr>
            <w:tcW w:w="760" w:type="dxa"/>
            <w:vAlign w:val="bottom"/>
          </w:tcPr>
          <w:p>
            <w:pPr>
              <w:jc w:val="right"/>
              <w:spacing w:after="0"/>
              <w:rPr>
                <w:sz w:val="20"/>
                <w:szCs w:val="20"/>
                <w:color w:val="auto"/>
              </w:rPr>
            </w:pPr>
            <w:r>
              <w:rPr>
                <w:rFonts w:ascii="Arial" w:cs="Arial" w:eastAsia="Arial" w:hAnsi="Arial"/>
                <w:sz w:val="13"/>
                <w:szCs w:val="13"/>
                <w:color w:val="auto"/>
              </w:rPr>
              <w:t>(327,311)</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452,051</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(517,539)</w:t>
            </w:r>
          </w:p>
        </w:tc>
      </w:tr>
      <w:tr>
        <w:trPr>
          <w:trHeight w:val="89"/>
        </w:trPr>
        <w:tc>
          <w:tcPr>
            <w:tcW w:w="2040" w:type="dxa"/>
            <w:vAlign w:val="bottom"/>
            <w:tcBorders>
              <w:bottom w:val="single" w:sz="8" w:color="666666"/>
            </w:tcBorders>
          </w:tcPr>
          <w:p>
            <w:pPr>
              <w:spacing w:after="0"/>
              <w:rPr>
                <w:sz w:val="7"/>
                <w:szCs w:val="7"/>
                <w:color w:val="auto"/>
              </w:rPr>
            </w:pPr>
          </w:p>
        </w:tc>
        <w:tc>
          <w:tcPr>
            <w:tcW w:w="1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r>
      <w:tr>
        <w:trPr>
          <w:trHeight w:val="219"/>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Add fair value at vesting of</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option and stock awards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granted in fiscal year that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2"/>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vested during fiscal year</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565,625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27,451</w:t>
            </w: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128,583</w:t>
            </w:r>
          </w:p>
        </w:tc>
      </w:tr>
      <w:tr>
        <w:trPr>
          <w:trHeight w:val="89"/>
        </w:trPr>
        <w:tc>
          <w:tcPr>
            <w:tcW w:w="2040" w:type="dxa"/>
            <w:vAlign w:val="bottom"/>
            <w:tcBorders>
              <w:bottom w:val="single" w:sz="8" w:color="666666"/>
            </w:tcBorders>
          </w:tcPr>
          <w:p>
            <w:pPr>
              <w:spacing w:after="0"/>
              <w:rPr>
                <w:sz w:val="7"/>
                <w:szCs w:val="7"/>
                <w:color w:val="auto"/>
              </w:rPr>
            </w:pPr>
          </w:p>
        </w:tc>
        <w:tc>
          <w:tcPr>
            <w:tcW w:w="1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r>
      <w:tr>
        <w:trPr>
          <w:trHeight w:val="219"/>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Adjust for change in fair</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value as of vesting date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option and stock awards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granted in prior fiscal years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for which applicable vesting</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conditions were satisfied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2"/>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during fiscal year</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1,429,351</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(366,448)</w:t>
            </w:r>
          </w:p>
        </w:tc>
        <w:tc>
          <w:tcPr>
            <w:tcW w:w="800" w:type="dxa"/>
            <w:vAlign w:val="bottom"/>
          </w:tcPr>
          <w:p>
            <w:pPr>
              <w:jc w:val="right"/>
              <w:spacing w:after="0"/>
              <w:rPr>
                <w:sz w:val="20"/>
                <w:szCs w:val="20"/>
                <w:color w:val="auto"/>
              </w:rPr>
            </w:pPr>
            <w:r>
              <w:rPr>
                <w:rFonts w:ascii="Arial" w:cs="Arial" w:eastAsia="Arial" w:hAnsi="Arial"/>
                <w:sz w:val="13"/>
                <w:szCs w:val="13"/>
                <w:color w:val="auto"/>
              </w:rPr>
              <w:t>(101,279)</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(408,250)</w:t>
            </w:r>
          </w:p>
        </w:tc>
        <w:tc>
          <w:tcPr>
            <w:tcW w:w="760" w:type="dxa"/>
            <w:vAlign w:val="bottom"/>
          </w:tcPr>
          <w:p>
            <w:pPr>
              <w:jc w:val="right"/>
              <w:spacing w:after="0"/>
              <w:rPr>
                <w:sz w:val="20"/>
                <w:szCs w:val="20"/>
                <w:color w:val="auto"/>
              </w:rPr>
            </w:pPr>
            <w:r>
              <w:rPr>
                <w:rFonts w:ascii="Arial" w:cs="Arial" w:eastAsia="Arial" w:hAnsi="Arial"/>
                <w:sz w:val="13"/>
                <w:szCs w:val="13"/>
                <w:color w:val="auto"/>
              </w:rPr>
              <w:t>(31,541)</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239,805</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(53,972)</w:t>
            </w:r>
          </w:p>
        </w:tc>
      </w:tr>
      <w:tr>
        <w:trPr>
          <w:trHeight w:val="89"/>
        </w:trPr>
        <w:tc>
          <w:tcPr>
            <w:tcW w:w="2040" w:type="dxa"/>
            <w:vAlign w:val="bottom"/>
            <w:tcBorders>
              <w:bottom w:val="single" w:sz="8" w:color="666666"/>
            </w:tcBorders>
          </w:tcPr>
          <w:p>
            <w:pPr>
              <w:spacing w:after="0"/>
              <w:rPr>
                <w:sz w:val="7"/>
                <w:szCs w:val="7"/>
                <w:color w:val="auto"/>
              </w:rPr>
            </w:pPr>
          </w:p>
        </w:tc>
        <w:tc>
          <w:tcPr>
            <w:tcW w:w="1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r>
      <w:tr>
        <w:trPr>
          <w:trHeight w:val="219"/>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Subtract fair value as of</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prior fiscal year-end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option and stock awards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granted in prior fiscal years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w w:val="99"/>
              </w:rPr>
              <w:t>that failed to meet applicable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4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vesting conditions during</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2"/>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fiscal year</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(42,991)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(2,804,621)</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(14,327)</w:t>
            </w:r>
          </w:p>
        </w:tc>
      </w:tr>
      <w:tr>
        <w:trPr>
          <w:trHeight w:val="89"/>
        </w:trPr>
        <w:tc>
          <w:tcPr>
            <w:tcW w:w="2040" w:type="dxa"/>
            <w:vAlign w:val="bottom"/>
            <w:tcBorders>
              <w:bottom w:val="single" w:sz="8" w:color="666666"/>
            </w:tcBorders>
          </w:tcPr>
          <w:p>
            <w:pPr>
              <w:spacing w:after="0"/>
              <w:rPr>
                <w:sz w:val="7"/>
                <w:szCs w:val="7"/>
                <w:color w:val="auto"/>
              </w:rPr>
            </w:pPr>
          </w:p>
        </w:tc>
        <w:tc>
          <w:tcPr>
            <w:tcW w:w="1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8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r>
      <w:tr>
        <w:trPr>
          <w:trHeight w:val="255"/>
        </w:trPr>
        <w:tc>
          <w:tcPr>
            <w:tcW w:w="2040" w:type="dxa"/>
            <w:vAlign w:val="bottom"/>
          </w:tcPr>
          <w:p>
            <w:pPr>
              <w:ind w:left="240"/>
              <w:spacing w:after="0"/>
              <w:rPr>
                <w:sz w:val="20"/>
                <w:szCs w:val="20"/>
                <w:color w:val="auto"/>
              </w:rPr>
            </w:pPr>
            <w:r>
              <w:rPr>
                <w:rFonts w:ascii="Arial" w:cs="Arial" w:eastAsia="Arial" w:hAnsi="Arial"/>
                <w:sz w:val="13"/>
                <w:szCs w:val="13"/>
                <w:b w:val="1"/>
                <w:bCs w:val="1"/>
                <w:color w:val="auto"/>
              </w:rPr>
              <w:t>Compensation actually paid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4,280,101</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$6,168,709</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w w:val="98"/>
              </w:rPr>
              <w:t>$ 3,790,919​</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w w:val="98"/>
              </w:rPr>
              <w:t>$ 2,100,340</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w w:val="95"/>
              </w:rPr>
              <w:t>($ 3,291,062)​</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w w:val="98"/>
              </w:rPr>
              <w:t>$1,773,821</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w w:val="98"/>
              </w:rPr>
              <w:t>$ 1,328,816​</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w w:val="98"/>
              </w:rPr>
              <w:t>$1,967,879</w:t>
            </w:r>
          </w:p>
        </w:tc>
        <w:tc>
          <w:tcPr>
            <w:tcW w:w="920" w:type="dxa"/>
            <w:vAlign w:val="bottom"/>
          </w:tcPr>
          <w:p>
            <w:pPr>
              <w:jc w:val="right"/>
              <w:ind w:right="157"/>
              <w:spacing w:after="0"/>
              <w:rPr>
                <w:sz w:val="20"/>
                <w:szCs w:val="20"/>
                <w:color w:val="auto"/>
              </w:rPr>
            </w:pPr>
            <w:r>
              <w:rPr>
                <w:rFonts w:ascii="Arial" w:cs="Arial" w:eastAsia="Arial" w:hAnsi="Arial"/>
                <w:sz w:val="13"/>
                <w:szCs w:val="13"/>
                <w:color w:val="auto"/>
                <w:w w:val="98"/>
              </w:rPr>
              <w:t>$ 1,550,220</w:t>
            </w:r>
          </w:p>
        </w:tc>
      </w:tr>
      <w:tr>
        <w:trPr>
          <w:trHeight w:val="89"/>
        </w:trPr>
        <w:tc>
          <w:tcPr>
            <w:tcW w:w="2040" w:type="dxa"/>
            <w:vAlign w:val="bottom"/>
            <w:tcBorders>
              <w:bottom w:val="single" w:sz="8" w:color="24356E"/>
            </w:tcBorders>
          </w:tcPr>
          <w:p>
            <w:pPr>
              <w:spacing w:after="0"/>
              <w:rPr>
                <w:sz w:val="7"/>
                <w:szCs w:val="7"/>
                <w:color w:val="auto"/>
              </w:rPr>
            </w:pPr>
          </w:p>
        </w:tc>
        <w:tc>
          <w:tcPr>
            <w:tcW w:w="120" w:type="dxa"/>
            <w:vAlign w:val="bottom"/>
            <w:tcBorders>
              <w:bottom w:val="single" w:sz="8" w:color="24356E"/>
            </w:tcBorders>
          </w:tcPr>
          <w:p>
            <w:pPr>
              <w:spacing w:after="0"/>
              <w:rPr>
                <w:sz w:val="7"/>
                <w:szCs w:val="7"/>
                <w:color w:val="auto"/>
              </w:rPr>
            </w:pPr>
          </w:p>
        </w:tc>
        <w:tc>
          <w:tcPr>
            <w:tcW w:w="720" w:type="dxa"/>
            <w:vAlign w:val="bottom"/>
            <w:tcBorders>
              <w:bottom w:val="single" w:sz="8" w:color="24356E"/>
            </w:tcBorders>
          </w:tcPr>
          <w:p>
            <w:pPr>
              <w:spacing w:after="0"/>
              <w:rPr>
                <w:sz w:val="7"/>
                <w:szCs w:val="7"/>
                <w:color w:val="auto"/>
              </w:rPr>
            </w:pPr>
          </w:p>
        </w:tc>
        <w:tc>
          <w:tcPr>
            <w:tcW w:w="800" w:type="dxa"/>
            <w:vAlign w:val="bottom"/>
            <w:tcBorders>
              <w:bottom w:val="single" w:sz="8" w:color="24356E"/>
            </w:tcBorders>
          </w:tcPr>
          <w:p>
            <w:pPr>
              <w:spacing w:after="0"/>
              <w:rPr>
                <w:sz w:val="7"/>
                <w:szCs w:val="7"/>
                <w:color w:val="auto"/>
              </w:rPr>
            </w:pPr>
          </w:p>
        </w:tc>
        <w:tc>
          <w:tcPr>
            <w:tcW w:w="820" w:type="dxa"/>
            <w:vAlign w:val="bottom"/>
            <w:tcBorders>
              <w:bottom w:val="single" w:sz="8" w:color="24356E"/>
            </w:tcBorders>
          </w:tcPr>
          <w:p>
            <w:pPr>
              <w:spacing w:after="0"/>
              <w:rPr>
                <w:sz w:val="7"/>
                <w:szCs w:val="7"/>
                <w:color w:val="auto"/>
              </w:rPr>
            </w:pPr>
          </w:p>
        </w:tc>
        <w:tc>
          <w:tcPr>
            <w:tcW w:w="800" w:type="dxa"/>
            <w:vAlign w:val="bottom"/>
            <w:tcBorders>
              <w:bottom w:val="single" w:sz="8" w:color="24356E"/>
            </w:tcBorders>
          </w:tcPr>
          <w:p>
            <w:pPr>
              <w:spacing w:after="0"/>
              <w:rPr>
                <w:sz w:val="7"/>
                <w:szCs w:val="7"/>
                <w:color w:val="auto"/>
              </w:rPr>
            </w:pPr>
          </w:p>
        </w:tc>
        <w:tc>
          <w:tcPr>
            <w:tcW w:w="840" w:type="dxa"/>
            <w:vAlign w:val="bottom"/>
            <w:tcBorders>
              <w:bottom w:val="single" w:sz="8" w:color="24356E"/>
            </w:tcBorders>
          </w:tcPr>
          <w:p>
            <w:pPr>
              <w:spacing w:after="0"/>
              <w:rPr>
                <w:sz w:val="7"/>
                <w:szCs w:val="7"/>
                <w:color w:val="auto"/>
              </w:rPr>
            </w:pPr>
          </w:p>
        </w:tc>
        <w:tc>
          <w:tcPr>
            <w:tcW w:w="760" w:type="dxa"/>
            <w:vAlign w:val="bottom"/>
            <w:tcBorders>
              <w:bottom w:val="single" w:sz="8" w:color="24356E"/>
            </w:tcBorders>
          </w:tcPr>
          <w:p>
            <w:pPr>
              <w:spacing w:after="0"/>
              <w:rPr>
                <w:sz w:val="7"/>
                <w:szCs w:val="7"/>
                <w:color w:val="auto"/>
              </w:rPr>
            </w:pPr>
          </w:p>
        </w:tc>
        <w:tc>
          <w:tcPr>
            <w:tcW w:w="820" w:type="dxa"/>
            <w:vAlign w:val="bottom"/>
            <w:tcBorders>
              <w:bottom w:val="single" w:sz="8" w:color="24356E"/>
            </w:tcBorders>
          </w:tcPr>
          <w:p>
            <w:pPr>
              <w:spacing w:after="0"/>
              <w:rPr>
                <w:sz w:val="7"/>
                <w:szCs w:val="7"/>
                <w:color w:val="auto"/>
              </w:rPr>
            </w:pPr>
          </w:p>
        </w:tc>
        <w:tc>
          <w:tcPr>
            <w:tcW w:w="760" w:type="dxa"/>
            <w:vAlign w:val="bottom"/>
            <w:tcBorders>
              <w:bottom w:val="single" w:sz="8" w:color="24356E"/>
            </w:tcBorders>
          </w:tcPr>
          <w:p>
            <w:pPr>
              <w:spacing w:after="0"/>
              <w:rPr>
                <w:sz w:val="7"/>
                <w:szCs w:val="7"/>
                <w:color w:val="auto"/>
              </w:rPr>
            </w:pPr>
          </w:p>
        </w:tc>
        <w:tc>
          <w:tcPr>
            <w:tcW w:w="920" w:type="dxa"/>
            <w:vAlign w:val="bottom"/>
            <w:tcBorders>
              <w:bottom w:val="single" w:sz="8" w:color="24356E"/>
            </w:tcBorders>
          </w:tcPr>
          <w:p>
            <w:pPr>
              <w:spacing w:after="0"/>
              <w:rPr>
                <w:sz w:val="7"/>
                <w:szCs w:val="7"/>
                <w:color w:val="auto"/>
              </w:rPr>
            </w:pPr>
          </w:p>
        </w:tc>
      </w:tr>
    </w:tbl>
    <w:p>
      <w:pPr>
        <w:spacing w:after="0" w:line="158" w:lineRule="exact"/>
        <w:rPr>
          <w:sz w:val="20"/>
          <w:szCs w:val="20"/>
          <w:color w:val="auto"/>
        </w:rPr>
      </w:pPr>
    </w:p>
    <w:p>
      <w:pPr>
        <w:ind w:left="360" w:right="120" w:hanging="354"/>
        <w:spacing w:after="0" w:line="231" w:lineRule="auto"/>
        <w:tabs>
          <w:tab w:leader="none" w:pos="36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The dollar amounts reported in column (f) represent the average of the amounts reported for the Company’s Non-PEO NEOs as a group in each applicable year. Our Non-PEO NEOs in 2024 were Alex Kim, Jeffrey Black and Sean Mackay; our Non-PEO NEOs in 2023 were Jeffrey Black, Alex Kim and Jeremy Davis; our Non-PEO NEOs in 2022 were Alex Kim and Jeremy Davis; and our Non-PEO NEOs in 2021 were Vikram Jog, Colin McCracken, Bradley Kreger and Nicholas Khadder.</w:t>
      </w:r>
    </w:p>
    <w:p>
      <w:pPr>
        <w:spacing w:after="0" w:line="31" w:lineRule="exact"/>
        <w:rPr>
          <w:rFonts w:ascii="Arial" w:cs="Arial" w:eastAsia="Arial" w:hAnsi="Arial"/>
          <w:sz w:val="13"/>
          <w:szCs w:val="13"/>
          <w:b w:val="1"/>
          <w:bCs w:val="1"/>
          <w:color w:val="auto"/>
        </w:rPr>
      </w:pPr>
    </w:p>
    <w:p>
      <w:pPr>
        <w:ind w:left="360" w:hanging="354"/>
        <w:spacing w:after="0"/>
        <w:tabs>
          <w:tab w:leader="none" w:pos="36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Cumulative Total Shareholder Return reported are calculated based on an initial fixed investment of $100 as of December 31, 2020.</w:t>
      </w:r>
    </w:p>
    <w:p>
      <w:pPr>
        <w:spacing w:after="0" w:line="66" w:lineRule="exact"/>
        <w:rPr>
          <w:rFonts w:ascii="Arial" w:cs="Arial" w:eastAsia="Arial" w:hAnsi="Arial"/>
          <w:sz w:val="13"/>
          <w:szCs w:val="13"/>
          <w:b w:val="1"/>
          <w:bCs w:val="1"/>
          <w:color w:val="auto"/>
        </w:rPr>
      </w:pPr>
    </w:p>
    <w:p>
      <w:pPr>
        <w:ind w:left="360" w:right="20" w:hanging="354"/>
        <w:spacing w:after="0" w:line="236" w:lineRule="auto"/>
        <w:tabs>
          <w:tab w:leader="none" w:pos="36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The weighted peer group TSR amounts reported in column (i) are weighted according to the respective companies’ stock market capitalization at the beginning of each period for which a return is indicated. The peer group used for this purpose consists of the NASDAQ Biotechnology Index, the same peer group used in our 2024 Annual Report.</w:t>
      </w:r>
    </w:p>
    <w:p>
      <w:pPr>
        <w:spacing w:after="0" w:line="31" w:lineRule="exact"/>
        <w:rPr>
          <w:rFonts w:ascii="Arial" w:cs="Arial" w:eastAsia="Arial" w:hAnsi="Arial"/>
          <w:sz w:val="13"/>
          <w:szCs w:val="13"/>
          <w:b w:val="1"/>
          <w:bCs w:val="1"/>
          <w:color w:val="auto"/>
        </w:rPr>
      </w:pPr>
    </w:p>
    <w:p>
      <w:pPr>
        <w:ind w:left="360" w:hanging="354"/>
        <w:spacing w:after="0"/>
        <w:tabs>
          <w:tab w:leader="none" w:pos="36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Dollar amounts reported represent the amount reflected in the Company’s audited financial statements for the applicable year.</w:t>
      </w:r>
    </w:p>
    <w:p>
      <w:pPr>
        <w:spacing w:after="0" w:line="53" w:lineRule="exact"/>
        <w:rPr>
          <w:rFonts w:ascii="Arial" w:cs="Arial" w:eastAsia="Arial" w:hAnsi="Arial"/>
          <w:sz w:val="13"/>
          <w:szCs w:val="13"/>
          <w:b w:val="1"/>
          <w:bCs w:val="1"/>
          <w:color w:val="auto"/>
        </w:rPr>
      </w:pPr>
    </w:p>
    <w:p>
      <w:pPr>
        <w:ind w:left="360" w:right="60" w:hanging="354"/>
        <w:spacing w:after="0" w:line="244" w:lineRule="auto"/>
        <w:tabs>
          <w:tab w:leader="none" w:pos="360" w:val="left"/>
        </w:tabs>
        <w:numPr>
          <w:ilvl w:val="0"/>
          <w:numId w:val="46"/>
        </w:numPr>
        <w:rPr>
          <w:rFonts w:ascii="Arial" w:cs="Arial" w:eastAsia="Arial" w:hAnsi="Arial"/>
          <w:sz w:val="12"/>
          <w:szCs w:val="12"/>
          <w:b w:val="1"/>
          <w:bCs w:val="1"/>
          <w:color w:val="auto"/>
        </w:rPr>
      </w:pPr>
      <w:r>
        <w:rPr>
          <w:rFonts w:ascii="Arial" w:cs="Arial" w:eastAsia="Arial" w:hAnsi="Arial"/>
          <w:sz w:val="12"/>
          <w:szCs w:val="12"/>
          <w:b w:val="1"/>
          <w:bCs w:val="1"/>
          <w:color w:val="auto"/>
        </w:rPr>
        <w:t>While the Company uses numerous financial and non-financial performance measures for the purpose of evaluating performance for the Company’s compensation programs, the Company has determined that total revenue is the financial performance measure that, in the Company’s assessment, represents the most important performance measure (that is not otherwise required to be disclosed in the Pay Versus Performance Table) used by the Company to link compensation actually paid to the Company’s NEOs, for the most recently completed fiscal year, to Company performance. For purposes of the above table, “Revenue” refers to the total revenue recognized by the Company in accordance with the ASC 606 under GAAP, as reported in the 2024 Annual Report. This includes all amounts earned from the transfer of promised goods or services to customers in an amount that reflects the consideration the Company expects to be entitled to in exchange for those goods or services, as determined under ASC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88"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49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Financial Performance Measures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333333"/>
        </w:rPr>
        <w:t>The most important financial performance measures used by the Company to link executive compensation actually paid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Company’s NEOs, for the most recently completed fiscal year, to the Company’s performance are as follows:</w:t>
      </w:r>
    </w:p>
    <w:p>
      <w:pPr>
        <w:spacing w:after="0" w:line="219" w:lineRule="exact"/>
        <w:rPr>
          <w:sz w:val="20"/>
          <w:szCs w:val="20"/>
          <w:color w:val="auto"/>
        </w:rPr>
      </w:pPr>
    </w:p>
    <w:p>
      <w:pPr>
        <w:ind w:left="600" w:hanging="234"/>
        <w:spacing w:after="0"/>
        <w:tabs>
          <w:tab w:leader="none" w:pos="600" w:val="left"/>
        </w:tabs>
        <w:numPr>
          <w:ilvl w:val="0"/>
          <w:numId w:val="47"/>
        </w:numPr>
        <w:rPr>
          <w:rFonts w:ascii="Arial" w:cs="Arial" w:eastAsia="Arial" w:hAnsi="Arial"/>
          <w:sz w:val="16"/>
          <w:szCs w:val="16"/>
          <w:color w:val="333333"/>
        </w:rPr>
      </w:pPr>
      <w:r>
        <w:rPr>
          <w:rFonts w:ascii="Arial" w:cs="Arial" w:eastAsia="Arial" w:hAnsi="Arial"/>
          <w:sz w:val="16"/>
          <w:szCs w:val="16"/>
          <w:color w:val="333333"/>
        </w:rPr>
        <w:t>Total revenue</w:t>
      </w:r>
    </w:p>
    <w:p>
      <w:pPr>
        <w:spacing w:after="0" w:line="234" w:lineRule="exact"/>
        <w:rPr>
          <w:rFonts w:ascii="Arial" w:cs="Arial" w:eastAsia="Arial" w:hAnsi="Arial"/>
          <w:sz w:val="16"/>
          <w:szCs w:val="16"/>
          <w:color w:val="333333"/>
        </w:rPr>
      </w:pPr>
    </w:p>
    <w:p>
      <w:pPr>
        <w:ind w:left="600" w:hanging="234"/>
        <w:spacing w:after="0"/>
        <w:tabs>
          <w:tab w:leader="none" w:pos="600" w:val="left"/>
        </w:tabs>
        <w:numPr>
          <w:ilvl w:val="0"/>
          <w:numId w:val="47"/>
        </w:numPr>
        <w:rPr>
          <w:rFonts w:ascii="Arial" w:cs="Arial" w:eastAsia="Arial" w:hAnsi="Arial"/>
          <w:sz w:val="16"/>
          <w:szCs w:val="16"/>
          <w:color w:val="333333"/>
        </w:rPr>
      </w:pPr>
      <w:r>
        <w:rPr>
          <w:rFonts w:ascii="Arial" w:cs="Arial" w:eastAsia="Arial" w:hAnsi="Arial"/>
          <w:sz w:val="16"/>
          <w:szCs w:val="16"/>
          <w:color w:val="333333"/>
        </w:rPr>
        <w:t>Cost synergies</w:t>
      </w:r>
    </w:p>
    <w:p>
      <w:pPr>
        <w:spacing w:after="0" w:line="248" w:lineRule="exact"/>
        <w:rPr>
          <w:rFonts w:ascii="Arial" w:cs="Arial" w:eastAsia="Arial" w:hAnsi="Arial"/>
          <w:sz w:val="16"/>
          <w:szCs w:val="16"/>
          <w:color w:val="333333"/>
        </w:rPr>
      </w:pPr>
    </w:p>
    <w:p>
      <w:pPr>
        <w:ind w:left="600" w:hanging="234"/>
        <w:spacing w:after="0"/>
        <w:tabs>
          <w:tab w:leader="none" w:pos="600" w:val="left"/>
        </w:tabs>
        <w:numPr>
          <w:ilvl w:val="0"/>
          <w:numId w:val="47"/>
        </w:numPr>
        <w:rPr>
          <w:rFonts w:ascii="Arial" w:cs="Arial" w:eastAsia="Arial" w:hAnsi="Arial"/>
          <w:sz w:val="16"/>
          <w:szCs w:val="16"/>
          <w:color w:val="333333"/>
        </w:rPr>
      </w:pPr>
      <w:r>
        <w:rPr>
          <w:rFonts w:ascii="Arial" w:cs="Arial" w:eastAsia="Arial" w:hAnsi="Arial"/>
          <w:sz w:val="16"/>
          <w:szCs w:val="16"/>
          <w:color w:val="333333"/>
        </w:rPr>
        <w:t>Gross margin expansion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Relationship of Compensation Actually Paid with Total Shareholder Return (“TSR”)</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6"/>
          <w:szCs w:val="16"/>
          <w:color w:val="333333"/>
        </w:rPr>
        <w:t>The following chart sets forth the relationship between Compensation Actually Paid to our current and former PEOs, the average of Compensation Actually Paid to our Non-PEO NEOs and the Company’s cumulative TSR over the four most recently completed fiscal years. The chart also compares the Company’s TSR to that of the Nasdaq Biotechnology Composite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207645</wp:posOffset>
            </wp:positionV>
            <wp:extent cx="4585970" cy="26403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8597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Relationship of Compensation Actually Paid with Net Loss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6"/>
          <w:szCs w:val="16"/>
          <w:color w:val="333333"/>
        </w:rPr>
        <w:t>The following chart sets forth the relationship between Compensation Actually Paid to our current and former PEOs, the average of Compensation Actually Paid to our Non-PEO NEOs and the Company’s net Loss over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315595</wp:posOffset>
            </wp:positionV>
            <wp:extent cx="4594860" cy="25031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9486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Relationship of Compensation Actually Paid with Total Revenue</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6"/>
          <w:szCs w:val="16"/>
          <w:color w:val="333333"/>
        </w:rPr>
        <w:t>The following chart sets forth the relationship between Compensation Actually Paid to our current and former PEOs, the average of Compensation Actually Paid to our Non-PEO NEOs and the Company’s selected financial measure of total revenue over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749300</wp:posOffset>
            </wp:positionH>
            <wp:positionV relativeFrom="paragraph">
              <wp:posOffset>194945</wp:posOffset>
            </wp:positionV>
            <wp:extent cx="4483100" cy="25031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8310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Equity Compensation Plan Information</w:t>
      </w:r>
    </w:p>
    <w:p>
      <w:pPr>
        <w:spacing w:after="0" w:line="179" w:lineRule="exact"/>
        <w:rPr>
          <w:sz w:val="20"/>
          <w:szCs w:val="20"/>
          <w:color w:val="auto"/>
        </w:rPr>
      </w:pPr>
    </w:p>
    <w:p>
      <w:pPr>
        <w:jc w:val="both"/>
        <w:ind w:right="660"/>
        <w:spacing w:after="0" w:line="266" w:lineRule="auto"/>
        <w:rPr>
          <w:sz w:val="20"/>
          <w:szCs w:val="20"/>
          <w:color w:val="auto"/>
        </w:rPr>
      </w:pPr>
      <w:r>
        <w:rPr>
          <w:rFonts w:ascii="Arial" w:cs="Arial" w:eastAsia="Arial" w:hAnsi="Arial"/>
          <w:sz w:val="16"/>
          <w:szCs w:val="16"/>
          <w:color w:val="333333"/>
        </w:rPr>
        <w:t>The following table summarizes the number of outstanding options and RSUs granted to our employees, consultants, and directors, as well as the number of shares of common stock remaining available for future issuance, under all of our equity compensation plans as of December 31, 2024.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4440" w:type="dxa"/>
            <w:vAlign w:val="bottom"/>
            <w:shd w:val="clear" w:color="auto" w:fill="24356E"/>
          </w:tcPr>
          <w:p>
            <w:pPr>
              <w:spacing w:after="0"/>
              <w:rPr>
                <w:sz w:val="24"/>
                <w:szCs w:val="24"/>
                <w:color w:val="auto"/>
              </w:rPr>
            </w:pPr>
          </w:p>
        </w:tc>
        <w:tc>
          <w:tcPr>
            <w:tcW w:w="168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Number of</w:t>
            </w:r>
          </w:p>
        </w:tc>
        <w:tc>
          <w:tcPr>
            <w:tcW w:w="1500" w:type="dxa"/>
            <w:vAlign w:val="bottom"/>
            <w:shd w:val="clear" w:color="auto" w:fill="24356E"/>
          </w:tcPr>
          <w:p>
            <w:pPr>
              <w:spacing w:after="0"/>
              <w:rPr>
                <w:sz w:val="24"/>
                <w:szCs w:val="24"/>
                <w:color w:val="auto"/>
              </w:rPr>
            </w:pPr>
          </w:p>
        </w:tc>
        <w:tc>
          <w:tcPr>
            <w:tcW w:w="960" w:type="dxa"/>
            <w:vAlign w:val="bottom"/>
            <w:shd w:val="clear" w:color="auto" w:fill="24356E"/>
          </w:tcPr>
          <w:p>
            <w:pPr>
              <w:spacing w:after="0"/>
              <w:rPr>
                <w:sz w:val="24"/>
                <w:szCs w:val="24"/>
                <w:color w:val="auto"/>
              </w:rPr>
            </w:pPr>
          </w:p>
        </w:tc>
        <w:tc>
          <w:tcPr>
            <w:tcW w:w="820" w:type="dxa"/>
            <w:vAlign w:val="bottom"/>
            <w:shd w:val="clear" w:color="auto" w:fill="24356E"/>
          </w:tcPr>
          <w:p>
            <w:pPr>
              <w:spacing w:after="0"/>
              <w:rPr>
                <w:sz w:val="24"/>
                <w:szCs w:val="24"/>
                <w:color w:val="auto"/>
              </w:rPr>
            </w:pPr>
          </w:p>
        </w:tc>
      </w:tr>
      <w:tr>
        <w:trPr>
          <w:trHeight w:val="162"/>
        </w:trPr>
        <w:tc>
          <w:tcPr>
            <w:tcW w:w="4440" w:type="dxa"/>
            <w:vAlign w:val="bottom"/>
            <w:shd w:val="clear" w:color="auto" w:fill="24356E"/>
          </w:tcPr>
          <w:p>
            <w:pPr>
              <w:spacing w:after="0"/>
              <w:rPr>
                <w:sz w:val="14"/>
                <w:szCs w:val="14"/>
                <w:color w:val="auto"/>
              </w:rPr>
            </w:pPr>
          </w:p>
        </w:tc>
        <w:tc>
          <w:tcPr>
            <w:tcW w:w="168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Securities to be</w:t>
            </w:r>
          </w:p>
        </w:tc>
        <w:tc>
          <w:tcPr>
            <w:tcW w:w="150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Weighted Average</w:t>
            </w:r>
          </w:p>
        </w:tc>
        <w:tc>
          <w:tcPr>
            <w:tcW w:w="1780" w:type="dxa"/>
            <w:vAlign w:val="bottom"/>
            <w:gridSpan w:val="2"/>
            <w:shd w:val="clear" w:color="auto" w:fill="24356E"/>
          </w:tcPr>
          <w:p>
            <w:pPr>
              <w:jc w:val="center"/>
              <w:spacing w:after="0"/>
              <w:rPr>
                <w:sz w:val="20"/>
                <w:szCs w:val="20"/>
                <w:color w:val="auto"/>
              </w:rPr>
            </w:pPr>
            <w:r>
              <w:rPr>
                <w:rFonts w:ascii="Arial" w:cs="Arial" w:eastAsia="Arial" w:hAnsi="Arial"/>
                <w:sz w:val="14"/>
                <w:szCs w:val="14"/>
                <w:color w:val="FFFFFF"/>
              </w:rPr>
              <w:t>Number of Securities</w:t>
            </w:r>
          </w:p>
        </w:tc>
      </w:tr>
      <w:tr>
        <w:trPr>
          <w:trHeight w:val="162"/>
        </w:trPr>
        <w:tc>
          <w:tcPr>
            <w:tcW w:w="4440" w:type="dxa"/>
            <w:vAlign w:val="bottom"/>
            <w:shd w:val="clear" w:color="auto" w:fill="24356E"/>
          </w:tcPr>
          <w:p>
            <w:pPr>
              <w:spacing w:after="0"/>
              <w:rPr>
                <w:sz w:val="14"/>
                <w:szCs w:val="14"/>
                <w:color w:val="auto"/>
              </w:rPr>
            </w:pPr>
          </w:p>
        </w:tc>
        <w:tc>
          <w:tcPr>
            <w:tcW w:w="168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Issued Upon Exercise</w:t>
            </w:r>
          </w:p>
        </w:tc>
        <w:tc>
          <w:tcPr>
            <w:tcW w:w="150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Exercise Price</w:t>
            </w:r>
          </w:p>
        </w:tc>
        <w:tc>
          <w:tcPr>
            <w:tcW w:w="1780" w:type="dxa"/>
            <w:vAlign w:val="bottom"/>
            <w:gridSpan w:val="2"/>
            <w:shd w:val="clear" w:color="auto" w:fill="24356E"/>
          </w:tcPr>
          <w:p>
            <w:pPr>
              <w:jc w:val="center"/>
              <w:spacing w:after="0"/>
              <w:rPr>
                <w:sz w:val="20"/>
                <w:szCs w:val="20"/>
                <w:color w:val="auto"/>
              </w:rPr>
            </w:pPr>
            <w:r>
              <w:rPr>
                <w:rFonts w:ascii="Arial" w:cs="Arial" w:eastAsia="Arial" w:hAnsi="Arial"/>
                <w:sz w:val="14"/>
                <w:szCs w:val="14"/>
                <w:color w:val="FFFFFF"/>
              </w:rPr>
              <w:t>Remaining Available for</w:t>
            </w:r>
          </w:p>
        </w:tc>
      </w:tr>
      <w:tr>
        <w:trPr>
          <w:trHeight w:val="162"/>
        </w:trPr>
        <w:tc>
          <w:tcPr>
            <w:tcW w:w="4440" w:type="dxa"/>
            <w:vAlign w:val="bottom"/>
            <w:shd w:val="clear" w:color="auto" w:fill="24356E"/>
          </w:tcPr>
          <w:p>
            <w:pPr>
              <w:spacing w:after="0"/>
              <w:rPr>
                <w:sz w:val="14"/>
                <w:szCs w:val="14"/>
                <w:color w:val="auto"/>
              </w:rPr>
            </w:pPr>
          </w:p>
        </w:tc>
        <w:tc>
          <w:tcPr>
            <w:tcW w:w="168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of Outstanding</w:t>
            </w:r>
          </w:p>
        </w:tc>
        <w:tc>
          <w:tcPr>
            <w:tcW w:w="150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of Outstanding</w:t>
            </w:r>
          </w:p>
        </w:tc>
        <w:tc>
          <w:tcPr>
            <w:tcW w:w="1780" w:type="dxa"/>
            <w:vAlign w:val="bottom"/>
            <w:gridSpan w:val="2"/>
            <w:shd w:val="clear" w:color="auto" w:fill="24356E"/>
          </w:tcPr>
          <w:p>
            <w:pPr>
              <w:jc w:val="center"/>
              <w:spacing w:after="0"/>
              <w:rPr>
                <w:sz w:val="20"/>
                <w:szCs w:val="20"/>
                <w:color w:val="auto"/>
              </w:rPr>
            </w:pPr>
            <w:r>
              <w:rPr>
                <w:rFonts w:ascii="Arial" w:cs="Arial" w:eastAsia="Arial" w:hAnsi="Arial"/>
                <w:sz w:val="14"/>
                <w:szCs w:val="14"/>
                <w:color w:val="FFFFFF"/>
              </w:rPr>
              <w:t>Future Issuance Under</w:t>
            </w:r>
          </w:p>
        </w:tc>
      </w:tr>
      <w:tr>
        <w:trPr>
          <w:trHeight w:val="162"/>
        </w:trPr>
        <w:tc>
          <w:tcPr>
            <w:tcW w:w="4440" w:type="dxa"/>
            <w:vAlign w:val="bottom"/>
            <w:shd w:val="clear" w:color="auto" w:fill="24356E"/>
          </w:tcPr>
          <w:p>
            <w:pPr>
              <w:spacing w:after="0"/>
              <w:rPr>
                <w:sz w:val="14"/>
                <w:szCs w:val="14"/>
                <w:color w:val="auto"/>
              </w:rPr>
            </w:pPr>
          </w:p>
        </w:tc>
        <w:tc>
          <w:tcPr>
            <w:tcW w:w="168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Options, Warrants</w:t>
            </w:r>
          </w:p>
        </w:tc>
        <w:tc>
          <w:tcPr>
            <w:tcW w:w="150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Options, Warrants</w:t>
            </w:r>
          </w:p>
        </w:tc>
        <w:tc>
          <w:tcPr>
            <w:tcW w:w="1780" w:type="dxa"/>
            <w:vAlign w:val="bottom"/>
            <w:gridSpan w:val="2"/>
            <w:shd w:val="clear" w:color="auto" w:fill="24356E"/>
          </w:tcPr>
          <w:p>
            <w:pPr>
              <w:jc w:val="center"/>
              <w:spacing w:after="0"/>
              <w:rPr>
                <w:sz w:val="20"/>
                <w:szCs w:val="20"/>
                <w:color w:val="auto"/>
              </w:rPr>
            </w:pPr>
            <w:r>
              <w:rPr>
                <w:rFonts w:ascii="Arial" w:cs="Arial" w:eastAsia="Arial" w:hAnsi="Arial"/>
                <w:sz w:val="14"/>
                <w:szCs w:val="14"/>
                <w:color w:val="FFFFFF"/>
              </w:rPr>
              <w:t>Equity Compensation</w:t>
            </w:r>
          </w:p>
        </w:tc>
      </w:tr>
      <w:tr>
        <w:trPr>
          <w:trHeight w:val="190"/>
        </w:trPr>
        <w:tc>
          <w:tcPr>
            <w:tcW w:w="4440" w:type="dxa"/>
            <w:vAlign w:val="bottom"/>
            <w:shd w:val="clear" w:color="auto" w:fill="24356E"/>
          </w:tcPr>
          <w:p>
            <w:pPr>
              <w:spacing w:after="0"/>
              <w:rPr>
                <w:sz w:val="16"/>
                <w:szCs w:val="16"/>
                <w:color w:val="auto"/>
              </w:rPr>
            </w:pPr>
          </w:p>
        </w:tc>
        <w:tc>
          <w:tcPr>
            <w:tcW w:w="168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and Rights</w:t>
            </w:r>
          </w:p>
        </w:tc>
        <w:tc>
          <w:tcPr>
            <w:tcW w:w="1500" w:type="dxa"/>
            <w:vAlign w:val="bottom"/>
            <w:shd w:val="clear" w:color="auto" w:fill="24356E"/>
          </w:tcPr>
          <w:p>
            <w:pPr>
              <w:jc w:val="center"/>
              <w:spacing w:after="0"/>
              <w:rPr>
                <w:sz w:val="20"/>
                <w:szCs w:val="20"/>
                <w:color w:val="auto"/>
              </w:rPr>
            </w:pPr>
            <w:r>
              <w:rPr>
                <w:rFonts w:ascii="Arial" w:cs="Arial" w:eastAsia="Arial" w:hAnsi="Arial"/>
                <w:sz w:val="14"/>
                <w:szCs w:val="14"/>
                <w:color w:val="FFFFFF"/>
              </w:rPr>
              <w:t>and Rights</w:t>
            </w:r>
          </w:p>
        </w:tc>
        <w:tc>
          <w:tcPr>
            <w:tcW w:w="1780" w:type="dxa"/>
            <w:vAlign w:val="bottom"/>
            <w:gridSpan w:val="2"/>
            <w:shd w:val="clear" w:color="auto" w:fill="24356E"/>
          </w:tcPr>
          <w:p>
            <w:pPr>
              <w:jc w:val="center"/>
              <w:spacing w:after="0"/>
              <w:rPr>
                <w:sz w:val="20"/>
                <w:szCs w:val="20"/>
                <w:color w:val="auto"/>
              </w:rPr>
            </w:pPr>
            <w:r>
              <w:rPr>
                <w:rFonts w:ascii="Arial" w:cs="Arial" w:eastAsia="Arial" w:hAnsi="Arial"/>
                <w:sz w:val="14"/>
                <w:szCs w:val="14"/>
                <w:color w:val="FFFFFF"/>
              </w:rPr>
              <w:t>Plans</w:t>
            </w:r>
          </w:p>
        </w:tc>
      </w:tr>
      <w:tr>
        <w:trPr>
          <w:trHeight w:val="89"/>
        </w:trPr>
        <w:tc>
          <w:tcPr>
            <w:tcW w:w="4440" w:type="dxa"/>
            <w:vAlign w:val="bottom"/>
            <w:shd w:val="clear" w:color="auto" w:fill="24356E"/>
          </w:tcPr>
          <w:p>
            <w:pPr>
              <w:spacing w:after="0"/>
              <w:rPr>
                <w:sz w:val="7"/>
                <w:szCs w:val="7"/>
                <w:color w:val="auto"/>
              </w:rPr>
            </w:pPr>
          </w:p>
        </w:tc>
        <w:tc>
          <w:tcPr>
            <w:tcW w:w="1680" w:type="dxa"/>
            <w:vAlign w:val="bottom"/>
            <w:shd w:val="clear" w:color="auto" w:fill="24356E"/>
          </w:tcPr>
          <w:p>
            <w:pPr>
              <w:spacing w:after="0"/>
              <w:rPr>
                <w:sz w:val="7"/>
                <w:szCs w:val="7"/>
                <w:color w:val="auto"/>
              </w:rPr>
            </w:pPr>
          </w:p>
        </w:tc>
        <w:tc>
          <w:tcPr>
            <w:tcW w:w="1500" w:type="dxa"/>
            <w:vAlign w:val="bottom"/>
            <w:shd w:val="clear" w:color="auto" w:fill="24356E"/>
          </w:tcPr>
          <w:p>
            <w:pPr>
              <w:spacing w:after="0"/>
              <w:rPr>
                <w:sz w:val="7"/>
                <w:szCs w:val="7"/>
                <w:color w:val="auto"/>
              </w:rPr>
            </w:pPr>
          </w:p>
        </w:tc>
        <w:tc>
          <w:tcPr>
            <w:tcW w:w="960" w:type="dxa"/>
            <w:vAlign w:val="bottom"/>
            <w:shd w:val="clear" w:color="auto" w:fill="24356E"/>
          </w:tcPr>
          <w:p>
            <w:pPr>
              <w:spacing w:after="0"/>
              <w:rPr>
                <w:sz w:val="7"/>
                <w:szCs w:val="7"/>
                <w:color w:val="auto"/>
              </w:rPr>
            </w:pPr>
          </w:p>
        </w:tc>
        <w:tc>
          <w:tcPr>
            <w:tcW w:w="820" w:type="dxa"/>
            <w:vAlign w:val="bottom"/>
            <w:shd w:val="clear" w:color="auto" w:fill="24356E"/>
          </w:tcPr>
          <w:p>
            <w:pPr>
              <w:spacing w:after="0"/>
              <w:rPr>
                <w:sz w:val="7"/>
                <w:szCs w:val="7"/>
                <w:color w:val="auto"/>
              </w:rPr>
            </w:pPr>
          </w:p>
        </w:tc>
      </w:tr>
      <w:tr>
        <w:trPr>
          <w:trHeight w:val="295"/>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Equity compensation plans approved by security holders</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3"/>
        </w:trPr>
        <w:tc>
          <w:tcPr>
            <w:tcW w:w="4440" w:type="dxa"/>
            <w:vAlign w:val="bottom"/>
            <w:tcBorders>
              <w:bottom w:val="single" w:sz="8" w:color="666666"/>
            </w:tcBorders>
          </w:tcPr>
          <w:p>
            <w:pPr>
              <w:spacing w:after="0"/>
              <w:rPr>
                <w:sz w:val="7"/>
                <w:szCs w:val="7"/>
                <w:color w:val="auto"/>
              </w:rPr>
            </w:pPr>
          </w:p>
        </w:tc>
        <w:tc>
          <w:tcPr>
            <w:tcW w:w="1680" w:type="dxa"/>
            <w:vAlign w:val="bottom"/>
            <w:tcBorders>
              <w:bottom w:val="single" w:sz="8" w:color="666666"/>
            </w:tcBorders>
          </w:tcPr>
          <w:p>
            <w:pPr>
              <w:spacing w:after="0"/>
              <w:rPr>
                <w:sz w:val="7"/>
                <w:szCs w:val="7"/>
                <w:color w:val="auto"/>
              </w:rPr>
            </w:pPr>
          </w:p>
        </w:tc>
        <w:tc>
          <w:tcPr>
            <w:tcW w:w="1500" w:type="dxa"/>
            <w:vAlign w:val="bottom"/>
            <w:tcBorders>
              <w:bottom w:val="single" w:sz="8" w:color="666666"/>
            </w:tcBorders>
          </w:tcPr>
          <w:p>
            <w:pPr>
              <w:spacing w:after="0"/>
              <w:rPr>
                <w:sz w:val="7"/>
                <w:szCs w:val="7"/>
                <w:color w:val="auto"/>
              </w:rPr>
            </w:pPr>
          </w:p>
        </w:tc>
        <w:tc>
          <w:tcPr>
            <w:tcW w:w="1780" w:type="dxa"/>
            <w:vAlign w:val="bottom"/>
            <w:tcBorders>
              <w:bottom w:val="single" w:sz="8" w:color="666666"/>
            </w:tcBorders>
            <w:gridSpan w:val="2"/>
          </w:tcPr>
          <w:p>
            <w:pPr>
              <w:spacing w:after="0"/>
              <w:rPr>
                <w:sz w:val="7"/>
                <w:szCs w:val="7"/>
                <w:color w:val="auto"/>
              </w:rPr>
            </w:pPr>
          </w:p>
        </w:tc>
      </w:tr>
      <w:tr>
        <w:trPr>
          <w:trHeight w:val="288"/>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2011 Equity Incentive Plan</w:t>
            </w:r>
          </w:p>
        </w:tc>
        <w:tc>
          <w:tcPr>
            <w:tcW w:w="1680" w:type="dxa"/>
            <w:vAlign w:val="bottom"/>
          </w:tcPr>
          <w:p>
            <w:pPr>
              <w:jc w:val="right"/>
              <w:ind w:right="148"/>
              <w:spacing w:after="0"/>
              <w:rPr>
                <w:sz w:val="20"/>
                <w:szCs w:val="20"/>
                <w:color w:val="auto"/>
              </w:rPr>
            </w:pPr>
            <w:r>
              <w:rPr>
                <w:rFonts w:ascii="Arial" w:cs="Arial" w:eastAsia="Arial" w:hAnsi="Arial"/>
                <w:sz w:val="14"/>
                <w:szCs w:val="14"/>
                <w:color w:val="auto"/>
              </w:rPr>
              <w:t>19,363,686</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$2.56</w:t>
            </w:r>
          </w:p>
        </w:tc>
        <w:tc>
          <w:tcPr>
            <w:tcW w:w="1780" w:type="dxa"/>
            <w:vAlign w:val="bottom"/>
            <w:gridSpan w:val="2"/>
          </w:tcPr>
          <w:p>
            <w:pPr>
              <w:jc w:val="right"/>
              <w:ind w:right="88"/>
              <w:spacing w:after="0"/>
              <w:rPr>
                <w:sz w:val="20"/>
                <w:szCs w:val="20"/>
                <w:color w:val="auto"/>
              </w:rPr>
            </w:pPr>
            <w:r>
              <w:rPr>
                <w:rFonts w:ascii="Arial" w:cs="Arial" w:eastAsia="Arial" w:hAnsi="Arial"/>
                <w:sz w:val="14"/>
                <w:szCs w:val="14"/>
                <w:color w:val="auto"/>
              </w:rPr>
              <w:t>23,640,386</w:t>
            </w:r>
          </w:p>
        </w:tc>
      </w:tr>
      <w:tr>
        <w:trPr>
          <w:trHeight w:val="83"/>
        </w:trPr>
        <w:tc>
          <w:tcPr>
            <w:tcW w:w="4440" w:type="dxa"/>
            <w:vAlign w:val="bottom"/>
            <w:tcBorders>
              <w:bottom w:val="single" w:sz="8" w:color="666666"/>
            </w:tcBorders>
          </w:tcPr>
          <w:p>
            <w:pPr>
              <w:spacing w:after="0"/>
              <w:rPr>
                <w:sz w:val="7"/>
                <w:szCs w:val="7"/>
                <w:color w:val="auto"/>
              </w:rPr>
            </w:pPr>
          </w:p>
        </w:tc>
        <w:tc>
          <w:tcPr>
            <w:tcW w:w="1680" w:type="dxa"/>
            <w:vAlign w:val="bottom"/>
            <w:tcBorders>
              <w:bottom w:val="single" w:sz="8" w:color="666666"/>
            </w:tcBorders>
          </w:tcPr>
          <w:p>
            <w:pPr>
              <w:spacing w:after="0"/>
              <w:rPr>
                <w:sz w:val="7"/>
                <w:szCs w:val="7"/>
                <w:color w:val="auto"/>
              </w:rPr>
            </w:pPr>
          </w:p>
        </w:tc>
        <w:tc>
          <w:tcPr>
            <w:tcW w:w="1500" w:type="dxa"/>
            <w:vAlign w:val="bottom"/>
            <w:tcBorders>
              <w:bottom w:val="single" w:sz="8" w:color="666666"/>
            </w:tcBorders>
          </w:tcPr>
          <w:p>
            <w:pPr>
              <w:spacing w:after="0"/>
              <w:rPr>
                <w:sz w:val="7"/>
                <w:szCs w:val="7"/>
                <w:color w:val="auto"/>
              </w:rPr>
            </w:pPr>
          </w:p>
        </w:tc>
        <w:tc>
          <w:tcPr>
            <w:tcW w:w="9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r>
      <w:tr>
        <w:trPr>
          <w:trHeight w:val="288"/>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2017 Employee Stock Purchase Plan</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1,064,129</w:t>
            </w:r>
          </w:p>
        </w:tc>
      </w:tr>
      <w:tr>
        <w:trPr>
          <w:trHeight w:val="83"/>
        </w:trPr>
        <w:tc>
          <w:tcPr>
            <w:tcW w:w="4440" w:type="dxa"/>
            <w:vAlign w:val="bottom"/>
            <w:tcBorders>
              <w:bottom w:val="single" w:sz="8" w:color="666666"/>
            </w:tcBorders>
          </w:tcPr>
          <w:p>
            <w:pPr>
              <w:spacing w:after="0"/>
              <w:rPr>
                <w:sz w:val="7"/>
                <w:szCs w:val="7"/>
                <w:color w:val="auto"/>
              </w:rPr>
            </w:pPr>
          </w:p>
        </w:tc>
        <w:tc>
          <w:tcPr>
            <w:tcW w:w="1680" w:type="dxa"/>
            <w:vAlign w:val="bottom"/>
            <w:tcBorders>
              <w:bottom w:val="single" w:sz="8" w:color="666666"/>
            </w:tcBorders>
          </w:tcPr>
          <w:p>
            <w:pPr>
              <w:spacing w:after="0"/>
              <w:rPr>
                <w:sz w:val="7"/>
                <w:szCs w:val="7"/>
                <w:color w:val="auto"/>
              </w:rPr>
            </w:pPr>
          </w:p>
        </w:tc>
        <w:tc>
          <w:tcPr>
            <w:tcW w:w="1500" w:type="dxa"/>
            <w:vAlign w:val="bottom"/>
            <w:tcBorders>
              <w:bottom w:val="single" w:sz="8" w:color="666666"/>
            </w:tcBorders>
          </w:tcPr>
          <w:p>
            <w:pPr>
              <w:spacing w:after="0"/>
              <w:rPr>
                <w:sz w:val="7"/>
                <w:szCs w:val="7"/>
                <w:color w:val="auto"/>
              </w:rPr>
            </w:pPr>
          </w:p>
        </w:tc>
        <w:tc>
          <w:tcPr>
            <w:tcW w:w="9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r>
      <w:tr>
        <w:trPr>
          <w:trHeight w:val="288"/>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Equity compensation plans not approved by security holders</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3"/>
        </w:trPr>
        <w:tc>
          <w:tcPr>
            <w:tcW w:w="4440" w:type="dxa"/>
            <w:vAlign w:val="bottom"/>
            <w:tcBorders>
              <w:bottom w:val="single" w:sz="8" w:color="666666"/>
            </w:tcBorders>
          </w:tcPr>
          <w:p>
            <w:pPr>
              <w:spacing w:after="0"/>
              <w:rPr>
                <w:sz w:val="7"/>
                <w:szCs w:val="7"/>
                <w:color w:val="auto"/>
              </w:rPr>
            </w:pPr>
          </w:p>
        </w:tc>
        <w:tc>
          <w:tcPr>
            <w:tcW w:w="1680" w:type="dxa"/>
            <w:vAlign w:val="bottom"/>
            <w:tcBorders>
              <w:bottom w:val="single" w:sz="8" w:color="666666"/>
            </w:tcBorders>
          </w:tcPr>
          <w:p>
            <w:pPr>
              <w:spacing w:after="0"/>
              <w:rPr>
                <w:sz w:val="7"/>
                <w:szCs w:val="7"/>
                <w:color w:val="auto"/>
              </w:rPr>
            </w:pPr>
          </w:p>
        </w:tc>
        <w:tc>
          <w:tcPr>
            <w:tcW w:w="1500" w:type="dxa"/>
            <w:vAlign w:val="bottom"/>
            <w:tcBorders>
              <w:bottom w:val="single" w:sz="8" w:color="666666"/>
            </w:tcBorders>
          </w:tcPr>
          <w:p>
            <w:pPr>
              <w:spacing w:after="0"/>
              <w:rPr>
                <w:sz w:val="7"/>
                <w:szCs w:val="7"/>
                <w:color w:val="auto"/>
              </w:rPr>
            </w:pPr>
          </w:p>
        </w:tc>
        <w:tc>
          <w:tcPr>
            <w:tcW w:w="9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r>
      <w:tr>
        <w:trPr>
          <w:trHeight w:val="288"/>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2022 Inducement Equity Incentive Plan</w:t>
            </w:r>
          </w:p>
        </w:tc>
        <w:tc>
          <w:tcPr>
            <w:tcW w:w="1680" w:type="dxa"/>
            <w:vAlign w:val="bottom"/>
          </w:tcPr>
          <w:p>
            <w:pPr>
              <w:jc w:val="right"/>
              <w:ind w:right="148"/>
              <w:spacing w:after="0"/>
              <w:rPr>
                <w:sz w:val="20"/>
                <w:szCs w:val="20"/>
                <w:color w:val="auto"/>
              </w:rPr>
            </w:pPr>
            <w:r>
              <w:rPr>
                <w:rFonts w:ascii="Arial" w:cs="Arial" w:eastAsia="Arial" w:hAnsi="Arial"/>
                <w:sz w:val="14"/>
                <w:szCs w:val="14"/>
                <w:color w:val="auto"/>
              </w:rPr>
              <w:t>8,084,379</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$3.87</w:t>
            </w:r>
          </w:p>
        </w:tc>
        <w:tc>
          <w:tcPr>
            <w:tcW w:w="960" w:type="dxa"/>
            <w:vAlign w:val="bottom"/>
          </w:tcPr>
          <w:p>
            <w:pPr>
              <w:jc w:val="center"/>
              <w:ind w:left="8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457,173</w:t>
            </w:r>
          </w:p>
        </w:tc>
      </w:tr>
      <w:tr>
        <w:trPr>
          <w:trHeight w:val="83"/>
        </w:trPr>
        <w:tc>
          <w:tcPr>
            <w:tcW w:w="4440" w:type="dxa"/>
            <w:vAlign w:val="bottom"/>
            <w:tcBorders>
              <w:bottom w:val="single" w:sz="8" w:color="666666"/>
            </w:tcBorders>
          </w:tcPr>
          <w:p>
            <w:pPr>
              <w:spacing w:after="0"/>
              <w:rPr>
                <w:sz w:val="7"/>
                <w:szCs w:val="7"/>
                <w:color w:val="auto"/>
              </w:rPr>
            </w:pPr>
          </w:p>
        </w:tc>
        <w:tc>
          <w:tcPr>
            <w:tcW w:w="1680" w:type="dxa"/>
            <w:vAlign w:val="bottom"/>
            <w:tcBorders>
              <w:bottom w:val="single" w:sz="8" w:color="666666"/>
            </w:tcBorders>
          </w:tcPr>
          <w:p>
            <w:pPr>
              <w:spacing w:after="0"/>
              <w:rPr>
                <w:sz w:val="7"/>
                <w:szCs w:val="7"/>
                <w:color w:val="auto"/>
              </w:rPr>
            </w:pPr>
          </w:p>
        </w:tc>
        <w:tc>
          <w:tcPr>
            <w:tcW w:w="1500" w:type="dxa"/>
            <w:vAlign w:val="bottom"/>
            <w:tcBorders>
              <w:bottom w:val="single" w:sz="8" w:color="666666"/>
            </w:tcBorders>
          </w:tcPr>
          <w:p>
            <w:pPr>
              <w:spacing w:after="0"/>
              <w:rPr>
                <w:sz w:val="7"/>
                <w:szCs w:val="7"/>
                <w:color w:val="auto"/>
              </w:rPr>
            </w:pPr>
          </w:p>
        </w:tc>
        <w:tc>
          <w:tcPr>
            <w:tcW w:w="9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r>
      <w:tr>
        <w:trPr>
          <w:trHeight w:val="288"/>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2017 Inducement Incentive Plan</w:t>
            </w:r>
          </w:p>
        </w:tc>
        <w:tc>
          <w:tcPr>
            <w:tcW w:w="1680" w:type="dxa"/>
            <w:vAlign w:val="bottom"/>
          </w:tcPr>
          <w:p>
            <w:pPr>
              <w:jc w:val="right"/>
              <w:ind w:right="168"/>
              <w:spacing w:after="0"/>
              <w:rPr>
                <w:sz w:val="20"/>
                <w:szCs w:val="20"/>
                <w:color w:val="auto"/>
              </w:rPr>
            </w:pPr>
            <w:r>
              <w:rPr>
                <w:rFonts w:ascii="Arial" w:cs="Arial" w:eastAsia="Arial" w:hAnsi="Arial"/>
                <w:sz w:val="14"/>
                <w:szCs w:val="14"/>
                <w:color w:val="auto"/>
              </w:rPr>
              <w:t>58,949</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$7.32</w:t>
            </w:r>
          </w:p>
        </w:tc>
        <w:tc>
          <w:tcPr>
            <w:tcW w:w="960" w:type="dxa"/>
            <w:vAlign w:val="bottom"/>
          </w:tcPr>
          <w:p>
            <w:pPr>
              <w:jc w:val="center"/>
              <w:ind w:left="8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1,667</w:t>
            </w:r>
          </w:p>
        </w:tc>
      </w:tr>
      <w:tr>
        <w:trPr>
          <w:trHeight w:val="83"/>
        </w:trPr>
        <w:tc>
          <w:tcPr>
            <w:tcW w:w="4440" w:type="dxa"/>
            <w:vAlign w:val="bottom"/>
            <w:tcBorders>
              <w:bottom w:val="single" w:sz="8" w:color="666666"/>
            </w:tcBorders>
          </w:tcPr>
          <w:p>
            <w:pPr>
              <w:spacing w:after="0"/>
              <w:rPr>
                <w:sz w:val="7"/>
                <w:szCs w:val="7"/>
                <w:color w:val="auto"/>
              </w:rPr>
            </w:pPr>
          </w:p>
        </w:tc>
        <w:tc>
          <w:tcPr>
            <w:tcW w:w="1680" w:type="dxa"/>
            <w:vAlign w:val="bottom"/>
            <w:tcBorders>
              <w:bottom w:val="single" w:sz="8" w:color="666666"/>
            </w:tcBorders>
          </w:tcPr>
          <w:p>
            <w:pPr>
              <w:spacing w:after="0"/>
              <w:rPr>
                <w:sz w:val="7"/>
                <w:szCs w:val="7"/>
                <w:color w:val="auto"/>
              </w:rPr>
            </w:pPr>
          </w:p>
        </w:tc>
        <w:tc>
          <w:tcPr>
            <w:tcW w:w="1500" w:type="dxa"/>
            <w:vAlign w:val="bottom"/>
            <w:tcBorders>
              <w:bottom w:val="single" w:sz="8" w:color="666666"/>
            </w:tcBorders>
          </w:tcPr>
          <w:p>
            <w:pPr>
              <w:spacing w:after="0"/>
              <w:rPr>
                <w:sz w:val="7"/>
                <w:szCs w:val="7"/>
                <w:color w:val="auto"/>
              </w:rPr>
            </w:pPr>
          </w:p>
        </w:tc>
        <w:tc>
          <w:tcPr>
            <w:tcW w:w="960" w:type="dxa"/>
            <w:vAlign w:val="bottom"/>
            <w:tcBorders>
              <w:bottom w:val="single" w:sz="8" w:color="666666"/>
            </w:tcBorders>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r>
      <w:tr>
        <w:trPr>
          <w:trHeight w:val="398"/>
        </w:trPr>
        <w:tc>
          <w:tcPr>
            <w:tcW w:w="4440" w:type="dxa"/>
            <w:vAlign w:val="bottom"/>
            <w:tcBorders>
              <w:bottom w:val="single" w:sz="8" w:color="666666"/>
            </w:tcBorders>
          </w:tcPr>
          <w:p>
            <w:pPr>
              <w:ind w:left="120"/>
              <w:spacing w:after="0"/>
              <w:rPr>
                <w:sz w:val="20"/>
                <w:szCs w:val="20"/>
                <w:color w:val="auto"/>
              </w:rPr>
            </w:pPr>
            <w:r>
              <w:rPr>
                <w:rFonts w:ascii="Arial" w:cs="Arial" w:eastAsia="Arial" w:hAnsi="Arial"/>
                <w:sz w:val="14"/>
                <w:szCs w:val="14"/>
                <w:b w:val="1"/>
                <w:bCs w:val="1"/>
                <w:color w:val="auto"/>
              </w:rPr>
              <w:t>SomaLogic Equity Incentive Plans</w:t>
            </w:r>
            <w:r>
              <w:rPr>
                <w:rFonts w:ascii="Arial" w:cs="Arial" w:eastAsia="Arial" w:hAnsi="Arial"/>
                <w:sz w:val="23"/>
                <w:szCs w:val="23"/>
                <w:b w:val="1"/>
                <w:bCs w:val="1"/>
                <w:color w:val="auto"/>
                <w:vertAlign w:val="superscript"/>
              </w:rPr>
              <w:t>(1)</w:t>
            </w:r>
          </w:p>
        </w:tc>
        <w:tc>
          <w:tcPr>
            <w:tcW w:w="1680" w:type="dxa"/>
            <w:vAlign w:val="bottom"/>
            <w:tcBorders>
              <w:bottom w:val="single" w:sz="8" w:color="666666"/>
            </w:tcBorders>
          </w:tcPr>
          <w:p>
            <w:pPr>
              <w:jc w:val="right"/>
              <w:ind w:right="148"/>
              <w:spacing w:after="0"/>
              <w:rPr>
                <w:sz w:val="20"/>
                <w:szCs w:val="20"/>
                <w:color w:val="auto"/>
              </w:rPr>
            </w:pPr>
            <w:r>
              <w:rPr>
                <w:rFonts w:ascii="Arial" w:cs="Arial" w:eastAsia="Arial" w:hAnsi="Arial"/>
                <w:sz w:val="14"/>
                <w:szCs w:val="14"/>
                <w:color w:val="auto"/>
              </w:rPr>
              <w:t>25,096,215</w:t>
            </w:r>
          </w:p>
        </w:tc>
        <w:tc>
          <w:tcPr>
            <w:tcW w:w="1500" w:type="dxa"/>
            <w:vAlign w:val="bottom"/>
            <w:tcBorders>
              <w:bottom w:val="single" w:sz="8" w:color="666666"/>
            </w:tcBorders>
          </w:tcPr>
          <w:p>
            <w:pPr>
              <w:jc w:val="right"/>
              <w:ind w:right="108"/>
              <w:spacing w:after="0"/>
              <w:rPr>
                <w:sz w:val="20"/>
                <w:szCs w:val="20"/>
                <w:color w:val="auto"/>
              </w:rPr>
            </w:pPr>
            <w:r>
              <w:rPr>
                <w:rFonts w:ascii="Arial" w:cs="Arial" w:eastAsia="Arial" w:hAnsi="Arial"/>
                <w:sz w:val="14"/>
                <w:szCs w:val="14"/>
                <w:color w:val="auto"/>
              </w:rPr>
              <w:t>$4.93</w:t>
            </w:r>
          </w:p>
        </w:tc>
        <w:tc>
          <w:tcPr>
            <w:tcW w:w="960" w:type="dxa"/>
            <w:vAlign w:val="bottom"/>
            <w:tcBorders>
              <w:bottom w:val="single" w:sz="8" w:color="666666"/>
            </w:tcBorders>
          </w:tcPr>
          <w:p>
            <w:pPr>
              <w:spacing w:after="0"/>
              <w:rPr>
                <w:sz w:val="24"/>
                <w:szCs w:val="24"/>
                <w:color w:val="auto"/>
              </w:rPr>
            </w:pPr>
          </w:p>
        </w:tc>
        <w:tc>
          <w:tcPr>
            <w:tcW w:w="820" w:type="dxa"/>
            <w:vAlign w:val="bottom"/>
            <w:tcBorders>
              <w:bottom w:val="single" w:sz="8" w:color="666666"/>
            </w:tcBorders>
          </w:tcPr>
          <w:p>
            <w:pPr>
              <w:jc w:val="right"/>
              <w:ind w:right="68"/>
              <w:spacing w:after="0"/>
              <w:rPr>
                <w:sz w:val="20"/>
                <w:szCs w:val="20"/>
                <w:color w:val="auto"/>
              </w:rPr>
            </w:pPr>
            <w:r>
              <w:rPr>
                <w:rFonts w:ascii="Arial" w:cs="Arial" w:eastAsia="Arial" w:hAnsi="Arial"/>
                <w:sz w:val="14"/>
                <w:szCs w:val="14"/>
                <w:color w:val="auto"/>
              </w:rPr>
              <w:t>—</w:t>
            </w:r>
          </w:p>
        </w:tc>
      </w:tr>
      <w:tr>
        <w:trPr>
          <w:trHeight w:val="288"/>
        </w:trPr>
        <w:tc>
          <w:tcPr>
            <w:tcW w:w="444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jc w:val="right"/>
              <w:ind w:right="148"/>
              <w:spacing w:after="0"/>
              <w:rPr>
                <w:sz w:val="20"/>
                <w:szCs w:val="20"/>
                <w:color w:val="auto"/>
              </w:rPr>
            </w:pPr>
            <w:r>
              <w:rPr>
                <w:rFonts w:ascii="Arial" w:cs="Arial" w:eastAsia="Arial" w:hAnsi="Arial"/>
                <w:sz w:val="14"/>
                <w:szCs w:val="14"/>
                <w:color w:val="auto"/>
              </w:rPr>
              <w:t>52,603,229</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$4.28</w:t>
            </w:r>
          </w:p>
        </w:tc>
        <w:tc>
          <w:tcPr>
            <w:tcW w:w="1780" w:type="dxa"/>
            <w:vAlign w:val="bottom"/>
            <w:gridSpan w:val="2"/>
          </w:tcPr>
          <w:p>
            <w:pPr>
              <w:jc w:val="right"/>
              <w:ind w:right="88"/>
              <w:spacing w:after="0"/>
              <w:rPr>
                <w:sz w:val="20"/>
                <w:szCs w:val="20"/>
                <w:color w:val="auto"/>
              </w:rPr>
            </w:pPr>
            <w:r>
              <w:rPr>
                <w:rFonts w:ascii="Arial" w:cs="Arial" w:eastAsia="Arial" w:hAnsi="Arial"/>
                <w:sz w:val="14"/>
                <w:szCs w:val="14"/>
                <w:color w:val="auto"/>
              </w:rPr>
              <w:t>25,163,355</w:t>
            </w:r>
          </w:p>
        </w:tc>
      </w:tr>
      <w:tr>
        <w:trPr>
          <w:trHeight w:val="70"/>
        </w:trPr>
        <w:tc>
          <w:tcPr>
            <w:tcW w:w="4440" w:type="dxa"/>
            <w:vAlign w:val="bottom"/>
            <w:tcBorders>
              <w:bottom w:val="single" w:sz="8" w:color="24356E"/>
            </w:tcBorders>
          </w:tcPr>
          <w:p>
            <w:pPr>
              <w:spacing w:after="0"/>
              <w:rPr>
                <w:sz w:val="6"/>
                <w:szCs w:val="6"/>
                <w:color w:val="auto"/>
              </w:rPr>
            </w:pPr>
          </w:p>
        </w:tc>
        <w:tc>
          <w:tcPr>
            <w:tcW w:w="1680" w:type="dxa"/>
            <w:vAlign w:val="bottom"/>
            <w:tcBorders>
              <w:bottom w:val="single" w:sz="8" w:color="24356E"/>
            </w:tcBorders>
          </w:tcPr>
          <w:p>
            <w:pPr>
              <w:spacing w:after="0"/>
              <w:rPr>
                <w:sz w:val="6"/>
                <w:szCs w:val="6"/>
                <w:color w:val="auto"/>
              </w:rPr>
            </w:pPr>
          </w:p>
        </w:tc>
        <w:tc>
          <w:tcPr>
            <w:tcW w:w="1500" w:type="dxa"/>
            <w:vAlign w:val="bottom"/>
            <w:tcBorders>
              <w:bottom w:val="single" w:sz="8" w:color="24356E"/>
            </w:tcBorders>
          </w:tcPr>
          <w:p>
            <w:pPr>
              <w:spacing w:after="0"/>
              <w:rPr>
                <w:sz w:val="6"/>
                <w:szCs w:val="6"/>
                <w:color w:val="auto"/>
              </w:rPr>
            </w:pPr>
          </w:p>
        </w:tc>
        <w:tc>
          <w:tcPr>
            <w:tcW w:w="960" w:type="dxa"/>
            <w:vAlign w:val="bottom"/>
            <w:tcBorders>
              <w:bottom w:val="single" w:sz="8" w:color="24356E"/>
            </w:tcBorders>
          </w:tcPr>
          <w:p>
            <w:pPr>
              <w:spacing w:after="0"/>
              <w:rPr>
                <w:sz w:val="6"/>
                <w:szCs w:val="6"/>
                <w:color w:val="auto"/>
              </w:rPr>
            </w:pPr>
          </w:p>
        </w:tc>
        <w:tc>
          <w:tcPr>
            <w:tcW w:w="820" w:type="dxa"/>
            <w:vAlign w:val="bottom"/>
            <w:tcBorders>
              <w:bottom w:val="single" w:sz="8" w:color="24356E"/>
            </w:tcBorders>
          </w:tcPr>
          <w:p>
            <w:pPr>
              <w:spacing w:after="0"/>
              <w:rPr>
                <w:sz w:val="6"/>
                <w:szCs w:val="6"/>
                <w:color w:val="auto"/>
              </w:rPr>
            </w:pPr>
          </w:p>
        </w:tc>
      </w:tr>
    </w:tbl>
    <w:p>
      <w:pPr>
        <w:spacing w:after="0" w:line="158" w:lineRule="exact"/>
        <w:rPr>
          <w:sz w:val="20"/>
          <w:szCs w:val="20"/>
          <w:color w:val="auto"/>
        </w:rPr>
      </w:pPr>
    </w:p>
    <w:p>
      <w:pPr>
        <w:ind w:left="360" w:right="600" w:hanging="354"/>
        <w:spacing w:after="0" w:line="293" w:lineRule="auto"/>
        <w:tabs>
          <w:tab w:leader="none" w:pos="360" w:val="left"/>
        </w:tabs>
        <w:numPr>
          <w:ilvl w:val="0"/>
          <w:numId w:val="48"/>
        </w:numPr>
        <w:rPr>
          <w:rFonts w:ascii="Arial" w:cs="Arial" w:eastAsia="Arial" w:hAnsi="Arial"/>
          <w:sz w:val="12"/>
          <w:szCs w:val="12"/>
          <w:b w:val="1"/>
          <w:bCs w:val="1"/>
          <w:color w:val="auto"/>
        </w:rPr>
      </w:pPr>
      <w:r>
        <w:rPr>
          <w:rFonts w:ascii="Arial" w:cs="Arial" w:eastAsia="Arial" w:hAnsi="Arial"/>
          <w:sz w:val="12"/>
          <w:szCs w:val="12"/>
          <w:b w:val="1"/>
          <w:bCs w:val="1"/>
          <w:color w:val="auto"/>
        </w:rPr>
        <w:t>Consists of the SomaLogic 2009 Equity Incentive Plan (the “2009 Plan”), the SomaLogic 2017 Equity Incentive Plan (the “2017 Plan”), and the SomaLogic 2021 Omnibus Incentive Plan (the “2021 Plan,” and together with the 2009 Plan and 2017 Plan, the “SomaLogic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59664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59"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33333"/>
        </w:rPr>
        <w:t>Summary Description of the SomaLogic Plans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6"/>
          <w:szCs w:val="16"/>
          <w:color w:val="333333"/>
        </w:rPr>
        <w:t>In connection with our merger with SomaLogic, we assumed each outstanding option to purchase shares of SomaLogic’s common stock and each RSU to purchase shares of SomaLogic’s common stock (collectively, the “Assumed Equity Awards”) under the SomaLogic Plans. Following merger, each Assumed Equity Award, whether vested or unvested, held by continuing SomaLogic employees was converted into options to purchase shares of our common stock or RSUs to purchase shares of our common stock, as applicable, generally on the same terms and conditions applicable immediately prior to the merger, with equitable adjustments to the exercise price per share and number of shares in accordance with the merger exchange ratio.</w:t>
      </w:r>
    </w:p>
    <w:p>
      <w:pPr>
        <w:spacing w:after="0" w:line="12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333333"/>
        </w:rPr>
        <w:t>The SomaLogic Plans are administered by the Human Capital Committee. Awards granted pursuant to the SomaLogic Plans are generally nontransferable except by will or the laws of descent and distribution. The 2017 Plan and 2021 Plan also explicitly provide that no person has or may create a lien on any awards under the SomaLogic Plans. Awards are exercisable (i) during the participant’s lifetime only by the participant or (ii) in the event of the participant’s death by the legal representative of the participant’s estate. Except as provided below, with respect to options granted under the 2009 Plan or 2017 Plan, the exercise price per share of an option may not be reduced after the date of grant and an option cannot be cancelled or surrendered in exchange for an option with a lower exercise price per share or in exchange for cash or other consideration. Notwithstanding the foregoing, the 2021 Plan expressly provides that the exercise price per share of an option may be reduced after the date of grant and/or an option to be cancelled or surrendered in exchange for an option with a lower exercise price per share or in exchange for cash or other consideration, in either case, subject to the terms and conditions and within the limitations of the 2021 Plan.</w:t>
      </w:r>
    </w:p>
    <w:p>
      <w:pPr>
        <w:spacing w:after="0" w:line="13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33333"/>
        </w:rPr>
        <w:t>The SomaLogic Plans provide that in the event of a nonreciprocal transaction between us and the holders of common stock that changes the value per share of common stock such as a stock dividend, stock split, spinoff, rights offering or recapitalization through a large, non-recurring dividend, the number of shares subject the SomaLogic Plans, the number of shares subject to each outstanding award, and the exercise or threshold price of the shares underlying outstanding awards will be proportionately adjusted. The Human Capital Committee may choose one or more permitted approaches with respect to outstanding awards in the event of a “change in control,” as further described in each SomaLogic Plan. The grant of any award pursuant to the SomaLogic Plans does not affect in any way our right or power to make adjustments, reclassifications, reorganizations or changes to its capital or business structure, or to merge, consolidate, issue debt or equity securities having preferences or priorities over common stock, dissolve, liquidate, sell or transfer all or any part of its business or assets, or to undertake any other corporate act or proceeding. As of April 15, 2025, 17,622,367 RSUs and options were outstanding under the SomaLogic Plans.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2009 Equity Incentive Plan</w:t>
      </w:r>
    </w:p>
    <w:p>
      <w:pPr>
        <w:spacing w:after="0" w:line="165"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333333"/>
        </w:rPr>
        <w:t>The board of directors of SomaLogic (the “SomaLogic Board”) adopted the 2009 Plan on November 5, 2009, and SomaLogic’s stockholders approved the 2009 Plan on March 20, 2010. The 2009 Plan was terminated on September 22, 2017, when the SomaLogic Board adopted the 2017 Equity Incentive Plan, and no further awards were granted under the 2009 Plan thereafter. The 2009 Plan provided for SomaLogic’s ability to grant eligible participants equity and equity-based awards in the form of incentive and nonstatutory stock options, stock appreciation rights, restricted stock, RSUs and other stock-based awards. The 2009 Plan continues to govern the terms and conditions of outstanding awards previously granted under the 2009 Plan.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2017 Equity Incentive Plan</w:t>
      </w:r>
    </w:p>
    <w:p>
      <w:pPr>
        <w:spacing w:after="0" w:line="16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333333"/>
        </w:rPr>
        <w:t>The SomaLogic Board adopted the 2017 Plan on September 22, 2017, and SomaLogic’s stockholders approved the 2017 Plan on October 20, 2017. The 2017 Plan provided for SomaLogic’s ability to grant eligible participants equity and equity-based awards in the form of incentive and nonstatutory stock options, stock appreciation rights, restricted stock, RSUs and other stock-based awards. Effective as of September 1, 2021, the 2021 Plan was adopted by the SomaLogic Board and the 2017 Plan was terminated and no further awards were granted. The 2017 Plan continues to govern the terms and conditions of outstanding awards previously granted under the 2017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7"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2021 Omnibus Incentive Plan</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The SomaLogic Board adopted the 2021 Plan and SomaLogic’s stockholders approved the 2021 Plan on September 1, 2021. The 2021 Plan provided for SomaLogic’s ability to grant eligible participants equity and equity-based awards in the form of incentive and nonstatutory stock options, stock appreciation rights, restricted stock, RSUs and other stock-based awards. The 2021 Plan continues to govern the terms and conditions of outstanding awards previously granted under the 2021 Plan. The Company does not intend to make any further grants under the 2021 Plan.</w:t>
      </w:r>
    </w:p>
    <w:p>
      <w:pPr>
        <w:spacing w:after="0" w:line="12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333333"/>
        </w:rPr>
        <w:t>For additional information about our equity compensation plans, please refer to Note 13 to the consolidated financial statements set forth in our 2024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61" w:lineRule="exact"/>
        <w:rPr>
          <w:sz w:val="20"/>
          <w:szCs w:val="20"/>
          <w:color w:val="auto"/>
        </w:rPr>
      </w:pPr>
    </w:p>
    <w:p>
      <w:pPr>
        <w:jc w:val="center"/>
        <w:ind w:right="2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ind w:right="2000"/>
        <w:spacing w:after="0" w:line="273" w:lineRule="auto"/>
        <w:rPr>
          <w:sz w:val="20"/>
          <w:szCs w:val="20"/>
          <w:color w:val="auto"/>
        </w:rPr>
      </w:pPr>
      <w:r>
        <w:rPr>
          <w:rFonts w:ascii="Arial" w:cs="Arial" w:eastAsia="Arial" w:hAnsi="Arial"/>
          <w:sz w:val="40"/>
          <w:szCs w:val="40"/>
          <w:color w:val="auto"/>
        </w:rPr>
        <w:t>Certain Relationships and Related Person Transactions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Related Person Transactions</w:t>
      </w:r>
    </w:p>
    <w:p>
      <w:pPr>
        <w:spacing w:after="0" w:line="15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333333"/>
        </w:rPr>
        <w:t>We describe below transactions and series of similar transactions, since January 1, 2024, to which we were a party or will be a party, in which:</w:t>
      </w:r>
    </w:p>
    <w:p>
      <w:pPr>
        <w:spacing w:after="0" w:line="115" w:lineRule="exact"/>
        <w:rPr>
          <w:sz w:val="20"/>
          <w:szCs w:val="20"/>
          <w:color w:val="auto"/>
        </w:rPr>
      </w:pPr>
    </w:p>
    <w:p>
      <w:pPr>
        <w:ind w:left="720" w:hanging="354"/>
        <w:spacing w:after="0"/>
        <w:tabs>
          <w:tab w:leader="none" w:pos="720" w:val="left"/>
        </w:tabs>
        <w:numPr>
          <w:ilvl w:val="0"/>
          <w:numId w:val="49"/>
        </w:numPr>
        <w:rPr>
          <w:rFonts w:ascii="Arial" w:cs="Arial" w:eastAsia="Arial" w:hAnsi="Arial"/>
          <w:sz w:val="16"/>
          <w:szCs w:val="16"/>
          <w:color w:val="333333"/>
        </w:rPr>
      </w:pPr>
      <w:r>
        <w:rPr>
          <w:rFonts w:ascii="Arial" w:cs="Arial" w:eastAsia="Arial" w:hAnsi="Arial"/>
          <w:sz w:val="16"/>
          <w:szCs w:val="16"/>
          <w:color w:val="333333"/>
        </w:rPr>
        <w:t>the amounts involved exceeded or will exceed $120,000; and</w:t>
      </w:r>
    </w:p>
    <w:p>
      <w:pPr>
        <w:spacing w:after="0" w:line="72" w:lineRule="exact"/>
        <w:rPr>
          <w:rFonts w:ascii="Arial" w:cs="Arial" w:eastAsia="Arial" w:hAnsi="Arial"/>
          <w:sz w:val="16"/>
          <w:szCs w:val="16"/>
          <w:color w:val="333333"/>
        </w:rPr>
      </w:pPr>
    </w:p>
    <w:p>
      <w:pPr>
        <w:ind w:left="720" w:right="100" w:hanging="354"/>
        <w:spacing w:after="0" w:line="286" w:lineRule="auto"/>
        <w:tabs>
          <w:tab w:leader="none" w:pos="720" w:val="left"/>
        </w:tabs>
        <w:numPr>
          <w:ilvl w:val="0"/>
          <w:numId w:val="49"/>
        </w:numPr>
        <w:rPr>
          <w:rFonts w:ascii="Arial" w:cs="Arial" w:eastAsia="Arial" w:hAnsi="Arial"/>
          <w:sz w:val="16"/>
          <w:szCs w:val="16"/>
          <w:color w:val="333333"/>
        </w:rPr>
      </w:pPr>
      <w:r>
        <w:rPr>
          <w:rFonts w:ascii="Arial" w:cs="Arial" w:eastAsia="Arial" w:hAnsi="Arial"/>
          <w:sz w:val="16"/>
          <w:szCs w:val="16"/>
          <w:color w:val="333333"/>
        </w:rPr>
        <w:t>any of our directors, executive officers, or beneficial holders of more than 5% of any class of our voting securities had or will have a direct or indirect material interest.</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33333"/>
        </w:rPr>
        <w:t>Series B Exchange</w:t>
      </w:r>
    </w:p>
    <w:p>
      <w:pPr>
        <w:spacing w:after="0" w:line="16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333333"/>
        </w:rPr>
        <w:t>On March 18, 2024, the Company entered into an exchange agreement (the “Exchange Agreement”) with the Casdin Private Growth Equity Fund II, L.P. and Casdin Partners Master Fund, L.P. (collectively, “Casdin”) and Viking Global Opportunities Illiquid Investments Sub-Master LP and Viking Global Opportunities Drawdown (Aggregator) LP (collectively, “Viking” and, together with Casdin, the “Investors” and individually, an “Investor”) Pursuant to the Exchange Agreement, the Investors exchanged (the “Exchange”) an aggregate of (i) 127,780 shares of Series B-1 Convertible Preferred Stock (the “Series B-1 Preferred Stock”), and</w:t>
      </w:r>
    </w:p>
    <w:p>
      <w:pPr>
        <w:spacing w:after="0" w:line="3" w:lineRule="exact"/>
        <w:rPr>
          <w:sz w:val="20"/>
          <w:szCs w:val="20"/>
          <w:color w:val="auto"/>
        </w:rPr>
      </w:pPr>
    </w:p>
    <w:p>
      <w:pPr>
        <w:ind w:right="200" w:firstLine="6"/>
        <w:spacing w:after="0" w:line="252" w:lineRule="auto"/>
        <w:tabs>
          <w:tab w:leader="none" w:pos="225" w:val="left"/>
        </w:tabs>
        <w:numPr>
          <w:ilvl w:val="0"/>
          <w:numId w:val="50"/>
        </w:numPr>
        <w:rPr>
          <w:rFonts w:ascii="Arial" w:cs="Arial" w:eastAsia="Arial" w:hAnsi="Arial"/>
          <w:sz w:val="16"/>
          <w:szCs w:val="16"/>
          <w:color w:val="333333"/>
        </w:rPr>
      </w:pPr>
      <w:r>
        <w:rPr>
          <w:rFonts w:ascii="Arial" w:cs="Arial" w:eastAsia="Arial" w:hAnsi="Arial"/>
          <w:sz w:val="16"/>
          <w:szCs w:val="16"/>
          <w:color w:val="333333"/>
        </w:rPr>
        <w:t>127,779 shares of Series B-2 Convertible Preferred Stock (the “Series B-2 Preferred Stock” and, together with the Series B-1 Preferred Stock, the “Series B Preferred Stock”) representing all of the outstanding shares of Series B Preferred Stock, for an aggregate of 92,930,553 shares of common stock issued by the Company. The Exchange was completed on March 18, 2024. Following the closing of the Exchange, no shares of Series B Preferred Stock remain outstanding.</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33333"/>
        </w:rPr>
        <w:t>License Agreement</w:t>
      </w:r>
    </w:p>
    <w:p>
      <w:pPr>
        <w:spacing w:after="0" w:line="165" w:lineRule="exact"/>
        <w:rPr>
          <w:sz w:val="20"/>
          <w:szCs w:val="20"/>
          <w:color w:val="auto"/>
        </w:rPr>
      </w:pPr>
    </w:p>
    <w:p>
      <w:pPr>
        <w:spacing w:after="0" w:line="252" w:lineRule="auto"/>
        <w:rPr>
          <w:sz w:val="20"/>
          <w:szCs w:val="20"/>
          <w:color w:val="auto"/>
        </w:rPr>
      </w:pPr>
      <w:r>
        <w:rPr>
          <w:rFonts w:ascii="Arial" w:cs="Arial" w:eastAsia="Arial" w:hAnsi="Arial"/>
          <w:sz w:val="16"/>
          <w:szCs w:val="16"/>
          <w:color w:val="333333"/>
        </w:rPr>
        <w:t>The Company previously entered into a license agreement with PerkinElmer Health Sciences, Inc. (now Revvity Health Sciences, Inc. (“Revvity”)) pursuant to which the Company granted Revvity a worldwide, non-exclusive, fully paid-up license to certain patents (the “Patents”) in fields other than (i) inductively coupled plasma-based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agreement will terminate on the last expiration date of the Patents, currently expected to be in November 2026, unless earlier terminated pursuant to the terms of the license agreement. Dr. Witney, a member of the Board, also serves on the board of directors of Revvity, Inc. Since January 1, 2024, we incurred $125,000 under the license agreement.</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Policy Concerning Audit Committee Approval of Related Person Transactions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6"/>
          <w:szCs w:val="16"/>
          <w:color w:val="333333"/>
        </w:rPr>
        <w:t>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59664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5"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40"/>
          <w:szCs w:val="40"/>
          <w:color w:val="auto"/>
        </w:rPr>
        <w:t>Security Ownership of Certain Beneficial Owners and Management</w:t>
      </w:r>
    </w:p>
    <w:p>
      <w:pPr>
        <w:spacing w:after="0" w:line="15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333333"/>
        </w:rPr>
        <w:t>The following table sets forth information known to us regarding the beneficial ownership of our common stock as of April 15, 2025 by:</w:t>
      </w:r>
    </w:p>
    <w:p>
      <w:pPr>
        <w:spacing w:after="0" w:line="115" w:lineRule="exact"/>
        <w:rPr>
          <w:sz w:val="20"/>
          <w:szCs w:val="20"/>
          <w:color w:val="auto"/>
        </w:rPr>
      </w:pPr>
    </w:p>
    <w:p>
      <w:pPr>
        <w:ind w:left="720" w:hanging="354"/>
        <w:spacing w:after="0"/>
        <w:tabs>
          <w:tab w:leader="none" w:pos="720"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each person known to us to be the beneficial owner of more than 5% of our outstanding common stock;</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each of our NEOs and directors; and</w:t>
      </w:r>
    </w:p>
    <w:p>
      <w:pPr>
        <w:spacing w:after="0" w:line="86" w:lineRule="exact"/>
        <w:rPr>
          <w:rFonts w:ascii="Arial" w:cs="Arial" w:eastAsia="Arial" w:hAnsi="Arial"/>
          <w:sz w:val="16"/>
          <w:szCs w:val="16"/>
          <w:color w:val="333333"/>
        </w:rPr>
      </w:pPr>
    </w:p>
    <w:p>
      <w:pPr>
        <w:ind w:left="720" w:hanging="354"/>
        <w:spacing w:after="0"/>
        <w:tabs>
          <w:tab w:leader="none" w:pos="720"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all of our executive officers and directors of as a group.</w:t>
      </w:r>
    </w:p>
    <w:p>
      <w:pPr>
        <w:spacing w:after="0" w:line="167"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333333"/>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RSUs that vest within 60 days. Shares of common stock issuable upon exercise of options and warrants currently exercisable within 60 days and RSUs that vest within 60 days are deemed outstanding solely for purposes of calculating the percentage of total ownership and total voting power of the beneficial owner thereof.</w:t>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33333"/>
        </w:rPr>
        <w:t>The beneficial ownership of our common stock is based on 379,793,631 shares of our common stock issued and outstanding as of April 15, 2025.</w:t>
      </w:r>
    </w:p>
    <w:p>
      <w:pPr>
        <w:spacing w:after="0" w:line="102" w:lineRule="exact"/>
        <w:rPr>
          <w:sz w:val="20"/>
          <w:szCs w:val="20"/>
          <w:color w:val="auto"/>
        </w:rPr>
      </w:pPr>
    </w:p>
    <w:p>
      <w:pPr>
        <w:spacing w:after="0" w:line="266" w:lineRule="auto"/>
        <w:rPr>
          <w:sz w:val="20"/>
          <w:szCs w:val="20"/>
          <w:color w:val="auto"/>
        </w:rPr>
      </w:pPr>
      <w:r>
        <w:rPr>
          <w:rFonts w:ascii="Arial" w:cs="Arial" w:eastAsia="Arial" w:hAnsi="Arial"/>
          <w:sz w:val="16"/>
          <w:szCs w:val="16"/>
          <w:color w:val="333333"/>
        </w:rPr>
        <w:t>Unless otherwise indicated, we believe that each person named in the table below has sole voting and investment power with respect to all shares of our common stock beneficially owned by them. Unless otherwise indicated, the business address of each of the following entities or individuals is c/o Standard BioTools Inc., 2 Tower Place, Suite 2000,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42"/>
        </w:trPr>
        <w:tc>
          <w:tcPr>
            <w:tcW w:w="1540" w:type="dxa"/>
            <w:vAlign w:val="bottom"/>
            <w:tcBorders>
              <w:top w:val="single" w:sz="8" w:color="0000EE"/>
            </w:tcBorders>
          </w:tcPr>
          <w:p>
            <w:pPr>
              <w:spacing w:after="0"/>
              <w:rPr>
                <w:sz w:val="12"/>
                <w:szCs w:val="12"/>
                <w:color w:val="auto"/>
              </w:rPr>
            </w:pPr>
          </w:p>
        </w:tc>
        <w:tc>
          <w:tcPr>
            <w:tcW w:w="4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328"/>
        </w:trPr>
        <w:tc>
          <w:tcPr>
            <w:tcW w:w="1540" w:type="dxa"/>
            <w:vAlign w:val="bottom"/>
            <w:shd w:val="clear" w:color="auto" w:fill="24356E"/>
          </w:tcPr>
          <w:p>
            <w:pPr>
              <w:spacing w:after="0"/>
              <w:rPr>
                <w:sz w:val="24"/>
                <w:szCs w:val="24"/>
                <w:color w:val="auto"/>
              </w:rPr>
            </w:pPr>
          </w:p>
        </w:tc>
        <w:tc>
          <w:tcPr>
            <w:tcW w:w="4220" w:type="dxa"/>
            <w:vAlign w:val="bottom"/>
            <w:shd w:val="clear" w:color="auto" w:fill="24356E"/>
          </w:tcPr>
          <w:p>
            <w:pPr>
              <w:spacing w:after="0"/>
              <w:rPr>
                <w:sz w:val="24"/>
                <w:szCs w:val="24"/>
                <w:color w:val="auto"/>
              </w:rPr>
            </w:pPr>
          </w:p>
        </w:tc>
        <w:tc>
          <w:tcPr>
            <w:tcW w:w="2000" w:type="dxa"/>
            <w:vAlign w:val="bottom"/>
            <w:shd w:val="clear" w:color="auto" w:fill="24356E"/>
          </w:tcPr>
          <w:p>
            <w:pPr>
              <w:jc w:val="right"/>
              <w:ind w:right="408"/>
              <w:spacing w:after="0"/>
              <w:rPr>
                <w:sz w:val="20"/>
                <w:szCs w:val="20"/>
                <w:color w:val="auto"/>
              </w:rPr>
            </w:pPr>
            <w:r>
              <w:rPr>
                <w:rFonts w:ascii="Arial" w:cs="Arial" w:eastAsia="Arial" w:hAnsi="Arial"/>
                <w:sz w:val="14"/>
                <w:szCs w:val="14"/>
                <w:color w:val="FFFFFF"/>
              </w:rPr>
              <w:t>Common</w:t>
            </w:r>
          </w:p>
        </w:tc>
        <w:tc>
          <w:tcPr>
            <w:tcW w:w="164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Percent of</w:t>
            </w:r>
          </w:p>
        </w:tc>
      </w:tr>
      <w:tr>
        <w:trPr>
          <w:trHeight w:val="162"/>
        </w:trPr>
        <w:tc>
          <w:tcPr>
            <w:tcW w:w="1540" w:type="dxa"/>
            <w:vAlign w:val="bottom"/>
            <w:shd w:val="clear" w:color="auto" w:fill="24356E"/>
          </w:tcPr>
          <w:p>
            <w:pPr>
              <w:spacing w:after="0"/>
              <w:rPr>
                <w:sz w:val="14"/>
                <w:szCs w:val="14"/>
                <w:color w:val="auto"/>
              </w:rPr>
            </w:pPr>
          </w:p>
        </w:tc>
        <w:tc>
          <w:tcPr>
            <w:tcW w:w="4220" w:type="dxa"/>
            <w:vAlign w:val="bottom"/>
            <w:shd w:val="clear" w:color="auto" w:fill="24356E"/>
          </w:tcPr>
          <w:p>
            <w:pPr>
              <w:spacing w:after="0"/>
              <w:rPr>
                <w:sz w:val="14"/>
                <w:szCs w:val="14"/>
                <w:color w:val="auto"/>
              </w:rPr>
            </w:pPr>
          </w:p>
        </w:tc>
        <w:tc>
          <w:tcPr>
            <w:tcW w:w="2000" w:type="dxa"/>
            <w:vAlign w:val="bottom"/>
            <w:shd w:val="clear" w:color="auto" w:fill="24356E"/>
          </w:tcPr>
          <w:p>
            <w:pPr>
              <w:jc w:val="right"/>
              <w:ind w:right="408"/>
              <w:spacing w:after="0"/>
              <w:rPr>
                <w:sz w:val="20"/>
                <w:szCs w:val="20"/>
                <w:color w:val="auto"/>
              </w:rPr>
            </w:pPr>
            <w:r>
              <w:rPr>
                <w:rFonts w:ascii="Arial" w:cs="Arial" w:eastAsia="Arial" w:hAnsi="Arial"/>
                <w:sz w:val="14"/>
                <w:szCs w:val="14"/>
                <w:color w:val="FFFFFF"/>
              </w:rPr>
              <w:t>Stock</w:t>
            </w:r>
          </w:p>
        </w:tc>
        <w:tc>
          <w:tcPr>
            <w:tcW w:w="164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Common Stock</w:t>
            </w:r>
          </w:p>
        </w:tc>
      </w:tr>
      <w:tr>
        <w:trPr>
          <w:trHeight w:val="162"/>
        </w:trPr>
        <w:tc>
          <w:tcPr>
            <w:tcW w:w="1540" w:type="dxa"/>
            <w:vAlign w:val="bottom"/>
            <w:shd w:val="clear" w:color="auto" w:fill="24356E"/>
          </w:tcPr>
          <w:p>
            <w:pPr>
              <w:spacing w:after="0"/>
              <w:rPr>
                <w:sz w:val="14"/>
                <w:szCs w:val="14"/>
                <w:color w:val="auto"/>
              </w:rPr>
            </w:pPr>
          </w:p>
        </w:tc>
        <w:tc>
          <w:tcPr>
            <w:tcW w:w="4220" w:type="dxa"/>
            <w:vAlign w:val="bottom"/>
            <w:shd w:val="clear" w:color="auto" w:fill="24356E"/>
          </w:tcPr>
          <w:p>
            <w:pPr>
              <w:spacing w:after="0"/>
              <w:rPr>
                <w:sz w:val="14"/>
                <w:szCs w:val="14"/>
                <w:color w:val="auto"/>
              </w:rPr>
            </w:pPr>
          </w:p>
        </w:tc>
        <w:tc>
          <w:tcPr>
            <w:tcW w:w="2000" w:type="dxa"/>
            <w:vAlign w:val="bottom"/>
            <w:shd w:val="clear" w:color="auto" w:fill="24356E"/>
          </w:tcPr>
          <w:p>
            <w:pPr>
              <w:jc w:val="right"/>
              <w:ind w:right="408"/>
              <w:spacing w:after="0"/>
              <w:rPr>
                <w:sz w:val="20"/>
                <w:szCs w:val="20"/>
                <w:color w:val="auto"/>
              </w:rPr>
            </w:pPr>
            <w:r>
              <w:rPr>
                <w:rFonts w:ascii="Arial" w:cs="Arial" w:eastAsia="Arial" w:hAnsi="Arial"/>
                <w:sz w:val="14"/>
                <w:szCs w:val="14"/>
                <w:color w:val="FFFFFF"/>
              </w:rPr>
              <w:t>Beneficially</w:t>
            </w:r>
          </w:p>
        </w:tc>
        <w:tc>
          <w:tcPr>
            <w:tcW w:w="164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Beneficially</w:t>
            </w:r>
          </w:p>
        </w:tc>
      </w:tr>
      <w:tr>
        <w:trPr>
          <w:trHeight w:val="190"/>
        </w:trPr>
        <w:tc>
          <w:tcPr>
            <w:tcW w:w="5760" w:type="dxa"/>
            <w:vAlign w:val="bottom"/>
            <w:gridSpan w:val="2"/>
            <w:shd w:val="clear" w:color="auto" w:fill="24356E"/>
          </w:tcPr>
          <w:p>
            <w:pPr>
              <w:ind w:left="260"/>
              <w:spacing w:after="0"/>
              <w:rPr>
                <w:sz w:val="20"/>
                <w:szCs w:val="20"/>
                <w:color w:val="auto"/>
              </w:rPr>
            </w:pPr>
            <w:r>
              <w:rPr>
                <w:rFonts w:ascii="Arial" w:cs="Arial" w:eastAsia="Arial" w:hAnsi="Arial"/>
                <w:sz w:val="14"/>
                <w:szCs w:val="14"/>
                <w:color w:val="FFFFFF"/>
              </w:rPr>
              <w:t>Name of Beneficial Owner</w:t>
            </w:r>
          </w:p>
        </w:tc>
        <w:tc>
          <w:tcPr>
            <w:tcW w:w="2000" w:type="dxa"/>
            <w:vAlign w:val="bottom"/>
            <w:shd w:val="clear" w:color="auto" w:fill="24356E"/>
          </w:tcPr>
          <w:p>
            <w:pPr>
              <w:jc w:val="right"/>
              <w:ind w:right="408"/>
              <w:spacing w:after="0"/>
              <w:rPr>
                <w:sz w:val="20"/>
                <w:szCs w:val="20"/>
                <w:color w:val="auto"/>
              </w:rPr>
            </w:pPr>
            <w:r>
              <w:rPr>
                <w:rFonts w:ascii="Arial" w:cs="Arial" w:eastAsia="Arial" w:hAnsi="Arial"/>
                <w:sz w:val="14"/>
                <w:szCs w:val="14"/>
                <w:color w:val="FFFFFF"/>
              </w:rPr>
              <w:t>Owned</w:t>
            </w:r>
          </w:p>
        </w:tc>
        <w:tc>
          <w:tcPr>
            <w:tcW w:w="164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Owned</w:t>
            </w:r>
          </w:p>
        </w:tc>
      </w:tr>
      <w:tr>
        <w:trPr>
          <w:trHeight w:val="62"/>
        </w:trPr>
        <w:tc>
          <w:tcPr>
            <w:tcW w:w="1540" w:type="dxa"/>
            <w:vAlign w:val="bottom"/>
            <w:shd w:val="clear" w:color="auto" w:fill="24356E"/>
          </w:tcPr>
          <w:p>
            <w:pPr>
              <w:spacing w:after="0"/>
              <w:rPr>
                <w:sz w:val="5"/>
                <w:szCs w:val="5"/>
                <w:color w:val="auto"/>
              </w:rPr>
            </w:pPr>
          </w:p>
        </w:tc>
        <w:tc>
          <w:tcPr>
            <w:tcW w:w="4220" w:type="dxa"/>
            <w:vAlign w:val="bottom"/>
            <w:shd w:val="clear" w:color="auto" w:fill="24356E"/>
          </w:tcPr>
          <w:p>
            <w:pPr>
              <w:spacing w:after="0"/>
              <w:rPr>
                <w:sz w:val="5"/>
                <w:szCs w:val="5"/>
                <w:color w:val="auto"/>
              </w:rPr>
            </w:pPr>
          </w:p>
        </w:tc>
        <w:tc>
          <w:tcPr>
            <w:tcW w:w="2000" w:type="dxa"/>
            <w:vAlign w:val="bottom"/>
            <w:shd w:val="clear" w:color="auto" w:fill="24356E"/>
          </w:tcPr>
          <w:p>
            <w:pPr>
              <w:spacing w:after="0"/>
              <w:rPr>
                <w:sz w:val="5"/>
                <w:szCs w:val="5"/>
                <w:color w:val="auto"/>
              </w:rPr>
            </w:pPr>
          </w:p>
        </w:tc>
        <w:tc>
          <w:tcPr>
            <w:tcW w:w="1640" w:type="dxa"/>
            <w:vAlign w:val="bottom"/>
            <w:shd w:val="clear" w:color="auto" w:fill="24356E"/>
          </w:tcPr>
          <w:p>
            <w:pPr>
              <w:spacing w:after="0"/>
              <w:rPr>
                <w:sz w:val="5"/>
                <w:szCs w:val="5"/>
                <w:color w:val="auto"/>
              </w:rPr>
            </w:pPr>
          </w:p>
        </w:tc>
      </w:tr>
      <w:tr>
        <w:trPr>
          <w:trHeight w:val="254"/>
        </w:trPr>
        <w:tc>
          <w:tcPr>
            <w:tcW w:w="576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5% Stockholders</w:t>
            </w:r>
            <w:r>
              <w:rPr>
                <w:rFonts w:ascii="Arial" w:cs="Arial" w:eastAsia="Arial" w:hAnsi="Arial"/>
                <w:sz w:val="14"/>
                <w:szCs w:val="14"/>
                <w:color w:val="auto"/>
              </w:rPr>
              <w:t>:</w:t>
            </w:r>
          </w:p>
        </w:tc>
        <w:tc>
          <w:tcPr>
            <w:tcW w:w="20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43"/>
        </w:trPr>
        <w:tc>
          <w:tcPr>
            <w:tcW w:w="1540" w:type="dxa"/>
            <w:vAlign w:val="bottom"/>
            <w:tcBorders>
              <w:bottom w:val="single" w:sz="8" w:color="666666"/>
            </w:tcBorders>
          </w:tcPr>
          <w:p>
            <w:pPr>
              <w:spacing w:after="0"/>
              <w:rPr>
                <w:sz w:val="3"/>
                <w:szCs w:val="3"/>
                <w:color w:val="auto"/>
              </w:rPr>
            </w:pPr>
          </w:p>
        </w:tc>
        <w:tc>
          <w:tcPr>
            <w:tcW w:w="4220" w:type="dxa"/>
            <w:vAlign w:val="bottom"/>
            <w:tcBorders>
              <w:bottom w:val="single" w:sz="8" w:color="666666"/>
            </w:tcBorders>
          </w:tcPr>
          <w:p>
            <w:pPr>
              <w:spacing w:after="0"/>
              <w:rPr>
                <w:sz w:val="3"/>
                <w:szCs w:val="3"/>
                <w:color w:val="auto"/>
              </w:rPr>
            </w:pPr>
          </w:p>
        </w:tc>
        <w:tc>
          <w:tcPr>
            <w:tcW w:w="2000" w:type="dxa"/>
            <w:vAlign w:val="bottom"/>
            <w:tcBorders>
              <w:bottom w:val="single" w:sz="8" w:color="666666"/>
            </w:tcBorders>
          </w:tcPr>
          <w:p>
            <w:pPr>
              <w:spacing w:after="0"/>
              <w:rPr>
                <w:sz w:val="3"/>
                <w:szCs w:val="3"/>
                <w:color w:val="auto"/>
              </w:rPr>
            </w:pPr>
          </w:p>
        </w:tc>
        <w:tc>
          <w:tcPr>
            <w:tcW w:w="1640" w:type="dxa"/>
            <w:vAlign w:val="bottom"/>
            <w:tcBorders>
              <w:bottom w:val="single" w:sz="8" w:color="666666"/>
            </w:tcBorders>
          </w:tcPr>
          <w:p>
            <w:pPr>
              <w:spacing w:after="0"/>
              <w:rPr>
                <w:sz w:val="3"/>
                <w:szCs w:val="3"/>
                <w:color w:val="auto"/>
              </w:rPr>
            </w:pP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Entities affiliated with Casdin Capital, LLC</w:t>
            </w:r>
            <w:r>
              <w:rPr>
                <w:rFonts w:ascii="Arial" w:cs="Arial" w:eastAsia="Arial" w:hAnsi="Arial"/>
                <w:sz w:val="23"/>
                <w:szCs w:val="23"/>
                <w:b w:val="1"/>
                <w:bCs w:val="1"/>
                <w:color w:val="auto"/>
                <w:vertAlign w:val="superscript"/>
              </w:rPr>
              <w:t>(1)</w:t>
            </w:r>
          </w:p>
        </w:tc>
        <w:tc>
          <w:tcPr>
            <w:tcW w:w="200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76,075,636</w:t>
            </w:r>
          </w:p>
        </w:tc>
        <w:tc>
          <w:tcPr>
            <w:tcW w:w="164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20.03%</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Entities affiliated with Viking Global Investors LP</w:t>
            </w:r>
            <w:r>
              <w:rPr>
                <w:rFonts w:ascii="Arial" w:cs="Arial" w:eastAsia="Arial" w:hAnsi="Arial"/>
                <w:sz w:val="23"/>
                <w:szCs w:val="23"/>
                <w:b w:val="1"/>
                <w:bCs w:val="1"/>
                <w:color w:val="auto"/>
                <w:vertAlign w:val="superscript"/>
              </w:rPr>
              <w:t>(2)</w:t>
            </w:r>
          </w:p>
        </w:tc>
        <w:tc>
          <w:tcPr>
            <w:tcW w:w="200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58,651,170</w:t>
            </w:r>
          </w:p>
        </w:tc>
        <w:tc>
          <w:tcPr>
            <w:tcW w:w="164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15.44%</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BlackRock, Inc.</w:t>
            </w:r>
            <w:r>
              <w:rPr>
                <w:rFonts w:ascii="Arial" w:cs="Arial" w:eastAsia="Arial" w:hAnsi="Arial"/>
                <w:sz w:val="23"/>
                <w:szCs w:val="23"/>
                <w:b w:val="1"/>
                <w:bCs w:val="1"/>
                <w:color w:val="auto"/>
                <w:vertAlign w:val="superscript"/>
              </w:rPr>
              <w:t>(3)</w:t>
            </w:r>
          </w:p>
        </w:tc>
        <w:tc>
          <w:tcPr>
            <w:tcW w:w="2000" w:type="dxa"/>
            <w:vAlign w:val="bottom"/>
            <w:tcBorders>
              <w:bottom w:val="single" w:sz="8" w:color="666666"/>
            </w:tcBorders>
          </w:tcPr>
          <w:p>
            <w:pPr>
              <w:jc w:val="right"/>
              <w:ind w:right="428"/>
              <w:spacing w:after="0"/>
              <w:rPr>
                <w:sz w:val="20"/>
                <w:szCs w:val="20"/>
                <w:color w:val="auto"/>
              </w:rPr>
            </w:pPr>
            <w:r>
              <w:rPr>
                <w:rFonts w:ascii="Arial" w:cs="Arial" w:eastAsia="Arial" w:hAnsi="Arial"/>
                <w:sz w:val="14"/>
                <w:szCs w:val="14"/>
                <w:color w:val="auto"/>
              </w:rPr>
              <w:t>22,452,115</w:t>
            </w:r>
          </w:p>
        </w:tc>
        <w:tc>
          <w:tcPr>
            <w:tcW w:w="164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5.91%</w:t>
            </w:r>
          </w:p>
        </w:tc>
      </w:tr>
      <w:tr>
        <w:trPr>
          <w:trHeight w:val="248"/>
        </w:trPr>
        <w:tc>
          <w:tcPr>
            <w:tcW w:w="576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Directors and NEOs</w:t>
            </w:r>
            <w:r>
              <w:rPr>
                <w:rFonts w:ascii="Arial" w:cs="Arial" w:eastAsia="Arial" w:hAnsi="Arial"/>
                <w:sz w:val="14"/>
                <w:szCs w:val="14"/>
                <w:color w:val="auto"/>
              </w:rPr>
              <w:t>:</w:t>
            </w:r>
          </w:p>
        </w:tc>
        <w:tc>
          <w:tcPr>
            <w:tcW w:w="20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3"/>
        </w:trPr>
        <w:tc>
          <w:tcPr>
            <w:tcW w:w="1540" w:type="dxa"/>
            <w:vAlign w:val="bottom"/>
            <w:tcBorders>
              <w:bottom w:val="single" w:sz="8" w:color="666666"/>
            </w:tcBorders>
          </w:tcPr>
          <w:p>
            <w:pPr>
              <w:spacing w:after="0"/>
              <w:rPr>
                <w:sz w:val="3"/>
                <w:szCs w:val="3"/>
                <w:color w:val="auto"/>
              </w:rPr>
            </w:pPr>
          </w:p>
        </w:tc>
        <w:tc>
          <w:tcPr>
            <w:tcW w:w="4220" w:type="dxa"/>
            <w:vAlign w:val="bottom"/>
            <w:tcBorders>
              <w:bottom w:val="single" w:sz="8" w:color="666666"/>
            </w:tcBorders>
          </w:tcPr>
          <w:p>
            <w:pPr>
              <w:spacing w:after="0"/>
              <w:rPr>
                <w:sz w:val="3"/>
                <w:szCs w:val="3"/>
                <w:color w:val="auto"/>
              </w:rPr>
            </w:pPr>
          </w:p>
        </w:tc>
        <w:tc>
          <w:tcPr>
            <w:tcW w:w="2000" w:type="dxa"/>
            <w:vAlign w:val="bottom"/>
            <w:tcBorders>
              <w:bottom w:val="single" w:sz="8" w:color="666666"/>
            </w:tcBorders>
          </w:tcPr>
          <w:p>
            <w:pPr>
              <w:spacing w:after="0"/>
              <w:rPr>
                <w:sz w:val="3"/>
                <w:szCs w:val="3"/>
                <w:color w:val="auto"/>
              </w:rPr>
            </w:pPr>
          </w:p>
        </w:tc>
        <w:tc>
          <w:tcPr>
            <w:tcW w:w="1640" w:type="dxa"/>
            <w:vAlign w:val="bottom"/>
            <w:tcBorders>
              <w:bottom w:val="single" w:sz="8" w:color="666666"/>
            </w:tcBorders>
          </w:tcPr>
          <w:p>
            <w:pPr>
              <w:spacing w:after="0"/>
              <w:rPr>
                <w:sz w:val="3"/>
                <w:szCs w:val="3"/>
                <w:color w:val="auto"/>
              </w:rPr>
            </w:pP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Thomas Carey</w:t>
            </w:r>
            <w:r>
              <w:rPr>
                <w:rFonts w:ascii="Arial" w:cs="Arial" w:eastAsia="Arial" w:hAnsi="Arial"/>
                <w:sz w:val="23"/>
                <w:szCs w:val="23"/>
                <w:b w:val="1"/>
                <w:bCs w:val="1"/>
                <w:color w:val="auto"/>
                <w:vertAlign w:val="superscript"/>
              </w:rPr>
              <w:t>(4)</w:t>
            </w:r>
          </w:p>
        </w:tc>
        <w:tc>
          <w:tcPr>
            <w:tcW w:w="2000" w:type="dxa"/>
            <w:vAlign w:val="bottom"/>
            <w:tcBorders>
              <w:bottom w:val="single" w:sz="8" w:color="666666"/>
            </w:tcBorders>
          </w:tcPr>
          <w:p>
            <w:pPr>
              <w:jc w:val="right"/>
              <w:ind w:right="428"/>
              <w:spacing w:after="0"/>
              <w:rPr>
                <w:sz w:val="20"/>
                <w:szCs w:val="20"/>
                <w:color w:val="auto"/>
              </w:rPr>
            </w:pPr>
            <w:r>
              <w:rPr>
                <w:rFonts w:ascii="Arial" w:cs="Arial" w:eastAsia="Arial" w:hAnsi="Arial"/>
                <w:sz w:val="14"/>
                <w:szCs w:val="14"/>
                <w:color w:val="auto"/>
              </w:rPr>
              <w:t>216,262</w:t>
            </w:r>
          </w:p>
        </w:tc>
        <w:tc>
          <w:tcPr>
            <w:tcW w:w="164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Eli Casdin</w:t>
            </w:r>
            <w:r>
              <w:rPr>
                <w:rFonts w:ascii="Arial" w:cs="Arial" w:eastAsia="Arial" w:hAnsi="Arial"/>
                <w:sz w:val="23"/>
                <w:szCs w:val="23"/>
                <w:b w:val="1"/>
                <w:bCs w:val="1"/>
                <w:color w:val="auto"/>
                <w:vertAlign w:val="superscript"/>
              </w:rPr>
              <w:t>(5)</w:t>
            </w:r>
          </w:p>
        </w:tc>
        <w:tc>
          <w:tcPr>
            <w:tcW w:w="200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80,757,439</w:t>
            </w:r>
          </w:p>
        </w:tc>
        <w:tc>
          <w:tcPr>
            <w:tcW w:w="164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21.15%</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Troy Cox</w:t>
            </w:r>
            <w:r>
              <w:rPr>
                <w:rFonts w:ascii="Arial" w:cs="Arial" w:eastAsia="Arial" w:hAnsi="Arial"/>
                <w:sz w:val="23"/>
                <w:szCs w:val="23"/>
                <w:b w:val="1"/>
                <w:bCs w:val="1"/>
                <w:color w:val="auto"/>
                <w:vertAlign w:val="superscript"/>
              </w:rPr>
              <w:t>(6)</w:t>
            </w:r>
          </w:p>
        </w:tc>
        <w:tc>
          <w:tcPr>
            <w:tcW w:w="200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1,393,563</w:t>
            </w:r>
          </w:p>
        </w:tc>
        <w:tc>
          <w:tcPr>
            <w:tcW w:w="164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Michael Egholm, Ph.D.</w:t>
            </w:r>
            <w:r>
              <w:rPr>
                <w:rFonts w:ascii="Arial" w:cs="Arial" w:eastAsia="Arial" w:hAnsi="Arial"/>
                <w:sz w:val="23"/>
                <w:szCs w:val="23"/>
                <w:b w:val="1"/>
                <w:bCs w:val="1"/>
                <w:color w:val="auto"/>
                <w:vertAlign w:val="superscript"/>
              </w:rPr>
              <w:t>(7)</w:t>
            </w:r>
          </w:p>
        </w:tc>
        <w:tc>
          <w:tcPr>
            <w:tcW w:w="200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5,175,758</w:t>
            </w:r>
          </w:p>
        </w:tc>
        <w:tc>
          <w:tcPr>
            <w:tcW w:w="1640" w:type="dxa"/>
            <w:vAlign w:val="bottom"/>
            <w:tcBorders>
              <w:bottom w:val="single" w:sz="8" w:color="666666"/>
            </w:tcBorders>
          </w:tcPr>
          <w:p>
            <w:pPr>
              <w:jc w:val="right"/>
              <w:ind w:right="88"/>
              <w:spacing w:after="0"/>
              <w:rPr>
                <w:sz w:val="20"/>
                <w:szCs w:val="20"/>
                <w:color w:val="auto"/>
              </w:rPr>
            </w:pPr>
            <w:r>
              <w:rPr>
                <w:rFonts w:ascii="Arial" w:cs="Arial" w:eastAsia="Arial" w:hAnsi="Arial"/>
                <w:sz w:val="14"/>
                <w:szCs w:val="14"/>
                <w:color w:val="auto"/>
              </w:rPr>
              <w:t>1.35%</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Fenel M. Eloi</w:t>
            </w:r>
            <w:r>
              <w:rPr>
                <w:rFonts w:ascii="Arial" w:cs="Arial" w:eastAsia="Arial" w:hAnsi="Arial"/>
                <w:sz w:val="23"/>
                <w:szCs w:val="23"/>
                <w:b w:val="1"/>
                <w:bCs w:val="1"/>
                <w:color w:val="auto"/>
                <w:vertAlign w:val="superscript"/>
              </w:rPr>
              <w:t>(8)</w:t>
            </w:r>
          </w:p>
        </w:tc>
        <w:tc>
          <w:tcPr>
            <w:tcW w:w="2000" w:type="dxa"/>
            <w:vAlign w:val="bottom"/>
            <w:tcBorders>
              <w:bottom w:val="single" w:sz="8" w:color="666666"/>
            </w:tcBorders>
          </w:tcPr>
          <w:p>
            <w:pPr>
              <w:jc w:val="right"/>
              <w:ind w:right="428"/>
              <w:spacing w:after="0"/>
              <w:rPr>
                <w:sz w:val="20"/>
                <w:szCs w:val="20"/>
                <w:color w:val="auto"/>
              </w:rPr>
            </w:pPr>
            <w:r>
              <w:rPr>
                <w:rFonts w:ascii="Arial" w:cs="Arial" w:eastAsia="Arial" w:hAnsi="Arial"/>
                <w:sz w:val="14"/>
                <w:szCs w:val="14"/>
                <w:color w:val="auto"/>
              </w:rPr>
              <w:t>163,994</w:t>
            </w:r>
          </w:p>
        </w:tc>
        <w:tc>
          <w:tcPr>
            <w:tcW w:w="164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Kathy Hibbs</w:t>
            </w:r>
            <w:r>
              <w:rPr>
                <w:rFonts w:ascii="Arial" w:cs="Arial" w:eastAsia="Arial" w:hAnsi="Arial"/>
                <w:sz w:val="23"/>
                <w:szCs w:val="23"/>
                <w:b w:val="1"/>
                <w:bCs w:val="1"/>
                <w:color w:val="auto"/>
                <w:vertAlign w:val="superscript"/>
              </w:rPr>
              <w:t>(9)</w:t>
            </w:r>
          </w:p>
        </w:tc>
        <w:tc>
          <w:tcPr>
            <w:tcW w:w="2000" w:type="dxa"/>
            <w:vAlign w:val="bottom"/>
            <w:tcBorders>
              <w:bottom w:val="single" w:sz="8" w:color="666666"/>
            </w:tcBorders>
          </w:tcPr>
          <w:p>
            <w:pPr>
              <w:jc w:val="right"/>
              <w:ind w:right="428"/>
              <w:spacing w:after="0"/>
              <w:rPr>
                <w:sz w:val="20"/>
                <w:szCs w:val="20"/>
                <w:color w:val="auto"/>
              </w:rPr>
            </w:pPr>
            <w:r>
              <w:rPr>
                <w:rFonts w:ascii="Arial" w:cs="Arial" w:eastAsia="Arial" w:hAnsi="Arial"/>
                <w:sz w:val="14"/>
                <w:szCs w:val="14"/>
                <w:color w:val="auto"/>
              </w:rPr>
              <w:t>169,081</w:t>
            </w:r>
          </w:p>
        </w:tc>
        <w:tc>
          <w:tcPr>
            <w:tcW w:w="164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Alex Kim</w:t>
            </w:r>
            <w:r>
              <w:rPr>
                <w:rFonts w:ascii="Arial" w:cs="Arial" w:eastAsia="Arial" w:hAnsi="Arial"/>
                <w:sz w:val="23"/>
                <w:szCs w:val="23"/>
                <w:b w:val="1"/>
                <w:bCs w:val="1"/>
                <w:color w:val="auto"/>
                <w:vertAlign w:val="superscript"/>
              </w:rPr>
              <w:t>(10)</w:t>
            </w:r>
          </w:p>
        </w:tc>
        <w:tc>
          <w:tcPr>
            <w:tcW w:w="200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1,881,476</w:t>
            </w:r>
          </w:p>
        </w:tc>
        <w:tc>
          <w:tcPr>
            <w:tcW w:w="164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Sean Mackay</w:t>
            </w:r>
            <w:r>
              <w:rPr>
                <w:rFonts w:ascii="Arial" w:cs="Arial" w:eastAsia="Arial" w:hAnsi="Arial"/>
                <w:sz w:val="23"/>
                <w:szCs w:val="23"/>
                <w:b w:val="1"/>
                <w:bCs w:val="1"/>
                <w:color w:val="auto"/>
                <w:vertAlign w:val="superscript"/>
              </w:rPr>
              <w:t>(11)</w:t>
            </w:r>
          </w:p>
        </w:tc>
        <w:tc>
          <w:tcPr>
            <w:tcW w:w="2000" w:type="dxa"/>
            <w:vAlign w:val="bottom"/>
            <w:tcBorders>
              <w:bottom w:val="single" w:sz="8" w:color="666666"/>
            </w:tcBorders>
          </w:tcPr>
          <w:p>
            <w:pPr>
              <w:jc w:val="right"/>
              <w:ind w:right="428"/>
              <w:spacing w:after="0"/>
              <w:rPr>
                <w:sz w:val="20"/>
                <w:szCs w:val="20"/>
                <w:color w:val="auto"/>
              </w:rPr>
            </w:pPr>
            <w:r>
              <w:rPr>
                <w:rFonts w:ascii="Arial" w:cs="Arial" w:eastAsia="Arial" w:hAnsi="Arial"/>
                <w:sz w:val="14"/>
                <w:szCs w:val="14"/>
                <w:color w:val="auto"/>
              </w:rPr>
              <w:t>344,010</w:t>
            </w:r>
          </w:p>
        </w:tc>
        <w:tc>
          <w:tcPr>
            <w:tcW w:w="164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Frank Witney, Ph.D.</w:t>
            </w:r>
            <w:r>
              <w:rPr>
                <w:rFonts w:ascii="Arial" w:cs="Arial" w:eastAsia="Arial" w:hAnsi="Arial"/>
                <w:sz w:val="23"/>
                <w:szCs w:val="23"/>
                <w:b w:val="1"/>
                <w:bCs w:val="1"/>
                <w:color w:val="auto"/>
                <w:vertAlign w:val="superscript"/>
              </w:rPr>
              <w:t>(12)</w:t>
            </w:r>
          </w:p>
        </w:tc>
        <w:tc>
          <w:tcPr>
            <w:tcW w:w="2000" w:type="dxa"/>
            <w:vAlign w:val="bottom"/>
            <w:tcBorders>
              <w:bottom w:val="single" w:sz="8" w:color="666666"/>
            </w:tcBorders>
          </w:tcPr>
          <w:p>
            <w:pPr>
              <w:jc w:val="right"/>
              <w:ind w:right="428"/>
              <w:spacing w:after="0"/>
              <w:rPr>
                <w:sz w:val="20"/>
                <w:szCs w:val="20"/>
                <w:color w:val="auto"/>
              </w:rPr>
            </w:pPr>
            <w:r>
              <w:rPr>
                <w:rFonts w:ascii="Arial" w:cs="Arial" w:eastAsia="Arial" w:hAnsi="Arial"/>
                <w:sz w:val="14"/>
                <w:szCs w:val="14"/>
                <w:color w:val="auto"/>
              </w:rPr>
              <w:t>235,167</w:t>
            </w:r>
          </w:p>
        </w:tc>
        <w:tc>
          <w:tcPr>
            <w:tcW w:w="164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318"/>
        </w:trPr>
        <w:tc>
          <w:tcPr>
            <w:tcW w:w="5760" w:type="dxa"/>
            <w:vAlign w:val="bottom"/>
            <w:tcBorders>
              <w:bottom w:val="single" w:sz="8" w:color="666666"/>
            </w:tcBorders>
            <w:gridSpan w:val="2"/>
          </w:tcPr>
          <w:p>
            <w:pPr>
              <w:ind w:left="260"/>
              <w:spacing w:after="0"/>
              <w:rPr>
                <w:sz w:val="20"/>
                <w:szCs w:val="20"/>
                <w:color w:val="auto"/>
              </w:rPr>
            </w:pPr>
            <w:r>
              <w:rPr>
                <w:rFonts w:ascii="Arial" w:cs="Arial" w:eastAsia="Arial" w:hAnsi="Arial"/>
                <w:sz w:val="14"/>
                <w:szCs w:val="14"/>
                <w:b w:val="1"/>
                <w:bCs w:val="1"/>
                <w:color w:val="auto"/>
              </w:rPr>
              <w:t>Jeffrey Black</w:t>
            </w:r>
            <w:r>
              <w:rPr>
                <w:rFonts w:ascii="Arial" w:cs="Arial" w:eastAsia="Arial" w:hAnsi="Arial"/>
                <w:sz w:val="23"/>
                <w:szCs w:val="23"/>
                <w:b w:val="1"/>
                <w:bCs w:val="1"/>
                <w:color w:val="auto"/>
                <w:vertAlign w:val="superscript"/>
              </w:rPr>
              <w:t>(13)</w:t>
            </w:r>
          </w:p>
        </w:tc>
        <w:tc>
          <w:tcPr>
            <w:tcW w:w="2000" w:type="dxa"/>
            <w:vAlign w:val="bottom"/>
            <w:tcBorders>
              <w:bottom w:val="single" w:sz="8" w:color="666666"/>
            </w:tcBorders>
          </w:tcPr>
          <w:p>
            <w:pPr>
              <w:jc w:val="right"/>
              <w:ind w:right="428"/>
              <w:spacing w:after="0"/>
              <w:rPr>
                <w:sz w:val="20"/>
                <w:szCs w:val="20"/>
                <w:color w:val="auto"/>
              </w:rPr>
            </w:pPr>
            <w:r>
              <w:rPr>
                <w:rFonts w:ascii="Arial" w:cs="Arial" w:eastAsia="Arial" w:hAnsi="Arial"/>
                <w:sz w:val="14"/>
                <w:szCs w:val="14"/>
                <w:color w:val="auto"/>
              </w:rPr>
              <w:t>421,608</w:t>
            </w:r>
          </w:p>
        </w:tc>
        <w:tc>
          <w:tcPr>
            <w:tcW w:w="164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rPr>
              <w:t>*</w:t>
            </w:r>
          </w:p>
        </w:tc>
      </w:tr>
      <w:tr>
        <w:trPr>
          <w:trHeight w:val="345"/>
        </w:trPr>
        <w:tc>
          <w:tcPr>
            <w:tcW w:w="5760" w:type="dxa"/>
            <w:vAlign w:val="bottom"/>
            <w:tcBorders>
              <w:bottom w:val="single" w:sz="8" w:color="24356E"/>
            </w:tcBorders>
            <w:gridSpan w:val="2"/>
          </w:tcPr>
          <w:p>
            <w:pPr>
              <w:ind w:left="260"/>
              <w:spacing w:after="0"/>
              <w:rPr>
                <w:sz w:val="20"/>
                <w:szCs w:val="20"/>
                <w:color w:val="auto"/>
              </w:rPr>
            </w:pPr>
            <w:r>
              <w:rPr>
                <w:rFonts w:ascii="Arial" w:cs="Arial" w:eastAsia="Arial" w:hAnsi="Arial"/>
                <w:sz w:val="14"/>
                <w:szCs w:val="14"/>
                <w:b w:val="1"/>
                <w:bCs w:val="1"/>
                <w:color w:val="auto"/>
              </w:rPr>
              <w:t>All current directors and executive officers as a group (9 persons)</w:t>
            </w:r>
            <w:r>
              <w:rPr>
                <w:rFonts w:ascii="Arial" w:cs="Arial" w:eastAsia="Arial" w:hAnsi="Arial"/>
                <w:sz w:val="23"/>
                <w:szCs w:val="23"/>
                <w:b w:val="1"/>
                <w:bCs w:val="1"/>
                <w:color w:val="auto"/>
                <w:vertAlign w:val="superscript"/>
              </w:rPr>
              <w:t>(14)</w:t>
            </w:r>
          </w:p>
        </w:tc>
        <w:tc>
          <w:tcPr>
            <w:tcW w:w="2000" w:type="dxa"/>
            <w:vAlign w:val="bottom"/>
            <w:tcBorders>
              <w:bottom w:val="single" w:sz="8" w:color="24356E"/>
            </w:tcBorders>
          </w:tcPr>
          <w:p>
            <w:pPr>
              <w:jc w:val="right"/>
              <w:ind w:right="408"/>
              <w:spacing w:after="0"/>
              <w:rPr>
                <w:sz w:val="20"/>
                <w:szCs w:val="20"/>
                <w:color w:val="auto"/>
              </w:rPr>
            </w:pPr>
            <w:r>
              <w:rPr>
                <w:rFonts w:ascii="Arial" w:cs="Arial" w:eastAsia="Arial" w:hAnsi="Arial"/>
                <w:sz w:val="14"/>
                <w:szCs w:val="14"/>
                <w:color w:val="auto"/>
              </w:rPr>
              <w:t>90,336,750</w:t>
            </w:r>
          </w:p>
        </w:tc>
        <w:tc>
          <w:tcPr>
            <w:tcW w:w="1640" w:type="dxa"/>
            <w:vAlign w:val="bottom"/>
            <w:tcBorders>
              <w:bottom w:val="single" w:sz="8" w:color="24356E"/>
            </w:tcBorders>
          </w:tcPr>
          <w:p>
            <w:pPr>
              <w:jc w:val="right"/>
              <w:ind w:right="88"/>
              <w:spacing w:after="0"/>
              <w:rPr>
                <w:sz w:val="20"/>
                <w:szCs w:val="20"/>
                <w:color w:val="auto"/>
              </w:rPr>
            </w:pPr>
            <w:r>
              <w:rPr>
                <w:rFonts w:ascii="Arial" w:cs="Arial" w:eastAsia="Arial" w:hAnsi="Arial"/>
                <w:sz w:val="14"/>
                <w:szCs w:val="14"/>
                <w:color w:val="auto"/>
              </w:rPr>
              <w:t>23.16%</w:t>
            </w:r>
          </w:p>
        </w:tc>
      </w:tr>
    </w:tbl>
    <w:p>
      <w:pPr>
        <w:spacing w:after="0" w:line="158" w:lineRule="exact"/>
        <w:rPr>
          <w:sz w:val="20"/>
          <w:szCs w:val="20"/>
          <w:color w:val="auto"/>
        </w:rPr>
      </w:pPr>
    </w:p>
    <w:p>
      <w:pPr>
        <w:ind w:left="360" w:hanging="354"/>
        <w:spacing w:after="0"/>
        <w:tabs>
          <w:tab w:leader="none" w:pos="36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Less than one percent</w:t>
      </w:r>
    </w:p>
    <w:p>
      <w:pPr>
        <w:spacing w:after="0" w:line="53" w:lineRule="exact"/>
        <w:rPr>
          <w:sz w:val="20"/>
          <w:szCs w:val="20"/>
          <w:color w:val="auto"/>
        </w:rPr>
      </w:pPr>
    </w:p>
    <w:p>
      <w:pPr>
        <w:ind w:left="360" w:hanging="354"/>
        <w:spacing w:after="0" w:line="223" w:lineRule="auto"/>
        <w:tabs>
          <w:tab w:leader="none" w:pos="36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securities held by Casdin Partners Master Fund, L.P. (“Casdin Master Fund”), Casdin Private Growth Equity Fund II, L.P. (“Casdin Private Growth Fund II”), and Casdin Private Growth Equity Fund, L.P. (“Casdin Private Growth Fund”). Casdin Capital, LLC (“Casdin Capital”) is the investment adviser to Casdin Master Fund, Casdin Private Growth Fund II and Casdin Private Growth Fund, Casdin Partners GP, LLC (“Casdin Partners GP”) is the general partner of Casdin Master Fund, Casdin Private Growth Equity Fund II GP, LLC (“Casdin Private Growth GP II”) is the general partner of Casdin Private Growth Fund II, Casdin Private Growth Equity Fund GP, LLC (“Casdin Private Growth GP”) is the general partner of Casdin Private Growth Fund, and Eli Casdin is the managing member of Casdin Capital, Casdin Partners GP, Casdin Private Growth II GP and Casdin Private Growth GP. Represents shared voting and dispositive power held with respect to 59,391,780 shares of common stock held by Casdin Master Fund, 13,939,637 shares of common stock held by Casdin Private Growth Fund II, and 2,744,219 shares of common stock held by Casdin Private Growth Fund. Casdin Capital’s address is 1350 Avenue of the Americas, Suite 2600, New York, New York 10019.</w:t>
      </w:r>
    </w:p>
    <w:p>
      <w:pPr>
        <w:spacing w:after="0" w:line="45" w:lineRule="exact"/>
        <w:rPr>
          <w:rFonts w:ascii="Arial" w:cs="Arial" w:eastAsia="Arial" w:hAnsi="Arial"/>
          <w:sz w:val="13"/>
          <w:szCs w:val="13"/>
          <w:b w:val="1"/>
          <w:bCs w:val="1"/>
          <w:color w:val="auto"/>
        </w:rPr>
      </w:pPr>
    </w:p>
    <w:p>
      <w:pPr>
        <w:ind w:left="360" w:right="20" w:hanging="354"/>
        <w:spacing w:after="0" w:line="220" w:lineRule="auto"/>
        <w:tabs>
          <w:tab w:leader="none" w:pos="36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This information is based solely on a Schedule 13G/A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O. Andrea Halvorsen, David C. Ott and Rose S. Shabet (collectively, “Viking Global Investors”), filed with the SEC on March 20, 2024, which reported ownership as of March 18, 2024. Represents (i) 39,296,310 shares of common stock held by Viking Hybrid Fund and (ii) 19,354,860 shares of common stock held by Viking Drawdown Fund. The Viking Hybrid Fund has the authority to dispose of and vote the shares directly owned by it, which power may be exercised by its general partner, Opportunities Portfolio GP, and by VGI, which provides managerial services to the Viking Hybrid Fund. O. Andreas Halvorsen, David C. Ott and Rose Shabet, as Executive Committee members of Viking Global Partners LLC (the general partner of VGI) and Opportunities Parent (the sole member of Opportunities GP, which is the sole member of Opportunities Portfolio GP), have shared authority to direct the voting and disposition of investments beneficially owned by VGI and Opportunities Portfolio GP. The Viking Drawdown Fund has the authority to dispose of and vote the shares directly owned by it, which power may be exercised by its general partner, Drawdown Portfolio GP, and by VGI, which provides managerial services to the Viking Drawdown Fund. O. Andreas Halvorsen, David C. Ott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 Global Investors’ address is c/o Viking Global Investors LP, 600 Washington Boulevard, Floor 11, Stamford, Connecticut 06901.</w:t>
      </w:r>
    </w:p>
    <w:p>
      <w:pPr>
        <w:spacing w:after="0" w:line="32" w:lineRule="exact"/>
        <w:rPr>
          <w:rFonts w:ascii="Arial" w:cs="Arial" w:eastAsia="Arial" w:hAnsi="Arial"/>
          <w:sz w:val="13"/>
          <w:szCs w:val="13"/>
          <w:b w:val="1"/>
          <w:bCs w:val="1"/>
          <w:color w:val="auto"/>
        </w:rPr>
      </w:pPr>
    </w:p>
    <w:p>
      <w:pPr>
        <w:ind w:left="360" w:right="220" w:hanging="354"/>
        <w:spacing w:after="0" w:line="252" w:lineRule="auto"/>
        <w:tabs>
          <w:tab w:leader="none" w:pos="36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Based on information reported by BlackRock, Inc. on a Schedule 13G filed with the SEC on November 8, 2024. Consists of shares of common stock held of record by BlackRock, Inc. The address of BlackRock, Inc. is 50 Hudson Yards, New York, New York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59664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2"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right="100" w:hanging="354"/>
        <w:spacing w:after="0" w:line="236" w:lineRule="auto"/>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(i) 202,178 shares of common stock underlying options that are exercisable as of April 15, 2025 or will become exercisable within 60 days after such date held by Mr. Carey and (ii) 14,084 shares of common stock issuable upon vesting of RSUs in respect to which Mr. Carey has deferred settlement as described in “Compensation of Directors — RSUs in Lieu of Cash and RSU Deferral”.</w:t>
      </w:r>
    </w:p>
    <w:p>
      <w:pPr>
        <w:spacing w:after="0" w:line="31" w:lineRule="exact"/>
        <w:rPr>
          <w:rFonts w:ascii="Arial" w:cs="Arial" w:eastAsia="Arial" w:hAnsi="Arial"/>
          <w:sz w:val="13"/>
          <w:szCs w:val="13"/>
          <w:b w:val="1"/>
          <w:bCs w:val="1"/>
          <w:color w:val="auto"/>
        </w:rPr>
      </w:pPr>
    </w:p>
    <w:p>
      <w:pPr>
        <w:ind w:left="360" w:right="60" w:hanging="354"/>
        <w:spacing w:after="0" w:line="224" w:lineRule="auto"/>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Includes (i) 59,391,780 shares of common stock held of record by Casdin Master Fund, (ii) 13,939,637 shares of common stock held by Casdin Private Growth Fund II, and (iii) 2,744,219 shares of common stock held of record by Casdin Private Growth Fund (see Footnote 1 above). Mr. Casdin is the managing member of the general partners of Casdin Master Fund, Casdin Private Growth Fund II, and Casdin Private Growth Fund, and, as such, is deemed to have indirect beneficial ownership of such shares. Also includes (i) 2,650,467 shares of common stock held by Mr. Casdin, (ii) 301,463 shares of common stock underlying options that are exercisable as of April 15, 2025 or will become exercisable within 60 days after such date held by Mr. Casdin, (iii) 65,317 shares of common stock issuable upon vesting of RSUs in respect to which Mr. Casdin has deferred settlement as described in “Compensation of Directors — RSUs in Lieu of Cash and RSU Deferral,” and (iv) 1,664,556 shares of common stock issuable upon exercise of warrants which may be deemed to be beneficially owned by Mr. Casdin.</w:t>
      </w:r>
    </w:p>
    <w:p>
      <w:pPr>
        <w:spacing w:after="0" w:line="31" w:lineRule="exact"/>
        <w:rPr>
          <w:rFonts w:ascii="Arial" w:cs="Arial" w:eastAsia="Arial" w:hAnsi="Arial"/>
          <w:sz w:val="13"/>
          <w:szCs w:val="13"/>
          <w:b w:val="1"/>
          <w:bCs w:val="1"/>
          <w:color w:val="auto"/>
        </w:rPr>
      </w:pPr>
    </w:p>
    <w:p>
      <w:pPr>
        <w:ind w:left="360" w:right="180" w:hanging="354"/>
        <w:spacing w:after="0" w:line="236" w:lineRule="auto"/>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(i) 118,602 shares of common stock held by Mr. Cox, (ii) 1,089,962 shares of common stock underlying options that are exercisable as of April 15, 2025 or will become exercisable within 60 days after such date held by Mr. Cox and (iii) 184,999 shares of common stock issuable upon exercise of warrants held by Mr. Cox.</w:t>
      </w:r>
    </w:p>
    <w:p>
      <w:pPr>
        <w:spacing w:after="0" w:line="44" w:lineRule="exact"/>
        <w:rPr>
          <w:rFonts w:ascii="Arial" w:cs="Arial" w:eastAsia="Arial" w:hAnsi="Arial"/>
          <w:sz w:val="13"/>
          <w:szCs w:val="13"/>
          <w:b w:val="1"/>
          <w:bCs w:val="1"/>
          <w:color w:val="auto"/>
        </w:rPr>
      </w:pPr>
    </w:p>
    <w:p>
      <w:pPr>
        <w:ind w:left="360" w:right="60" w:hanging="354"/>
        <w:spacing w:after="0" w:line="236" w:lineRule="auto"/>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(i) 779,009 shares of common stock held by Dr. Egholm, (ii) 4,259,979 shares of common stock underlying options that are exercisable as of April 15, 2025 or will become exercisable within 60 days after such date held by Dr. Egholm and (iii) 136,770 shares of common stock issuable upon vesting of RSUs within 60 days of April 15, 2025 held by Dr. Egholm.</w:t>
      </w:r>
    </w:p>
    <w:p>
      <w:pPr>
        <w:spacing w:after="0" w:line="31" w:lineRule="exact"/>
        <w:rPr>
          <w:rFonts w:ascii="Arial" w:cs="Arial" w:eastAsia="Arial" w:hAnsi="Arial"/>
          <w:sz w:val="13"/>
          <w:szCs w:val="13"/>
          <w:b w:val="1"/>
          <w:bCs w:val="1"/>
          <w:color w:val="auto"/>
        </w:rPr>
      </w:pPr>
    </w:p>
    <w:p>
      <w:pPr>
        <w:ind w:left="360" w:right="120" w:hanging="354"/>
        <w:spacing w:after="0" w:line="252" w:lineRule="auto"/>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(i) 62,419 shares of common stock held by Mr. Eloi and (ii) 101,575 shares of common stock underlying options that are exercisable as of April 15, 2025 or will become exercisable within 60 days after such date held by Mr. Eloi.</w:t>
      </w:r>
    </w:p>
    <w:p>
      <w:pPr>
        <w:spacing w:after="0" w:line="23" w:lineRule="exact"/>
        <w:rPr>
          <w:rFonts w:ascii="Arial" w:cs="Arial" w:eastAsia="Arial" w:hAnsi="Arial"/>
          <w:sz w:val="13"/>
          <w:szCs w:val="13"/>
          <w:b w:val="1"/>
          <w:bCs w:val="1"/>
          <w:color w:val="auto"/>
        </w:rPr>
      </w:pPr>
    </w:p>
    <w:p>
      <w:pPr>
        <w:ind w:left="360" w:right="240" w:hanging="354"/>
        <w:spacing w:after="0" w:line="252" w:lineRule="auto"/>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169,081 shares of common stock underlying options that are exercisable as of April 15, 2025 or will become exercisable within 60 days after such date held by Ms. Hibbs.</w:t>
      </w:r>
    </w:p>
    <w:p>
      <w:pPr>
        <w:spacing w:after="0" w:line="37" w:lineRule="exact"/>
        <w:rPr>
          <w:rFonts w:ascii="Arial" w:cs="Arial" w:eastAsia="Arial" w:hAnsi="Arial"/>
          <w:sz w:val="13"/>
          <w:szCs w:val="13"/>
          <w:b w:val="1"/>
          <w:bCs w:val="1"/>
          <w:color w:val="auto"/>
        </w:rPr>
      </w:pPr>
    </w:p>
    <w:p>
      <w:pPr>
        <w:ind w:left="360" w:hanging="354"/>
        <w:spacing w:after="0" w:line="236" w:lineRule="auto"/>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(i) 339,534 shares of common stock held by Mr. Kim, (ii) 1,499,963 shares of common stock underlying options that are exercisable as of April 15, 2025 or will become exercisable within 60 days after such date held by Mr. Kim and (iii) 41,979 shares of common stock issuable upon vesting of RSUs within 60 days of April 15, 2025 held by Mr. Kim.</w:t>
      </w:r>
    </w:p>
    <w:p>
      <w:pPr>
        <w:spacing w:after="0" w:line="31" w:lineRule="exact"/>
        <w:rPr>
          <w:rFonts w:ascii="Arial" w:cs="Arial" w:eastAsia="Arial" w:hAnsi="Arial"/>
          <w:sz w:val="13"/>
          <w:szCs w:val="13"/>
          <w:b w:val="1"/>
          <w:bCs w:val="1"/>
          <w:color w:val="auto"/>
        </w:rPr>
      </w:pPr>
    </w:p>
    <w:p>
      <w:pPr>
        <w:ind w:left="360" w:right="100" w:hanging="354"/>
        <w:spacing w:after="0" w:line="236" w:lineRule="auto"/>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(i) 176,406 shares of common stock underlying options that are exercisable as of April 15, 2025 or will become exercisable within 60 days after such date held by Mr. Mackay and (ii) 167,604 shares of common stock issuable upon vesting of RSUs within 60 days of April 15, 2025 held by Mr. Mackay.</w:t>
      </w:r>
    </w:p>
    <w:p>
      <w:pPr>
        <w:spacing w:after="0" w:line="31" w:lineRule="exact"/>
        <w:rPr>
          <w:rFonts w:ascii="Arial" w:cs="Arial" w:eastAsia="Arial" w:hAnsi="Arial"/>
          <w:sz w:val="13"/>
          <w:szCs w:val="13"/>
          <w:b w:val="1"/>
          <w:bCs w:val="1"/>
          <w:color w:val="auto"/>
        </w:rPr>
      </w:pPr>
    </w:p>
    <w:p>
      <w:pPr>
        <w:ind w:left="360" w:right="60" w:hanging="354"/>
        <w:spacing w:after="0" w:line="231" w:lineRule="auto"/>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(i) 4,225 shares of common stock held by First Amended and Restated Revocable Trust Agreement For the Franklin R. Witney and Catherine J. Caulfield-Witney Trust Agreement Dated September 25, 2009 (dated July 31, 2018), of which Dr. Witney is the trustee, (ii) 69,246 shares of common stock held by Dr. Witney and (iii) 161,696 shares of common stock underlying options that are exercisable as of April 15, 2025 or will become exercisable within 60 days after such date held by Dr. Witney.</w:t>
      </w:r>
    </w:p>
    <w:p>
      <w:pPr>
        <w:spacing w:after="0" w:line="45" w:lineRule="exact"/>
        <w:rPr>
          <w:rFonts w:ascii="Arial" w:cs="Arial" w:eastAsia="Arial" w:hAnsi="Arial"/>
          <w:sz w:val="13"/>
          <w:szCs w:val="13"/>
          <w:b w:val="1"/>
          <w:bCs w:val="1"/>
          <w:color w:val="auto"/>
        </w:rPr>
      </w:pPr>
    </w:p>
    <w:p>
      <w:pPr>
        <w:ind w:left="360" w:hanging="354"/>
        <w:spacing w:after="0"/>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Consists of shares of common stock held by Mr. Black. Mr. Black resigned from the Company effective as of August 31, 2024</w:t>
      </w:r>
    </w:p>
    <w:p>
      <w:pPr>
        <w:spacing w:after="0" w:line="53" w:lineRule="exact"/>
        <w:rPr>
          <w:rFonts w:ascii="Arial" w:cs="Arial" w:eastAsia="Arial" w:hAnsi="Arial"/>
          <w:sz w:val="13"/>
          <w:szCs w:val="13"/>
          <w:b w:val="1"/>
          <w:bCs w:val="1"/>
          <w:color w:val="auto"/>
        </w:rPr>
      </w:pPr>
    </w:p>
    <w:p>
      <w:pPr>
        <w:ind w:left="360" w:hanging="354"/>
        <w:spacing w:after="0"/>
        <w:tabs>
          <w:tab w:leader="none" w:pos="36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See footnotes 4 through 12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9664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Delinquent Section 16(a) Reports</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6"/>
          <w:szCs w:val="16"/>
          <w:color w:val="333333"/>
        </w:rPr>
        <w:t>Section 16(a) of the Exchange Act requires directors and certain officers of Standard BioTools and persons who own more than 10% of Standard BioTools common stock to file with the SEC initial reports of beneficial ownership (Form 3) and reports of subsequent changes in their beneficial ownership (Form 4 or Form 5) of Standard BioTools common stock. Such directors, officers, and greater-than-10% stockholders are required to furnish Standard BioTools with copies of the Section 16(a) reports they file. The SEC has established specific due dates for these reports, and Standard BioTools is required to disclose in this proxy statement any late filings or failures to file.</w:t>
      </w:r>
    </w:p>
    <w:p>
      <w:pPr>
        <w:spacing w:after="0" w:line="12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333333"/>
        </w:rPr>
        <w:t>Based solely upon a review of the copies of the Section 16(a) reports (and any amendments thereto) furnished to Standard BioTools and written representations from certain reporting persons that no additional reports were required, Standard BioTools believes that its directors, reporting officers, and greater-than-10% stockholders complied with all these filing requirements for the fiscal year ended December 31, 2024, with the exception of (i) a Form 4 filing for Dr. Egholm related to a transaction that occurred on January 5, 2024, which was inadvertently filed late on April 4, 2024 and (ii) Form 4 filings for each of Dr. Egholm and Mr. Black related to transactions that occurred on August 20, 2024, which were inadvertently filed late on September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59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Proposal 1</w:t>
      </w:r>
    </w:p>
    <w:p>
      <w:pPr>
        <w:spacing w:after="0" w:line="37" w:lineRule="exact"/>
        <w:rPr>
          <w:sz w:val="20"/>
          <w:szCs w:val="20"/>
          <w:color w:val="auto"/>
        </w:rPr>
      </w:pPr>
    </w:p>
    <w:p>
      <w:pPr>
        <w:spacing w:after="0"/>
        <w:rPr>
          <w:sz w:val="20"/>
          <w:szCs w:val="20"/>
          <w:color w:val="auto"/>
        </w:rPr>
      </w:pPr>
      <w:r>
        <w:rPr>
          <w:rFonts w:ascii="Arial" w:cs="Arial" w:eastAsia="Arial" w:hAnsi="Arial"/>
          <w:sz w:val="40"/>
          <w:szCs w:val="40"/>
          <w:color w:val="auto"/>
        </w:rPr>
        <w:t>Election of Class III Directors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Board Structure</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Our Board currently consists of seven directors, distributed among three staggered classes (Classes I, II, and III). Class I consists of three directors and Classes II and III consist of two directors each. At each annual meeting of stockholders, a class of directors is elected for a term of three years to succeed the class of directors whose terms are then expiring. The terms of the current directors will expire at (i) the Annual Meeting, in the case of the Class III Directors, (ii) the 2026 annual meeting of stockholders, in the case of the Class I Directors, and (iii) the 2027 annual meeting of stockholders, in the case of the Class II Directors, with each director elected to hold office until the election and qualification of a successor director or their earlier death, resignation, or removal.</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Nominees for Class III Directors (Term Expiring in 2028)</w:t>
      </w:r>
    </w:p>
    <w:p>
      <w:pPr>
        <w:spacing w:after="0" w:line="153"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333333"/>
        </w:rPr>
        <w:t>As discussed above, our Nominating and Corporate Governance Committee recommended, and our Board nominated, Kathy Hibbs and Frank Witney, Ph.D., both the current Class III Directors, as nominees for re-election as the Class III Directors at the Annual Meeting and each has consented to being named in this proxy statement.</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Required Vote</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333333"/>
        </w:rPr>
        <w:t xml:space="preserve">The Class III Directors elected to the Board will be elected by a plurality of the voting power present at the Annual Meeting or represented by proxy at the Annual Meeting and entitled to vote on the election of directors. “WITHHOLD” votes and any broker non-votes (as described under the heading “ </w:t>
      </w:r>
      <w:r>
        <w:rPr>
          <w:rFonts w:ascii="Arial" w:cs="Arial" w:eastAsia="Arial" w:hAnsi="Arial"/>
          <w:sz w:val="16"/>
          <w:szCs w:val="16"/>
          <w:i w:val="1"/>
          <w:iCs w:val="1"/>
          <w:color w:val="333333"/>
        </w:rPr>
        <w:t>How can I vote my shares?</w:t>
      </w:r>
      <w:r>
        <w:rPr>
          <w:rFonts w:ascii="Arial" w:cs="Arial" w:eastAsia="Arial" w:hAnsi="Arial"/>
          <w:sz w:val="16"/>
          <w:szCs w:val="16"/>
          <w:color w:val="333333"/>
        </w:rPr>
        <w:t>”) will not be counted as votes cast and will result in the applicable nominee(s) receiving fewer votes cast “FOR” such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265430" cy="685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24356E"/>
        </w:rPr>
        <w:t>RECOMMENDATION</w:t>
      </w:r>
    </w:p>
    <w:p>
      <w:pPr>
        <w:spacing w:after="0" w:line="234" w:lineRule="exact"/>
        <w:rPr>
          <w:sz w:val="20"/>
          <w:szCs w:val="20"/>
          <w:color w:val="auto"/>
        </w:rPr>
      </w:pPr>
    </w:p>
    <w:p>
      <w:pPr>
        <w:spacing w:after="0" w:line="321" w:lineRule="auto"/>
        <w:rPr>
          <w:sz w:val="20"/>
          <w:szCs w:val="20"/>
          <w:color w:val="auto"/>
        </w:rPr>
      </w:pPr>
      <w:r>
        <w:rPr>
          <w:rFonts w:ascii="Arial" w:cs="Arial" w:eastAsia="Arial" w:hAnsi="Arial"/>
          <w:sz w:val="22"/>
          <w:szCs w:val="22"/>
          <w:b w:val="1"/>
          <w:bCs w:val="1"/>
          <w:color w:val="auto"/>
        </w:rPr>
        <w:t xml:space="preserve">Our Board unanimously recommends a vote </w:t>
      </w:r>
      <w:r>
        <w:rPr>
          <w:rFonts w:ascii="Arial" w:cs="Arial" w:eastAsia="Arial" w:hAnsi="Arial"/>
          <w:sz w:val="22"/>
          <w:szCs w:val="22"/>
          <w:b w:val="1"/>
          <w:bCs w:val="1"/>
          <w:color w:val="24356E"/>
        </w:rPr>
        <w:t>“FOR”</w:t>
      </w:r>
      <w:r>
        <w:rPr>
          <w:rFonts w:ascii="Arial" w:cs="Arial" w:eastAsia="Arial" w:hAnsi="Arial"/>
          <w:sz w:val="22"/>
          <w:szCs w:val="22"/>
          <w:b w:val="1"/>
          <w:bCs w:val="1"/>
          <w:color w:val="auto"/>
        </w:rPr>
        <w:t xml:space="preserve"> the election of each of our Board’s nominees, Kathy Hibbs and Frank Witney, Ph.D., as Class III Directors. Proxies solicited by the Board will be voted in accordance with our Board’s recommendation unless a stockholder has indicated otherwise on such stockholder’s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59664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38" w:lineRule="exact"/>
        <w:rPr>
          <w:sz w:val="20"/>
          <w:szCs w:val="20"/>
          <w:color w:val="auto"/>
        </w:rPr>
      </w:pPr>
    </w:p>
    <w:p>
      <w:pPr>
        <w:jc w:val="center"/>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Proposal 2</w:t>
      </w:r>
    </w:p>
    <w:p>
      <w:pPr>
        <w:spacing w:after="0" w:line="37" w:lineRule="exact"/>
        <w:rPr>
          <w:sz w:val="20"/>
          <w:szCs w:val="20"/>
          <w:color w:val="auto"/>
        </w:rPr>
      </w:pPr>
    </w:p>
    <w:p>
      <w:pPr>
        <w:jc w:val="both"/>
        <w:ind w:right="3020"/>
        <w:spacing w:after="0" w:line="255" w:lineRule="auto"/>
        <w:rPr>
          <w:sz w:val="20"/>
          <w:szCs w:val="20"/>
          <w:color w:val="auto"/>
        </w:rPr>
      </w:pPr>
      <w:r>
        <w:rPr>
          <w:rFonts w:ascii="Arial" w:cs="Arial" w:eastAsia="Arial" w:hAnsi="Arial"/>
          <w:sz w:val="39"/>
          <w:szCs w:val="39"/>
          <w:color w:val="auto"/>
        </w:rPr>
        <w:t>Advisory Vote on the Compensation of Our Named Executive Officers as Disclosed in this Proxy Statement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At our 2023 annual meeting of stockholders, as required by the Dodd-Frank Wall Street Reform and Consumer Protection Act, our Board recommended and our stockholders approved holding an advisory vote on the compensation of our named executive officers every year; we believe an annual vote allows for a meaningful evaluation period of performance against our compensation practices. Accordingly, as required by Section 14A of the Exchange Act, we are asking our stockholders to cast an advisory vote to approve the compensation of our named executive officers as disclosed in this proxy statement.</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Compensation Program and Philosophy</w:t>
      </w:r>
    </w:p>
    <w:p>
      <w:pPr>
        <w:spacing w:after="0" w:line="15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333333"/>
        </w:rPr>
        <w:t>The primary goals of our executive compensation program are to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w:t>
      </w:r>
    </w:p>
    <w:p>
      <w:pPr>
        <w:spacing w:after="0" w:line="12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In determining the form and amount of compensation payable to our executive officers, we are guided by the following objectives and principles:</w:t>
      </w:r>
    </w:p>
    <w:p>
      <w:pPr>
        <w:spacing w:after="0" w:line="115" w:lineRule="exact"/>
        <w:rPr>
          <w:sz w:val="20"/>
          <w:szCs w:val="20"/>
          <w:color w:val="auto"/>
        </w:rPr>
      </w:pPr>
    </w:p>
    <w:p>
      <w:pPr>
        <w:ind w:left="720" w:hanging="354"/>
        <w:spacing w:after="0"/>
        <w:tabs>
          <w:tab w:leader="none" w:pos="720" w:val="left"/>
        </w:tabs>
        <w:numPr>
          <w:ilvl w:val="0"/>
          <w:numId w:val="55"/>
        </w:numPr>
        <w:rPr>
          <w:rFonts w:ascii="Arial" w:cs="Arial" w:eastAsia="Arial" w:hAnsi="Arial"/>
          <w:sz w:val="16"/>
          <w:szCs w:val="16"/>
          <w:color w:val="333333"/>
        </w:rPr>
      </w:pPr>
      <w:r>
        <w:rPr>
          <w:rFonts w:ascii="Arial" w:cs="Arial" w:eastAsia="Arial" w:hAnsi="Arial"/>
          <w:sz w:val="16"/>
          <w:szCs w:val="16"/>
          <w:color w:val="333333"/>
        </w:rPr>
        <w:t>Team-oriented approach to establishing compensation levels;</w:t>
      </w:r>
    </w:p>
    <w:p>
      <w:pPr>
        <w:spacing w:after="0" w:line="86" w:lineRule="exact"/>
        <w:rPr>
          <w:rFonts w:ascii="Arial" w:cs="Arial" w:eastAsia="Arial" w:hAnsi="Arial"/>
          <w:sz w:val="16"/>
          <w:szCs w:val="16"/>
          <w:color w:val="333333"/>
        </w:rPr>
      </w:pPr>
    </w:p>
    <w:p>
      <w:pPr>
        <w:ind w:left="720" w:hanging="354"/>
        <w:spacing w:after="0"/>
        <w:tabs>
          <w:tab w:leader="none" w:pos="720" w:val="left"/>
        </w:tabs>
        <w:numPr>
          <w:ilvl w:val="0"/>
          <w:numId w:val="55"/>
        </w:numPr>
        <w:rPr>
          <w:rFonts w:ascii="Arial" w:cs="Arial" w:eastAsia="Arial" w:hAnsi="Arial"/>
          <w:sz w:val="16"/>
          <w:szCs w:val="16"/>
          <w:color w:val="333333"/>
        </w:rPr>
      </w:pPr>
      <w:r>
        <w:rPr>
          <w:rFonts w:ascii="Arial" w:cs="Arial" w:eastAsia="Arial" w:hAnsi="Arial"/>
          <w:sz w:val="16"/>
          <w:szCs w:val="16"/>
          <w:color w:val="333333"/>
        </w:rPr>
        <w:t>Compensation should relate to Company performance;</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55"/>
        </w:numPr>
        <w:rPr>
          <w:rFonts w:ascii="Arial" w:cs="Arial" w:eastAsia="Arial" w:hAnsi="Arial"/>
          <w:sz w:val="16"/>
          <w:szCs w:val="16"/>
          <w:color w:val="333333"/>
        </w:rPr>
      </w:pPr>
      <w:r>
        <w:rPr>
          <w:rFonts w:ascii="Arial" w:cs="Arial" w:eastAsia="Arial" w:hAnsi="Arial"/>
          <w:sz w:val="16"/>
          <w:szCs w:val="16"/>
          <w:color w:val="333333"/>
        </w:rPr>
        <w:t>Equity awards help executive officers think like stockholders; and</w:t>
      </w:r>
    </w:p>
    <w:p>
      <w:pPr>
        <w:spacing w:after="0" w:line="72" w:lineRule="exact"/>
        <w:rPr>
          <w:rFonts w:ascii="Arial" w:cs="Arial" w:eastAsia="Arial" w:hAnsi="Arial"/>
          <w:sz w:val="16"/>
          <w:szCs w:val="16"/>
          <w:color w:val="333333"/>
        </w:rPr>
      </w:pPr>
    </w:p>
    <w:p>
      <w:pPr>
        <w:ind w:left="720" w:hanging="354"/>
        <w:spacing w:after="0"/>
        <w:tabs>
          <w:tab w:leader="none" w:pos="720" w:val="left"/>
        </w:tabs>
        <w:numPr>
          <w:ilvl w:val="0"/>
          <w:numId w:val="55"/>
        </w:numPr>
        <w:rPr>
          <w:rFonts w:ascii="Arial" w:cs="Arial" w:eastAsia="Arial" w:hAnsi="Arial"/>
          <w:sz w:val="16"/>
          <w:szCs w:val="16"/>
          <w:color w:val="333333"/>
        </w:rPr>
      </w:pPr>
      <w:r>
        <w:rPr>
          <w:rFonts w:ascii="Arial" w:cs="Arial" w:eastAsia="Arial" w:hAnsi="Arial"/>
          <w:sz w:val="16"/>
          <w:szCs w:val="16"/>
          <w:color w:val="333333"/>
        </w:rPr>
        <w:t>Total compensation opportunities should be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4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color w:val="333333"/>
        </w:rPr>
        <w:t>Our Board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disclosed in this proxy statement by voting in favor of the following resolution:</w:t>
      </w:r>
    </w:p>
    <w:p>
      <w:pPr>
        <w:spacing w:after="0" w:line="124" w:lineRule="exact"/>
        <w:rPr>
          <w:sz w:val="20"/>
          <w:szCs w:val="20"/>
          <w:color w:val="auto"/>
        </w:rPr>
      </w:pPr>
    </w:p>
    <w:p>
      <w:pPr>
        <w:ind w:left="360" w:right="380"/>
        <w:spacing w:after="0" w:line="259" w:lineRule="auto"/>
        <w:rPr>
          <w:sz w:val="20"/>
          <w:szCs w:val="20"/>
          <w:color w:val="auto"/>
        </w:rPr>
      </w:pPr>
      <w:r>
        <w:rPr>
          <w:rFonts w:ascii="Arial" w:cs="Arial" w:eastAsia="Arial" w:hAnsi="Arial"/>
          <w:sz w:val="16"/>
          <w:szCs w:val="16"/>
          <w:color w:val="333333"/>
        </w:rPr>
        <w:t>“RESOLVED, that the stockholders approve, on an advisory basis in a non-binding vote, the compensation of Standard BioTools Inc.’s named executive officers as disclosed pursuant to Item 402 of Securities and Exchange Commission Regulation S-K, including the compensation tables, and narrative disclosures associated with the compensation table set forth in the proxy statement relating to Standard BioTools 2025 Annual Meeting of Stockholders.”</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Our compensation program is described further under “</w:t>
      </w:r>
      <w:r>
        <w:rPr>
          <w:rFonts w:ascii="Arial" w:cs="Arial" w:eastAsia="Arial" w:hAnsi="Arial"/>
          <w:sz w:val="16"/>
          <w:szCs w:val="16"/>
          <w:i w:val="1"/>
          <w:iCs w:val="1"/>
          <w:color w:val="000000"/>
        </w:rPr>
        <w:t>Executive Compensation,</w:t>
      </w:r>
      <w:r>
        <w:rPr>
          <w:rFonts w:ascii="Arial" w:cs="Arial" w:eastAsia="Arial" w:hAnsi="Arial"/>
          <w:sz w:val="16"/>
          <w:szCs w:val="16"/>
          <w:color w:val="333333"/>
        </w:rPr>
        <w:t>” “</w:t>
      </w:r>
      <w:r>
        <w:rPr>
          <w:rFonts w:ascii="Arial" w:cs="Arial" w:eastAsia="Arial" w:hAnsi="Arial"/>
          <w:sz w:val="16"/>
          <w:szCs w:val="16"/>
          <w:i w:val="1"/>
          <w:iCs w:val="1"/>
          <w:color w:val="000000"/>
        </w:rPr>
        <w:t>Compensation Discussion and Analysis,</w:t>
      </w:r>
      <w:r>
        <w:rPr>
          <w:rFonts w:ascii="Arial" w:cs="Arial" w:eastAsia="Arial" w:hAnsi="Arial"/>
          <w:sz w:val="16"/>
          <w:szCs w:val="16"/>
          <w:color w:val="333333"/>
        </w:rPr>
        <w:t>” and in “</w:t>
      </w:r>
      <w:r>
        <w:rPr>
          <w:rFonts w:ascii="Arial" w:cs="Arial" w:eastAsia="Arial" w:hAnsi="Arial"/>
          <w:sz w:val="16"/>
          <w:szCs w:val="16"/>
          <w:i w:val="1"/>
          <w:iCs w:val="1"/>
          <w:color w:val="000000"/>
        </w:rPr>
        <w:t>Pay versus Performance</w:t>
      </w:r>
      <w:r>
        <w:rPr>
          <w:rFonts w:ascii="Arial" w:cs="Arial" w:eastAsia="Arial" w:hAnsi="Arial"/>
          <w:sz w:val="16"/>
          <w:szCs w:val="16"/>
          <w:color w:val="333333"/>
        </w:rPr>
        <w:t>.” Since our executives’ compensation is so heavily weighted in equity awards, there is close alignment between our executive officers realized pay and stockholder performance. Our Human Capital Committee, with the input of an independent consultant, approved compensation it believes closely aligns our executive officers’ interests with the interests of our stockholders.</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Required Vote</w:t>
      </w:r>
    </w:p>
    <w:p>
      <w:pPr>
        <w:spacing w:after="0" w:line="15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33333"/>
        </w:rPr>
        <w:t>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this proposal. Broker non-votes are not included in the tabulation of voting results on this proposal and will not affect the outcome of voting on this proposal.</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333333"/>
        </w:rPr>
        <w:t>Although this say-on-pay vote is advisory and, therefore, will not be binding on us, our Human Capital Committee, and our Board value the opinions of our stockholders. Accordingly, to the extent there is a significant vote against the compensation of our named executive officers, we will consider our stockholders’ concerns, and the Human Capital Committee will evaluate what actions may be necessary or appropriate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464820</wp:posOffset>
            </wp:positionV>
            <wp:extent cx="265430" cy="685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24356E"/>
        </w:rPr>
        <w:t>RECOMMENDATION</w:t>
      </w:r>
    </w:p>
    <w:p>
      <w:pPr>
        <w:spacing w:after="0" w:line="220" w:lineRule="exact"/>
        <w:rPr>
          <w:sz w:val="20"/>
          <w:szCs w:val="20"/>
          <w:color w:val="auto"/>
        </w:rPr>
      </w:pPr>
    </w:p>
    <w:p>
      <w:pPr>
        <w:ind w:right="160"/>
        <w:spacing w:after="0" w:line="364" w:lineRule="auto"/>
        <w:rPr>
          <w:sz w:val="20"/>
          <w:szCs w:val="20"/>
          <w:color w:val="auto"/>
        </w:rPr>
      </w:pPr>
      <w:r>
        <w:rPr>
          <w:rFonts w:ascii="Arial" w:cs="Arial" w:eastAsia="Arial" w:hAnsi="Arial"/>
          <w:sz w:val="21"/>
          <w:szCs w:val="21"/>
          <w:b w:val="1"/>
          <w:bCs w:val="1"/>
          <w:color w:val="auto"/>
        </w:rPr>
        <w:t xml:space="preserve">Our Board unanimously recommends a vote </w:t>
      </w:r>
      <w:r>
        <w:rPr>
          <w:rFonts w:ascii="Arial" w:cs="Arial" w:eastAsia="Arial" w:hAnsi="Arial"/>
          <w:sz w:val="21"/>
          <w:szCs w:val="21"/>
          <w:b w:val="1"/>
          <w:bCs w:val="1"/>
          <w:color w:val="24356E"/>
        </w:rPr>
        <w:t>“FOR”</w:t>
      </w:r>
      <w:r>
        <w:rPr>
          <w:rFonts w:ascii="Arial" w:cs="Arial" w:eastAsia="Arial" w:hAnsi="Arial"/>
          <w:sz w:val="21"/>
          <w:szCs w:val="21"/>
          <w:b w:val="1"/>
          <w:bCs w:val="1"/>
          <w:color w:val="auto"/>
        </w:rPr>
        <w:t xml:space="preserve"> the approval, on an advisory basis, of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58420</wp:posOffset>
            </wp:positionV>
            <wp:extent cx="59664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4"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Proposal 3</w:t>
      </w:r>
    </w:p>
    <w:p>
      <w:pPr>
        <w:spacing w:after="0" w:line="36" w:lineRule="exact"/>
        <w:rPr>
          <w:sz w:val="20"/>
          <w:szCs w:val="20"/>
          <w:color w:val="auto"/>
        </w:rPr>
      </w:pPr>
    </w:p>
    <w:p>
      <w:pPr>
        <w:spacing w:after="0"/>
        <w:rPr>
          <w:sz w:val="20"/>
          <w:szCs w:val="20"/>
          <w:color w:val="auto"/>
        </w:rPr>
      </w:pPr>
      <w:r>
        <w:rPr>
          <w:rFonts w:ascii="Arial" w:cs="Arial" w:eastAsia="Arial" w:hAnsi="Arial"/>
          <w:sz w:val="40"/>
          <w:szCs w:val="40"/>
          <w:color w:val="auto"/>
        </w:rPr>
        <w:t>Ratification of the Appointment of</w:t>
      </w:r>
    </w:p>
    <w:p>
      <w:pPr>
        <w:spacing w:after="0"/>
        <w:rPr>
          <w:sz w:val="20"/>
          <w:szCs w:val="20"/>
          <w:color w:val="auto"/>
        </w:rPr>
      </w:pPr>
      <w:r>
        <w:rPr>
          <w:rFonts w:ascii="Arial" w:cs="Arial" w:eastAsia="Arial" w:hAnsi="Arial"/>
          <w:sz w:val="40"/>
          <w:szCs w:val="40"/>
          <w:color w:val="auto"/>
        </w:rPr>
        <w:t>Independent Registered Public</w:t>
      </w:r>
    </w:p>
    <w:p>
      <w:pPr>
        <w:spacing w:after="0"/>
        <w:rPr>
          <w:sz w:val="20"/>
          <w:szCs w:val="20"/>
          <w:color w:val="auto"/>
        </w:rPr>
      </w:pPr>
      <w:r>
        <w:rPr>
          <w:rFonts w:ascii="Arial" w:cs="Arial" w:eastAsia="Arial" w:hAnsi="Arial"/>
          <w:sz w:val="40"/>
          <w:szCs w:val="40"/>
          <w:color w:val="auto"/>
        </w:rPr>
        <w:t>Accounting Firm</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18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333333"/>
        </w:rPr>
        <w:t>Our Audit Committee has appointed PricewaterhouseCoopers LLP (“PwC”) to audit the financial statements of our Company for the fiscal year ending December 31, 2025 and recommends that stockholders vote in favor of the ratification of such appointment. PwC served as our registered independent public accounting firm for the fiscal years ended December 31, 2024 and 2023 and for prior years.</w:t>
      </w:r>
    </w:p>
    <w:p>
      <w:pPr>
        <w:spacing w:after="0" w:line="128" w:lineRule="exact"/>
        <w:rPr>
          <w:sz w:val="20"/>
          <w:szCs w:val="20"/>
          <w:color w:val="auto"/>
        </w:rPr>
      </w:pPr>
    </w:p>
    <w:p>
      <w:pPr>
        <w:spacing w:after="0" w:line="303" w:lineRule="auto"/>
        <w:rPr>
          <w:sz w:val="20"/>
          <w:szCs w:val="20"/>
          <w:color w:val="auto"/>
        </w:rPr>
      </w:pPr>
      <w:r>
        <w:rPr>
          <w:rFonts w:ascii="Arial" w:cs="Arial" w:eastAsia="Arial" w:hAnsi="Arial"/>
          <w:sz w:val="16"/>
          <w:szCs w:val="16"/>
          <w:color w:val="333333"/>
        </w:rPr>
        <w:t>At the Annual Meeting, stockholders are being asked to ratify the appointment of PwC as our independent registered public accounting firm for our fiscal year ending December 31, 2025. Stockholder ratification of the appointment of PwC is not required by our bylaws or other applicable legal requirements. However, our Board is submitting the appointment of PwC to our stockholders for ratification as a matter of good corporate governance. In the event that this appointment is not ratified by the affirmative vote of a majority of the voting power of the shares present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2025 if our Audit Committee believes that such a change would be in the best interests of the Company and its stockholders. A representative of PwC is expected to be present at the Annual Meeting, will have an opportunity to make a statement if she wishes to do so, and is expected to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59664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67" w:lineRule="exact"/>
        <w:rPr>
          <w:sz w:val="20"/>
          <w:szCs w:val="20"/>
          <w:color w:val="auto"/>
        </w:rPr>
      </w:pPr>
    </w:p>
    <w:p>
      <w:pPr>
        <w:jc w:val="center"/>
        <w:ind w:right="6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Principal Accounting Fees and Services</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333333"/>
        </w:rPr>
        <w:t>The following table sets forth the aggregate fees for audit services provided by PwC for the years ended December 31, 2024 and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4200" w:type="dxa"/>
            <w:vAlign w:val="bottom"/>
            <w:shd w:val="clear" w:color="auto" w:fill="24356E"/>
          </w:tcPr>
          <w:p>
            <w:pPr>
              <w:spacing w:after="0"/>
              <w:rPr>
                <w:sz w:val="24"/>
                <w:szCs w:val="24"/>
                <w:color w:val="auto"/>
              </w:rPr>
            </w:pPr>
          </w:p>
        </w:tc>
        <w:tc>
          <w:tcPr>
            <w:tcW w:w="2960" w:type="dxa"/>
            <w:vAlign w:val="bottom"/>
            <w:shd w:val="clear" w:color="auto" w:fill="24356E"/>
          </w:tcPr>
          <w:p>
            <w:pPr>
              <w:spacing w:after="0"/>
              <w:rPr>
                <w:sz w:val="24"/>
                <w:szCs w:val="24"/>
                <w:color w:val="auto"/>
              </w:rPr>
            </w:pPr>
          </w:p>
        </w:tc>
        <w:tc>
          <w:tcPr>
            <w:tcW w:w="940" w:type="dxa"/>
            <w:vAlign w:val="bottom"/>
            <w:shd w:val="clear" w:color="auto" w:fill="24356E"/>
          </w:tcPr>
          <w:p>
            <w:pPr>
              <w:jc w:val="right"/>
              <w:ind w:right="308"/>
              <w:spacing w:after="0"/>
              <w:rPr>
                <w:sz w:val="20"/>
                <w:szCs w:val="20"/>
                <w:color w:val="auto"/>
              </w:rPr>
            </w:pPr>
            <w:r>
              <w:rPr>
                <w:rFonts w:ascii="Arial" w:cs="Arial" w:eastAsia="Arial" w:hAnsi="Arial"/>
                <w:sz w:val="14"/>
                <w:szCs w:val="14"/>
                <w:color w:val="FFFFFF"/>
              </w:rPr>
              <w:t>2024</w:t>
            </w:r>
          </w:p>
        </w:tc>
        <w:tc>
          <w:tcPr>
            <w:tcW w:w="640" w:type="dxa"/>
            <w:vAlign w:val="bottom"/>
            <w:shd w:val="clear" w:color="auto" w:fill="24356E"/>
          </w:tcPr>
          <w:p>
            <w:pPr>
              <w:spacing w:after="0"/>
              <w:rPr>
                <w:sz w:val="24"/>
                <w:szCs w:val="24"/>
                <w:color w:val="auto"/>
              </w:rPr>
            </w:pPr>
          </w:p>
        </w:tc>
        <w:tc>
          <w:tcPr>
            <w:tcW w:w="66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2023</w:t>
            </w:r>
          </w:p>
        </w:tc>
      </w:tr>
      <w:tr>
        <w:trPr>
          <w:trHeight w:val="89"/>
        </w:trPr>
        <w:tc>
          <w:tcPr>
            <w:tcW w:w="4200" w:type="dxa"/>
            <w:vAlign w:val="bottom"/>
            <w:shd w:val="clear" w:color="auto" w:fill="24356E"/>
          </w:tcPr>
          <w:p>
            <w:pPr>
              <w:spacing w:after="0"/>
              <w:rPr>
                <w:sz w:val="7"/>
                <w:szCs w:val="7"/>
                <w:color w:val="auto"/>
              </w:rPr>
            </w:pPr>
          </w:p>
        </w:tc>
        <w:tc>
          <w:tcPr>
            <w:tcW w:w="3900" w:type="dxa"/>
            <w:vAlign w:val="bottom"/>
            <w:gridSpan w:val="2"/>
            <w:shd w:val="clear" w:color="auto" w:fill="24356E"/>
          </w:tcPr>
          <w:p>
            <w:pPr>
              <w:spacing w:after="0"/>
              <w:rPr>
                <w:sz w:val="7"/>
                <w:szCs w:val="7"/>
                <w:color w:val="auto"/>
              </w:rPr>
            </w:pPr>
          </w:p>
        </w:tc>
        <w:tc>
          <w:tcPr>
            <w:tcW w:w="1300" w:type="dxa"/>
            <w:vAlign w:val="bottom"/>
            <w:gridSpan w:val="2"/>
            <w:shd w:val="clear" w:color="auto" w:fill="24356E"/>
          </w:tcPr>
          <w:p>
            <w:pPr>
              <w:spacing w:after="0"/>
              <w:rPr>
                <w:sz w:val="7"/>
                <w:szCs w:val="7"/>
                <w:color w:val="auto"/>
              </w:rPr>
            </w:pPr>
          </w:p>
        </w:tc>
      </w:tr>
      <w:tr>
        <w:trPr>
          <w:trHeight w:val="405"/>
        </w:trPr>
        <w:tc>
          <w:tcPr>
            <w:tcW w:w="420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Audit fees</w:t>
            </w:r>
            <w:r>
              <w:rPr>
                <w:rFonts w:ascii="Arial" w:cs="Arial" w:eastAsia="Arial" w:hAnsi="Arial"/>
                <w:sz w:val="23"/>
                <w:szCs w:val="23"/>
                <w:b w:val="1"/>
                <w:bCs w:val="1"/>
                <w:color w:val="auto"/>
                <w:vertAlign w:val="superscript"/>
              </w:rPr>
              <w:t>(1)</w:t>
            </w:r>
          </w:p>
        </w:tc>
        <w:tc>
          <w:tcPr>
            <w:tcW w:w="3900" w:type="dxa"/>
            <w:vAlign w:val="bottom"/>
            <w:tcBorders>
              <w:bottom w:val="single" w:sz="8" w:color="666666"/>
            </w:tcBorders>
            <w:gridSpan w:val="2"/>
          </w:tcPr>
          <w:p>
            <w:pPr>
              <w:ind w:left="2740"/>
              <w:spacing w:after="0"/>
              <w:rPr>
                <w:sz w:val="20"/>
                <w:szCs w:val="20"/>
                <w:color w:val="auto"/>
              </w:rPr>
            </w:pPr>
            <w:r>
              <w:rPr>
                <w:rFonts w:ascii="Arial" w:cs="Arial" w:eastAsia="Arial" w:hAnsi="Arial"/>
                <w:sz w:val="14"/>
                <w:szCs w:val="14"/>
                <w:color w:val="auto"/>
              </w:rPr>
              <w:t>$3,529,000</w:t>
            </w:r>
          </w:p>
        </w:tc>
        <w:tc>
          <w:tcPr>
            <w:tcW w:w="1300" w:type="dxa"/>
            <w:vAlign w:val="bottom"/>
            <w:tcBorders>
              <w:bottom w:val="single" w:sz="8" w:color="666666"/>
            </w:tcBorders>
            <w:gridSpan w:val="2"/>
          </w:tcPr>
          <w:p>
            <w:pPr>
              <w:ind w:left="380"/>
              <w:spacing w:after="0"/>
              <w:rPr>
                <w:sz w:val="20"/>
                <w:szCs w:val="20"/>
                <w:color w:val="auto"/>
              </w:rPr>
            </w:pPr>
            <w:r>
              <w:rPr>
                <w:rFonts w:ascii="Arial" w:cs="Arial" w:eastAsia="Arial" w:hAnsi="Arial"/>
                <w:sz w:val="14"/>
                <w:szCs w:val="14"/>
                <w:color w:val="auto"/>
              </w:rPr>
              <w:t>$2,031,224</w:t>
            </w:r>
          </w:p>
        </w:tc>
      </w:tr>
      <w:tr>
        <w:trPr>
          <w:trHeight w:val="288"/>
        </w:trPr>
        <w:tc>
          <w:tcPr>
            <w:tcW w:w="4200" w:type="dxa"/>
            <w:vAlign w:val="bottom"/>
          </w:tcPr>
          <w:p>
            <w:pPr>
              <w:ind w:left="260"/>
              <w:spacing w:after="0"/>
              <w:rPr>
                <w:sz w:val="20"/>
                <w:szCs w:val="20"/>
                <w:color w:val="auto"/>
              </w:rPr>
            </w:pPr>
            <w:r>
              <w:rPr>
                <w:rFonts w:ascii="Arial" w:cs="Arial" w:eastAsia="Arial" w:hAnsi="Arial"/>
                <w:sz w:val="14"/>
                <w:szCs w:val="14"/>
                <w:b w:val="1"/>
                <w:bCs w:val="1"/>
                <w:color w:val="auto"/>
              </w:rPr>
              <w:t>Audit-related fees</w:t>
            </w:r>
          </w:p>
        </w:tc>
        <w:tc>
          <w:tcPr>
            <w:tcW w:w="2960" w:type="dxa"/>
            <w:vAlign w:val="bottom"/>
          </w:tcPr>
          <w:p>
            <w:pPr>
              <w:spacing w:after="0"/>
              <w:rPr>
                <w:sz w:val="24"/>
                <w:szCs w:val="24"/>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83"/>
        </w:trPr>
        <w:tc>
          <w:tcPr>
            <w:tcW w:w="4200" w:type="dxa"/>
            <w:vAlign w:val="bottom"/>
            <w:tcBorders>
              <w:bottom w:val="single" w:sz="8" w:color="666666"/>
            </w:tcBorders>
          </w:tcPr>
          <w:p>
            <w:pPr>
              <w:spacing w:after="0"/>
              <w:rPr>
                <w:sz w:val="7"/>
                <w:szCs w:val="7"/>
                <w:color w:val="auto"/>
              </w:rPr>
            </w:pPr>
          </w:p>
        </w:tc>
        <w:tc>
          <w:tcPr>
            <w:tcW w:w="2960" w:type="dxa"/>
            <w:vAlign w:val="bottom"/>
            <w:tcBorders>
              <w:bottom w:val="single" w:sz="8" w:color="666666"/>
            </w:tcBorders>
          </w:tcPr>
          <w:p>
            <w:pPr>
              <w:spacing w:after="0"/>
              <w:rPr>
                <w:sz w:val="7"/>
                <w:szCs w:val="7"/>
                <w:color w:val="auto"/>
              </w:rPr>
            </w:pPr>
          </w:p>
        </w:tc>
        <w:tc>
          <w:tcPr>
            <w:tcW w:w="940" w:type="dxa"/>
            <w:vAlign w:val="bottom"/>
            <w:tcBorders>
              <w:bottom w:val="single" w:sz="8" w:color="666666"/>
            </w:tcBorders>
          </w:tcPr>
          <w:p>
            <w:pPr>
              <w:spacing w:after="0"/>
              <w:rPr>
                <w:sz w:val="7"/>
                <w:szCs w:val="7"/>
                <w:color w:val="auto"/>
              </w:rPr>
            </w:pPr>
          </w:p>
        </w:tc>
        <w:tc>
          <w:tcPr>
            <w:tcW w:w="64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tcPr>
          <w:p>
            <w:pPr>
              <w:spacing w:after="0"/>
              <w:rPr>
                <w:sz w:val="7"/>
                <w:szCs w:val="7"/>
                <w:color w:val="auto"/>
              </w:rPr>
            </w:pPr>
          </w:p>
        </w:tc>
      </w:tr>
      <w:tr>
        <w:trPr>
          <w:trHeight w:val="288"/>
        </w:trPr>
        <w:tc>
          <w:tcPr>
            <w:tcW w:w="4200" w:type="dxa"/>
            <w:vAlign w:val="bottom"/>
          </w:tcPr>
          <w:p>
            <w:pPr>
              <w:ind w:left="260"/>
              <w:spacing w:after="0"/>
              <w:rPr>
                <w:sz w:val="20"/>
                <w:szCs w:val="20"/>
                <w:color w:val="auto"/>
              </w:rPr>
            </w:pPr>
            <w:r>
              <w:rPr>
                <w:rFonts w:ascii="Arial" w:cs="Arial" w:eastAsia="Arial" w:hAnsi="Arial"/>
                <w:sz w:val="14"/>
                <w:szCs w:val="14"/>
                <w:b w:val="1"/>
                <w:bCs w:val="1"/>
                <w:color w:val="auto"/>
              </w:rPr>
              <w:t>Tax fees</w:t>
            </w:r>
          </w:p>
        </w:tc>
        <w:tc>
          <w:tcPr>
            <w:tcW w:w="2960" w:type="dxa"/>
            <w:vAlign w:val="bottom"/>
          </w:tcPr>
          <w:p>
            <w:pPr>
              <w:spacing w:after="0"/>
              <w:rPr>
                <w:sz w:val="24"/>
                <w:szCs w:val="24"/>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83"/>
        </w:trPr>
        <w:tc>
          <w:tcPr>
            <w:tcW w:w="4200" w:type="dxa"/>
            <w:vAlign w:val="bottom"/>
            <w:tcBorders>
              <w:bottom w:val="single" w:sz="8" w:color="666666"/>
            </w:tcBorders>
          </w:tcPr>
          <w:p>
            <w:pPr>
              <w:spacing w:after="0"/>
              <w:rPr>
                <w:sz w:val="7"/>
                <w:szCs w:val="7"/>
                <w:color w:val="auto"/>
              </w:rPr>
            </w:pPr>
          </w:p>
        </w:tc>
        <w:tc>
          <w:tcPr>
            <w:tcW w:w="2960" w:type="dxa"/>
            <w:vAlign w:val="bottom"/>
            <w:tcBorders>
              <w:bottom w:val="single" w:sz="8" w:color="666666"/>
            </w:tcBorders>
          </w:tcPr>
          <w:p>
            <w:pPr>
              <w:spacing w:after="0"/>
              <w:rPr>
                <w:sz w:val="7"/>
                <w:szCs w:val="7"/>
                <w:color w:val="auto"/>
              </w:rPr>
            </w:pPr>
          </w:p>
        </w:tc>
        <w:tc>
          <w:tcPr>
            <w:tcW w:w="940" w:type="dxa"/>
            <w:vAlign w:val="bottom"/>
            <w:tcBorders>
              <w:bottom w:val="single" w:sz="8" w:color="666666"/>
            </w:tcBorders>
          </w:tcPr>
          <w:p>
            <w:pPr>
              <w:spacing w:after="0"/>
              <w:rPr>
                <w:sz w:val="7"/>
                <w:szCs w:val="7"/>
                <w:color w:val="auto"/>
              </w:rPr>
            </w:pPr>
          </w:p>
        </w:tc>
        <w:tc>
          <w:tcPr>
            <w:tcW w:w="64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tcPr>
          <w:p>
            <w:pPr>
              <w:spacing w:after="0"/>
              <w:rPr>
                <w:sz w:val="7"/>
                <w:szCs w:val="7"/>
                <w:color w:val="auto"/>
              </w:rPr>
            </w:pPr>
          </w:p>
        </w:tc>
      </w:tr>
      <w:tr>
        <w:trPr>
          <w:trHeight w:val="398"/>
        </w:trPr>
        <w:tc>
          <w:tcPr>
            <w:tcW w:w="420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All other fees</w:t>
            </w:r>
            <w:r>
              <w:rPr>
                <w:rFonts w:ascii="Arial" w:cs="Arial" w:eastAsia="Arial" w:hAnsi="Arial"/>
                <w:sz w:val="23"/>
                <w:szCs w:val="23"/>
                <w:b w:val="1"/>
                <w:bCs w:val="1"/>
                <w:color w:val="auto"/>
                <w:vertAlign w:val="superscript"/>
              </w:rPr>
              <w:t>(2)</w:t>
            </w:r>
          </w:p>
        </w:tc>
        <w:tc>
          <w:tcPr>
            <w:tcW w:w="2960" w:type="dxa"/>
            <w:vAlign w:val="bottom"/>
            <w:tcBorders>
              <w:bottom w:val="single" w:sz="8" w:color="666666"/>
            </w:tcBorders>
          </w:tcPr>
          <w:p>
            <w:pPr>
              <w:ind w:left="27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66666"/>
            </w:tcBorders>
          </w:tcPr>
          <w:p>
            <w:pPr>
              <w:jc w:val="right"/>
              <w:ind w:right="368"/>
              <w:spacing w:after="0"/>
              <w:rPr>
                <w:sz w:val="20"/>
                <w:szCs w:val="20"/>
                <w:color w:val="auto"/>
              </w:rPr>
            </w:pPr>
            <w:r>
              <w:rPr>
                <w:rFonts w:ascii="Arial" w:cs="Arial" w:eastAsia="Arial" w:hAnsi="Arial"/>
                <w:sz w:val="14"/>
                <w:szCs w:val="14"/>
                <w:color w:val="auto"/>
              </w:rPr>
              <w:t>2,000</w:t>
            </w:r>
          </w:p>
        </w:tc>
        <w:tc>
          <w:tcPr>
            <w:tcW w:w="640" w:type="dxa"/>
            <w:vAlign w:val="bottom"/>
            <w:tcBorders>
              <w:bottom w:val="single" w:sz="8" w:color="666666"/>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66666"/>
            </w:tcBorders>
          </w:tcPr>
          <w:p>
            <w:pPr>
              <w:jc w:val="right"/>
              <w:ind w:right="148"/>
              <w:spacing w:after="0"/>
              <w:rPr>
                <w:sz w:val="20"/>
                <w:szCs w:val="20"/>
                <w:color w:val="auto"/>
              </w:rPr>
            </w:pPr>
            <w:r>
              <w:rPr>
                <w:rFonts w:ascii="Arial" w:cs="Arial" w:eastAsia="Arial" w:hAnsi="Arial"/>
                <w:sz w:val="14"/>
                <w:szCs w:val="14"/>
                <w:color w:val="auto"/>
              </w:rPr>
              <w:t>900</w:t>
            </w:r>
          </w:p>
        </w:tc>
      </w:tr>
      <w:tr>
        <w:trPr>
          <w:trHeight w:val="288"/>
        </w:trPr>
        <w:tc>
          <w:tcPr>
            <w:tcW w:w="4200" w:type="dxa"/>
            <w:vAlign w:val="bottom"/>
          </w:tcPr>
          <w:p>
            <w:pPr>
              <w:ind w:left="260"/>
              <w:spacing w:after="0"/>
              <w:rPr>
                <w:sz w:val="20"/>
                <w:szCs w:val="20"/>
                <w:color w:val="auto"/>
              </w:rPr>
            </w:pPr>
            <w:r>
              <w:rPr>
                <w:rFonts w:ascii="Arial" w:cs="Arial" w:eastAsia="Arial" w:hAnsi="Arial"/>
                <w:sz w:val="14"/>
                <w:szCs w:val="14"/>
                <w:b w:val="1"/>
                <w:bCs w:val="1"/>
                <w:color w:val="auto"/>
              </w:rPr>
              <w:t>Total fees</w:t>
            </w:r>
          </w:p>
        </w:tc>
        <w:tc>
          <w:tcPr>
            <w:tcW w:w="3900" w:type="dxa"/>
            <w:vAlign w:val="bottom"/>
            <w:gridSpan w:val="2"/>
          </w:tcPr>
          <w:p>
            <w:pPr>
              <w:ind w:left="2740"/>
              <w:spacing w:after="0"/>
              <w:rPr>
                <w:sz w:val="20"/>
                <w:szCs w:val="20"/>
                <w:color w:val="auto"/>
              </w:rPr>
            </w:pPr>
            <w:r>
              <w:rPr>
                <w:rFonts w:ascii="Arial" w:cs="Arial" w:eastAsia="Arial" w:hAnsi="Arial"/>
                <w:sz w:val="14"/>
                <w:szCs w:val="14"/>
                <w:color w:val="auto"/>
              </w:rPr>
              <w:t>$3,531,000</w:t>
            </w:r>
          </w:p>
        </w:tc>
        <w:tc>
          <w:tcPr>
            <w:tcW w:w="1300" w:type="dxa"/>
            <w:vAlign w:val="bottom"/>
            <w:gridSpan w:val="2"/>
          </w:tcPr>
          <w:p>
            <w:pPr>
              <w:ind w:left="380"/>
              <w:spacing w:after="0"/>
              <w:rPr>
                <w:sz w:val="20"/>
                <w:szCs w:val="20"/>
                <w:color w:val="auto"/>
              </w:rPr>
            </w:pPr>
            <w:r>
              <w:rPr>
                <w:rFonts w:ascii="Arial" w:cs="Arial" w:eastAsia="Arial" w:hAnsi="Arial"/>
                <w:sz w:val="14"/>
                <w:szCs w:val="14"/>
                <w:color w:val="auto"/>
              </w:rPr>
              <w:t>$2,032,124</w:t>
            </w:r>
          </w:p>
        </w:tc>
      </w:tr>
      <w:tr>
        <w:trPr>
          <w:trHeight w:val="70"/>
        </w:trPr>
        <w:tc>
          <w:tcPr>
            <w:tcW w:w="4200" w:type="dxa"/>
            <w:vAlign w:val="bottom"/>
            <w:tcBorders>
              <w:bottom w:val="single" w:sz="8" w:color="24356E"/>
            </w:tcBorders>
          </w:tcPr>
          <w:p>
            <w:pPr>
              <w:spacing w:after="0"/>
              <w:rPr>
                <w:sz w:val="6"/>
                <w:szCs w:val="6"/>
                <w:color w:val="auto"/>
              </w:rPr>
            </w:pPr>
          </w:p>
        </w:tc>
        <w:tc>
          <w:tcPr>
            <w:tcW w:w="2960" w:type="dxa"/>
            <w:vAlign w:val="bottom"/>
            <w:tcBorders>
              <w:bottom w:val="single" w:sz="8" w:color="24356E"/>
            </w:tcBorders>
          </w:tcPr>
          <w:p>
            <w:pPr>
              <w:spacing w:after="0"/>
              <w:rPr>
                <w:sz w:val="6"/>
                <w:szCs w:val="6"/>
                <w:color w:val="auto"/>
              </w:rPr>
            </w:pPr>
          </w:p>
        </w:tc>
        <w:tc>
          <w:tcPr>
            <w:tcW w:w="940" w:type="dxa"/>
            <w:vAlign w:val="bottom"/>
            <w:tcBorders>
              <w:bottom w:val="single" w:sz="8" w:color="24356E"/>
            </w:tcBorders>
          </w:tcPr>
          <w:p>
            <w:pPr>
              <w:spacing w:after="0"/>
              <w:rPr>
                <w:sz w:val="6"/>
                <w:szCs w:val="6"/>
                <w:color w:val="auto"/>
              </w:rPr>
            </w:pPr>
          </w:p>
        </w:tc>
        <w:tc>
          <w:tcPr>
            <w:tcW w:w="640" w:type="dxa"/>
            <w:vAlign w:val="bottom"/>
            <w:tcBorders>
              <w:bottom w:val="single" w:sz="8" w:color="24356E"/>
            </w:tcBorders>
          </w:tcPr>
          <w:p>
            <w:pPr>
              <w:spacing w:after="0"/>
              <w:rPr>
                <w:sz w:val="6"/>
                <w:szCs w:val="6"/>
                <w:color w:val="auto"/>
              </w:rPr>
            </w:pPr>
          </w:p>
        </w:tc>
        <w:tc>
          <w:tcPr>
            <w:tcW w:w="660" w:type="dxa"/>
            <w:vAlign w:val="bottom"/>
            <w:tcBorders>
              <w:bottom w:val="single" w:sz="8" w:color="24356E"/>
            </w:tcBorders>
          </w:tcPr>
          <w:p>
            <w:pPr>
              <w:spacing w:after="0"/>
              <w:rPr>
                <w:sz w:val="6"/>
                <w:szCs w:val="6"/>
                <w:color w:val="auto"/>
              </w:rPr>
            </w:pPr>
          </w:p>
        </w:tc>
      </w:tr>
    </w:tbl>
    <w:p>
      <w:pPr>
        <w:spacing w:after="0" w:line="158" w:lineRule="exact"/>
        <w:rPr>
          <w:sz w:val="20"/>
          <w:szCs w:val="20"/>
          <w:color w:val="auto"/>
        </w:rPr>
      </w:pPr>
    </w:p>
    <w:p>
      <w:pPr>
        <w:ind w:left="360" w:right="40" w:hanging="354"/>
        <w:spacing w:after="0" w:line="231" w:lineRule="auto"/>
        <w:tabs>
          <w:tab w:leader="none" w:pos="36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Audit fees for fees billed or to be billed by PwC for professional services rendered for the audit of our annual consolidated financial statements and management’s report on internal controls included in our annual reports on Form 10-K; for the review of the consolidated financial statements included in our quarterly reports on Form 10-Q; and for other services, including statutory audits and services rendered in connection with SEC filings and the merger with SomaLogic, which closed on January 5, 2024.</w:t>
      </w:r>
    </w:p>
    <w:p>
      <w:pPr>
        <w:spacing w:after="0" w:line="45" w:lineRule="exact"/>
        <w:rPr>
          <w:rFonts w:ascii="Arial" w:cs="Arial" w:eastAsia="Arial" w:hAnsi="Arial"/>
          <w:sz w:val="13"/>
          <w:szCs w:val="13"/>
          <w:b w:val="1"/>
          <w:bCs w:val="1"/>
          <w:color w:val="auto"/>
        </w:rPr>
      </w:pPr>
    </w:p>
    <w:p>
      <w:pPr>
        <w:ind w:left="360" w:right="140" w:hanging="354"/>
        <w:spacing w:after="0" w:line="252" w:lineRule="auto"/>
        <w:tabs>
          <w:tab w:leader="none" w:pos="36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All other fees consist of amounts billed by PwC for professional services other than the services reported above. These include fees associated with permissible consulting services and a license fee that enables the company to utilize PwC’s specialized accounting research software.</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b w:val="1"/>
          <w:bCs w:val="1"/>
          <w:color w:val="24356E"/>
        </w:rPr>
        <w:t>Policy on Audit Committee Pre-Approval of Services Performed by Independent Registered Public Accounting Firm</w:t>
      </w:r>
    </w:p>
    <w:p>
      <w:pPr>
        <w:spacing w:after="0" w:line="7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333333"/>
        </w:rPr>
        <w:t>Consistent with SEC and PCAOB requirements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333333"/>
        </w:rPr>
        <w:t>All of the services of PwC for 2024 and 2023 described above were pre-approved by the Audit Committee.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Required Vote</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6"/>
          <w:szCs w:val="16"/>
          <w:color w:val="333333"/>
        </w:rPr>
        <w:t>Ratification of the appointment of PwC as our independent registered public accounting firm for the year ending December 31, 2025 requires the affirmative “FOR” vote of a majority of the voting power of the shares present or represented by proxy at the Annual Meeting and entitled to vote on the proposal. You may vote “FOR,” “AGAINST,” or “ABSTAIN” on this proposal. Abstentions, if any, will be treated as votes against this proposal. Broker non-votes, if any, will not affect the outcome of voting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430530</wp:posOffset>
            </wp:positionV>
            <wp:extent cx="265430" cy="685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24356E"/>
        </w:rPr>
        <w:t>RECOMMENDATION</w:t>
      </w:r>
    </w:p>
    <w:p>
      <w:pPr>
        <w:spacing w:after="0" w:line="207" w:lineRule="exact"/>
        <w:rPr>
          <w:sz w:val="20"/>
          <w:szCs w:val="20"/>
          <w:color w:val="auto"/>
        </w:rPr>
      </w:pPr>
    </w:p>
    <w:p>
      <w:pPr>
        <w:jc w:val="both"/>
        <w:ind w:right="280"/>
        <w:spacing w:after="0" w:line="315" w:lineRule="auto"/>
        <w:rPr>
          <w:sz w:val="20"/>
          <w:szCs w:val="20"/>
          <w:color w:val="auto"/>
        </w:rPr>
      </w:pPr>
      <w:r>
        <w:rPr>
          <w:rFonts w:ascii="Arial" w:cs="Arial" w:eastAsia="Arial" w:hAnsi="Arial"/>
          <w:sz w:val="22"/>
          <w:szCs w:val="22"/>
          <w:b w:val="1"/>
          <w:bCs w:val="1"/>
          <w:color w:val="auto"/>
        </w:rPr>
        <w:t xml:space="preserve">Our Board unanimously recommends a vote </w:t>
      </w:r>
      <w:r>
        <w:rPr>
          <w:rFonts w:ascii="Arial" w:cs="Arial" w:eastAsia="Arial" w:hAnsi="Arial"/>
          <w:sz w:val="22"/>
          <w:szCs w:val="22"/>
          <w:b w:val="1"/>
          <w:bCs w:val="1"/>
          <w:color w:val="24356E"/>
        </w:rPr>
        <w:t>“FOR”</w:t>
      </w:r>
      <w:r>
        <w:rPr>
          <w:rFonts w:ascii="Arial" w:cs="Arial" w:eastAsia="Arial" w:hAnsi="Arial"/>
          <w:sz w:val="22"/>
          <w:szCs w:val="22"/>
          <w:b w:val="1"/>
          <w:bCs w:val="1"/>
          <w:color w:val="auto"/>
        </w:rPr>
        <w:t xml:space="preserve"> the ratification of the appointment of PwC as our independent registered public accounting firm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59664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31"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Proposal 4</w:t>
      </w:r>
    </w:p>
    <w:p>
      <w:pPr>
        <w:spacing w:after="0" w:line="36" w:lineRule="exact"/>
        <w:rPr>
          <w:sz w:val="20"/>
          <w:szCs w:val="20"/>
          <w:color w:val="auto"/>
        </w:rPr>
      </w:pPr>
    </w:p>
    <w:p>
      <w:pPr>
        <w:spacing w:after="0"/>
        <w:rPr>
          <w:sz w:val="20"/>
          <w:szCs w:val="20"/>
          <w:color w:val="auto"/>
        </w:rPr>
      </w:pPr>
      <w:r>
        <w:rPr>
          <w:rFonts w:ascii="Arial" w:cs="Arial" w:eastAsia="Arial" w:hAnsi="Arial"/>
          <w:sz w:val="40"/>
          <w:szCs w:val="40"/>
          <w:color w:val="auto"/>
        </w:rPr>
        <w:t>Approval of an Amendment to our</w:t>
      </w:r>
    </w:p>
    <w:p>
      <w:pPr>
        <w:spacing w:after="0"/>
        <w:rPr>
          <w:sz w:val="20"/>
          <w:szCs w:val="20"/>
          <w:color w:val="auto"/>
        </w:rPr>
      </w:pPr>
      <w:r>
        <w:rPr>
          <w:rFonts w:ascii="Arial" w:cs="Arial" w:eastAsia="Arial" w:hAnsi="Arial"/>
          <w:sz w:val="40"/>
          <w:szCs w:val="40"/>
          <w:color w:val="auto"/>
        </w:rPr>
        <w:t>Amended and Restated 2011 Equity</w:t>
      </w:r>
    </w:p>
    <w:p>
      <w:pPr>
        <w:spacing w:after="0"/>
        <w:rPr>
          <w:sz w:val="20"/>
          <w:szCs w:val="20"/>
          <w:color w:val="auto"/>
        </w:rPr>
      </w:pPr>
      <w:r>
        <w:rPr>
          <w:rFonts w:ascii="Arial" w:cs="Arial" w:eastAsia="Arial" w:hAnsi="Arial"/>
          <w:sz w:val="40"/>
          <w:szCs w:val="40"/>
          <w:color w:val="auto"/>
        </w:rPr>
        <w:t>Incentive Plan, as Amended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6"/>
          <w:szCs w:val="16"/>
          <w:color w:val="333333"/>
        </w:rPr>
        <w:t>We are asking our stockholders to approve an amendment to our 2011 Plan to increase the number of shares of common stock reserved for issuance thereunder by 17,400,000 shares (the “Amendment” and the 2011 Plan, as amended by the Amendment, the “A&amp;R 2011 Plan”). Other than the Amendment, no material changes will be made to our 2011 Plan. Our Board approved the Amendment in April 2025, subject to the approval of our stockholders at the Annual Meeting. A copy of the A&amp;R 2011 Plan is attached as Exhibit I to this proxy statement. If the Amendment is not approved by our stockholders, the 2011 Plan will continue by its terms, without the Amendment, and will terminate automatically on June 27, 2034.</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Background</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333333"/>
        </w:rPr>
        <w:t>Before the Amendment, the aggregate number of shares of our common stock reserved for issuance under the 2011 Plan during its entire term was 53,313,924, plus any shares forfeited under pre-existing equity incentive plans after the effectiveness of the 2011 Plan. As of April 15, 2025, 55,857,480 shares of our common stock were subject to outstanding awards granted under all of our equity plans and 12,179,421 shares of our common stock were available for issuance under all of our equity plans.</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6"/>
          <w:szCs w:val="16"/>
          <w:color w:val="333333"/>
        </w:rPr>
        <w:t>In determining and recommending the increase to the share reserve under the 2011 Plan, our Board carefully considered a number of factors, including anticipated future equity needs, timing of future equity grants, historical and external market equity compensation practices, dilutive impact, burn rate, and plan duration. The number of additional shares being requested for authorization under the A&amp;R 2011 Plan is 17,400,000 shares, or approximately 4.6% of our total shares of common stock outstanding as of April 15, 2025. If the Amendment is approved by our stockholders, we will have, in the aggregate, 29,579,421 shares available for issuance under all of our equity plans, of which 457,173 are available for issuance to only newly hired employees pursuant to the 2022 Inducement Equity Incentive Plan (“2022 Inducement Plan”), 1,064,129 available under the 2017 Employee Stock Purchase Plan and the remainder of which are reserved for issuance under the 2011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9664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8"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333333"/>
        </w:rPr>
        <w:t>Historical Grant Practices</w:t>
      </w:r>
      <w:r>
        <w:rPr>
          <w:rFonts w:ascii="Arial" w:cs="Arial" w:eastAsia="Arial" w:hAnsi="Arial"/>
          <w:sz w:val="16"/>
          <w:szCs w:val="16"/>
          <w:color w:val="333333"/>
        </w:rPr>
        <w:t>.</w:t>
      </w:r>
    </w:p>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333333"/>
        </w:rPr>
        <w:t>Our Board considered the historical numbers of stock options, RSUs, performance-based stock options, and performance-based RSUs that we have granted in the past three years. The annual share usage, or burn rate, under our equity compensation program for the last three years was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3680" w:type="dxa"/>
            <w:vAlign w:val="bottom"/>
            <w:shd w:val="clear" w:color="auto" w:fill="24356E"/>
          </w:tcPr>
          <w:p>
            <w:pPr>
              <w:ind w:left="260"/>
              <w:spacing w:after="0"/>
              <w:rPr>
                <w:sz w:val="20"/>
                <w:szCs w:val="20"/>
                <w:color w:val="auto"/>
              </w:rPr>
            </w:pPr>
            <w:r>
              <w:rPr>
                <w:rFonts w:ascii="Arial" w:cs="Arial" w:eastAsia="Arial" w:hAnsi="Arial"/>
                <w:sz w:val="14"/>
                <w:szCs w:val="14"/>
                <w:color w:val="FFFFFF"/>
              </w:rPr>
              <w:t>Annual Share Usage Average</w:t>
            </w:r>
          </w:p>
        </w:tc>
        <w:tc>
          <w:tcPr>
            <w:tcW w:w="1540" w:type="dxa"/>
            <w:vAlign w:val="bottom"/>
            <w:shd w:val="clear" w:color="auto" w:fill="24356E"/>
          </w:tcPr>
          <w:p>
            <w:pPr>
              <w:jc w:val="right"/>
              <w:ind w:right="248"/>
              <w:spacing w:after="0"/>
              <w:rPr>
                <w:sz w:val="20"/>
                <w:szCs w:val="20"/>
                <w:color w:val="auto"/>
              </w:rPr>
            </w:pPr>
            <w:r>
              <w:rPr>
                <w:rFonts w:ascii="Arial" w:cs="Arial" w:eastAsia="Arial" w:hAnsi="Arial"/>
                <w:sz w:val="14"/>
                <w:szCs w:val="14"/>
                <w:color w:val="FFFFFF"/>
              </w:rPr>
              <w:t>2022</w:t>
            </w:r>
          </w:p>
        </w:tc>
        <w:tc>
          <w:tcPr>
            <w:tcW w:w="1380" w:type="dxa"/>
            <w:vAlign w:val="bottom"/>
            <w:shd w:val="clear" w:color="auto" w:fill="24356E"/>
          </w:tcPr>
          <w:p>
            <w:pPr>
              <w:jc w:val="right"/>
              <w:ind w:right="228"/>
              <w:spacing w:after="0"/>
              <w:rPr>
                <w:sz w:val="20"/>
                <w:szCs w:val="20"/>
                <w:color w:val="auto"/>
              </w:rPr>
            </w:pPr>
            <w:r>
              <w:rPr>
                <w:rFonts w:ascii="Arial" w:cs="Arial" w:eastAsia="Arial" w:hAnsi="Arial"/>
                <w:sz w:val="14"/>
                <w:szCs w:val="14"/>
                <w:color w:val="FFFFFF"/>
              </w:rPr>
              <w:t>2023</w:t>
            </w:r>
          </w:p>
        </w:tc>
        <w:tc>
          <w:tcPr>
            <w:tcW w:w="1480" w:type="dxa"/>
            <w:vAlign w:val="bottom"/>
            <w:shd w:val="clear" w:color="auto" w:fill="24356E"/>
          </w:tcPr>
          <w:p>
            <w:pPr>
              <w:jc w:val="right"/>
              <w:ind w:right="248"/>
              <w:spacing w:after="0"/>
              <w:rPr>
                <w:sz w:val="20"/>
                <w:szCs w:val="20"/>
                <w:color w:val="auto"/>
              </w:rPr>
            </w:pPr>
            <w:r>
              <w:rPr>
                <w:rFonts w:ascii="Arial" w:cs="Arial" w:eastAsia="Arial" w:hAnsi="Arial"/>
                <w:sz w:val="14"/>
                <w:szCs w:val="14"/>
                <w:color w:val="FFFFFF"/>
              </w:rPr>
              <w:t>2024</w:t>
            </w:r>
          </w:p>
        </w:tc>
        <w:tc>
          <w:tcPr>
            <w:tcW w:w="1320" w:type="dxa"/>
            <w:vAlign w:val="bottom"/>
            <w:shd w:val="clear" w:color="auto" w:fill="24356E"/>
          </w:tcPr>
          <w:p>
            <w:pPr>
              <w:jc w:val="right"/>
              <w:ind w:right="88"/>
              <w:spacing w:after="0"/>
              <w:rPr>
                <w:sz w:val="20"/>
                <w:szCs w:val="20"/>
                <w:color w:val="auto"/>
              </w:rPr>
            </w:pPr>
            <w:r>
              <w:rPr>
                <w:rFonts w:ascii="Arial" w:cs="Arial" w:eastAsia="Arial" w:hAnsi="Arial"/>
                <w:sz w:val="14"/>
                <w:szCs w:val="14"/>
                <w:color w:val="FFFFFF"/>
              </w:rPr>
              <w:t>Three-Year</w:t>
            </w:r>
          </w:p>
        </w:tc>
      </w:tr>
      <w:tr>
        <w:trPr>
          <w:trHeight w:val="89"/>
        </w:trPr>
        <w:tc>
          <w:tcPr>
            <w:tcW w:w="3680" w:type="dxa"/>
            <w:vAlign w:val="bottom"/>
            <w:shd w:val="clear" w:color="auto" w:fill="24356E"/>
          </w:tcPr>
          <w:p>
            <w:pPr>
              <w:spacing w:after="0"/>
              <w:rPr>
                <w:sz w:val="7"/>
                <w:szCs w:val="7"/>
                <w:color w:val="auto"/>
              </w:rPr>
            </w:pPr>
          </w:p>
        </w:tc>
        <w:tc>
          <w:tcPr>
            <w:tcW w:w="1540" w:type="dxa"/>
            <w:vAlign w:val="bottom"/>
            <w:shd w:val="clear" w:color="auto" w:fill="24356E"/>
          </w:tcPr>
          <w:p>
            <w:pPr>
              <w:spacing w:after="0"/>
              <w:rPr>
                <w:sz w:val="7"/>
                <w:szCs w:val="7"/>
                <w:color w:val="auto"/>
              </w:rPr>
            </w:pPr>
          </w:p>
        </w:tc>
        <w:tc>
          <w:tcPr>
            <w:tcW w:w="1380" w:type="dxa"/>
            <w:vAlign w:val="bottom"/>
            <w:shd w:val="clear" w:color="auto" w:fill="24356E"/>
          </w:tcPr>
          <w:p>
            <w:pPr>
              <w:spacing w:after="0"/>
              <w:rPr>
                <w:sz w:val="7"/>
                <w:szCs w:val="7"/>
                <w:color w:val="auto"/>
              </w:rPr>
            </w:pPr>
          </w:p>
        </w:tc>
        <w:tc>
          <w:tcPr>
            <w:tcW w:w="1480" w:type="dxa"/>
            <w:vAlign w:val="bottom"/>
            <w:shd w:val="clear" w:color="auto" w:fill="24356E"/>
          </w:tcPr>
          <w:p>
            <w:pPr>
              <w:spacing w:after="0"/>
              <w:rPr>
                <w:sz w:val="7"/>
                <w:szCs w:val="7"/>
                <w:color w:val="auto"/>
              </w:rPr>
            </w:pPr>
          </w:p>
        </w:tc>
        <w:tc>
          <w:tcPr>
            <w:tcW w:w="1320" w:type="dxa"/>
            <w:vAlign w:val="bottom"/>
            <w:shd w:val="clear" w:color="auto" w:fill="24356E"/>
          </w:tcPr>
          <w:p>
            <w:pPr>
              <w:spacing w:after="0"/>
              <w:rPr>
                <w:sz w:val="7"/>
                <w:szCs w:val="7"/>
                <w:color w:val="auto"/>
              </w:rPr>
            </w:pPr>
          </w:p>
        </w:tc>
      </w:tr>
      <w:tr>
        <w:trPr>
          <w:trHeight w:val="295"/>
        </w:trPr>
        <w:tc>
          <w:tcPr>
            <w:tcW w:w="3680" w:type="dxa"/>
            <w:vAlign w:val="bottom"/>
          </w:tcPr>
          <w:p>
            <w:pPr>
              <w:ind w:left="260"/>
              <w:spacing w:after="0"/>
              <w:rPr>
                <w:sz w:val="20"/>
                <w:szCs w:val="20"/>
                <w:color w:val="auto"/>
              </w:rPr>
            </w:pPr>
            <w:r>
              <w:rPr>
                <w:rFonts w:ascii="Arial" w:cs="Arial" w:eastAsia="Arial" w:hAnsi="Arial"/>
                <w:sz w:val="14"/>
                <w:szCs w:val="14"/>
                <w:b w:val="1"/>
                <w:bCs w:val="1"/>
                <w:color w:val="auto"/>
              </w:rPr>
              <w:t>Stock options granted</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7,809,969</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2,609,392</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6,696,684</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5,705,348</w:t>
            </w:r>
          </w:p>
        </w:tc>
      </w:tr>
      <w:tr>
        <w:trPr>
          <w:trHeight w:val="83"/>
        </w:trPr>
        <w:tc>
          <w:tcPr>
            <w:tcW w:w="3680" w:type="dxa"/>
            <w:vAlign w:val="bottom"/>
            <w:tcBorders>
              <w:bottom w:val="single" w:sz="8" w:color="666666"/>
            </w:tcBorders>
          </w:tcPr>
          <w:p>
            <w:pPr>
              <w:spacing w:after="0"/>
              <w:rPr>
                <w:sz w:val="7"/>
                <w:szCs w:val="7"/>
                <w:color w:val="auto"/>
              </w:rPr>
            </w:pPr>
          </w:p>
        </w:tc>
        <w:tc>
          <w:tcPr>
            <w:tcW w:w="154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148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r>
      <w:tr>
        <w:trPr>
          <w:trHeight w:val="288"/>
        </w:trPr>
        <w:tc>
          <w:tcPr>
            <w:tcW w:w="3680" w:type="dxa"/>
            <w:vAlign w:val="bottom"/>
          </w:tcPr>
          <w:p>
            <w:pPr>
              <w:ind w:left="260"/>
              <w:spacing w:after="0"/>
              <w:rPr>
                <w:sz w:val="20"/>
                <w:szCs w:val="20"/>
                <w:color w:val="auto"/>
              </w:rPr>
            </w:pPr>
            <w:r>
              <w:rPr>
                <w:rFonts w:ascii="Arial" w:cs="Arial" w:eastAsia="Arial" w:hAnsi="Arial"/>
                <w:sz w:val="14"/>
                <w:szCs w:val="14"/>
                <w:b w:val="1"/>
                <w:bCs w:val="1"/>
                <w:color w:val="auto"/>
              </w:rPr>
              <w:t>Performance-based stock options granted</w:t>
            </w: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83"/>
        </w:trPr>
        <w:tc>
          <w:tcPr>
            <w:tcW w:w="3680" w:type="dxa"/>
            <w:vAlign w:val="bottom"/>
            <w:tcBorders>
              <w:bottom w:val="single" w:sz="8" w:color="666666"/>
            </w:tcBorders>
          </w:tcPr>
          <w:p>
            <w:pPr>
              <w:spacing w:after="0"/>
              <w:rPr>
                <w:sz w:val="7"/>
                <w:szCs w:val="7"/>
                <w:color w:val="auto"/>
              </w:rPr>
            </w:pPr>
          </w:p>
        </w:tc>
        <w:tc>
          <w:tcPr>
            <w:tcW w:w="154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148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r>
      <w:tr>
        <w:trPr>
          <w:trHeight w:val="288"/>
        </w:trPr>
        <w:tc>
          <w:tcPr>
            <w:tcW w:w="3680" w:type="dxa"/>
            <w:vAlign w:val="bottom"/>
          </w:tcPr>
          <w:p>
            <w:pPr>
              <w:ind w:left="260"/>
              <w:spacing w:after="0"/>
              <w:rPr>
                <w:sz w:val="20"/>
                <w:szCs w:val="20"/>
                <w:color w:val="auto"/>
              </w:rPr>
            </w:pPr>
            <w:r>
              <w:rPr>
                <w:rFonts w:ascii="Arial" w:cs="Arial" w:eastAsia="Arial" w:hAnsi="Arial"/>
                <w:sz w:val="14"/>
                <w:szCs w:val="14"/>
                <w:b w:val="1"/>
                <w:bCs w:val="1"/>
                <w:color w:val="auto"/>
              </w:rPr>
              <w:t>Non-performance RSUs granted</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6,769,474</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3,727,688</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10,849,723</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7,115,628</w:t>
            </w:r>
          </w:p>
        </w:tc>
      </w:tr>
      <w:tr>
        <w:trPr>
          <w:trHeight w:val="83"/>
        </w:trPr>
        <w:tc>
          <w:tcPr>
            <w:tcW w:w="3680" w:type="dxa"/>
            <w:vAlign w:val="bottom"/>
            <w:tcBorders>
              <w:bottom w:val="single" w:sz="8" w:color="666666"/>
            </w:tcBorders>
          </w:tcPr>
          <w:p>
            <w:pPr>
              <w:spacing w:after="0"/>
              <w:rPr>
                <w:sz w:val="7"/>
                <w:szCs w:val="7"/>
                <w:color w:val="auto"/>
              </w:rPr>
            </w:pPr>
          </w:p>
        </w:tc>
        <w:tc>
          <w:tcPr>
            <w:tcW w:w="154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148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r>
      <w:tr>
        <w:trPr>
          <w:trHeight w:val="288"/>
        </w:trPr>
        <w:tc>
          <w:tcPr>
            <w:tcW w:w="3680" w:type="dxa"/>
            <w:vAlign w:val="bottom"/>
          </w:tcPr>
          <w:p>
            <w:pPr>
              <w:ind w:left="260"/>
              <w:spacing w:after="0"/>
              <w:rPr>
                <w:sz w:val="20"/>
                <w:szCs w:val="20"/>
                <w:color w:val="auto"/>
              </w:rPr>
            </w:pPr>
            <w:r>
              <w:rPr>
                <w:rFonts w:ascii="Arial" w:cs="Arial" w:eastAsia="Arial" w:hAnsi="Arial"/>
                <w:sz w:val="14"/>
                <w:szCs w:val="14"/>
                <w:b w:val="1"/>
                <w:bCs w:val="1"/>
                <w:color w:val="auto"/>
              </w:rPr>
              <w:t>Non-performance RSUs vested</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2,462,553</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2,934,119</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5,490,355</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3,629,009</w:t>
            </w:r>
          </w:p>
        </w:tc>
      </w:tr>
      <w:tr>
        <w:trPr>
          <w:trHeight w:val="83"/>
        </w:trPr>
        <w:tc>
          <w:tcPr>
            <w:tcW w:w="3680" w:type="dxa"/>
            <w:vAlign w:val="bottom"/>
            <w:tcBorders>
              <w:bottom w:val="single" w:sz="8" w:color="666666"/>
            </w:tcBorders>
          </w:tcPr>
          <w:p>
            <w:pPr>
              <w:spacing w:after="0"/>
              <w:rPr>
                <w:sz w:val="7"/>
                <w:szCs w:val="7"/>
                <w:color w:val="auto"/>
              </w:rPr>
            </w:pPr>
          </w:p>
        </w:tc>
        <w:tc>
          <w:tcPr>
            <w:tcW w:w="154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148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r>
      <w:tr>
        <w:trPr>
          <w:trHeight w:val="288"/>
        </w:trPr>
        <w:tc>
          <w:tcPr>
            <w:tcW w:w="3680" w:type="dxa"/>
            <w:vAlign w:val="bottom"/>
          </w:tcPr>
          <w:p>
            <w:pPr>
              <w:ind w:left="260"/>
              <w:spacing w:after="0"/>
              <w:rPr>
                <w:sz w:val="20"/>
                <w:szCs w:val="20"/>
                <w:color w:val="auto"/>
              </w:rPr>
            </w:pPr>
            <w:r>
              <w:rPr>
                <w:rFonts w:ascii="Arial" w:cs="Arial" w:eastAsia="Arial" w:hAnsi="Arial"/>
                <w:sz w:val="14"/>
                <w:szCs w:val="14"/>
                <w:b w:val="1"/>
                <w:bCs w:val="1"/>
                <w:color w:val="auto"/>
              </w:rPr>
              <w:t>Performance-based RSUs granted</w:t>
            </w: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308,864</w:t>
            </w: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100,000</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136,255</w:t>
            </w:r>
          </w:p>
        </w:tc>
      </w:tr>
      <w:tr>
        <w:trPr>
          <w:trHeight w:val="83"/>
        </w:trPr>
        <w:tc>
          <w:tcPr>
            <w:tcW w:w="3680" w:type="dxa"/>
            <w:vAlign w:val="bottom"/>
            <w:tcBorders>
              <w:bottom w:val="single" w:sz="8" w:color="666666"/>
            </w:tcBorders>
          </w:tcPr>
          <w:p>
            <w:pPr>
              <w:spacing w:after="0"/>
              <w:rPr>
                <w:sz w:val="7"/>
                <w:szCs w:val="7"/>
                <w:color w:val="auto"/>
              </w:rPr>
            </w:pPr>
          </w:p>
        </w:tc>
        <w:tc>
          <w:tcPr>
            <w:tcW w:w="154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148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r>
      <w:tr>
        <w:trPr>
          <w:trHeight w:val="288"/>
        </w:trPr>
        <w:tc>
          <w:tcPr>
            <w:tcW w:w="3680" w:type="dxa"/>
            <w:vAlign w:val="bottom"/>
          </w:tcPr>
          <w:p>
            <w:pPr>
              <w:ind w:left="260"/>
              <w:spacing w:after="0"/>
              <w:rPr>
                <w:sz w:val="20"/>
                <w:szCs w:val="20"/>
                <w:color w:val="auto"/>
              </w:rPr>
            </w:pPr>
            <w:r>
              <w:rPr>
                <w:rFonts w:ascii="Arial" w:cs="Arial" w:eastAsia="Arial" w:hAnsi="Arial"/>
                <w:sz w:val="14"/>
                <w:szCs w:val="14"/>
                <w:b w:val="1"/>
                <w:bCs w:val="1"/>
                <w:color w:val="auto"/>
              </w:rPr>
              <w:t>Performance-based RSUs vested</w:t>
            </w: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382,828</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127,609</w:t>
            </w:r>
          </w:p>
        </w:tc>
      </w:tr>
      <w:tr>
        <w:trPr>
          <w:trHeight w:val="83"/>
        </w:trPr>
        <w:tc>
          <w:tcPr>
            <w:tcW w:w="3680" w:type="dxa"/>
            <w:vAlign w:val="bottom"/>
            <w:tcBorders>
              <w:bottom w:val="single" w:sz="8" w:color="666666"/>
            </w:tcBorders>
          </w:tcPr>
          <w:p>
            <w:pPr>
              <w:spacing w:after="0"/>
              <w:rPr>
                <w:sz w:val="7"/>
                <w:szCs w:val="7"/>
                <w:color w:val="auto"/>
              </w:rPr>
            </w:pPr>
          </w:p>
        </w:tc>
        <w:tc>
          <w:tcPr>
            <w:tcW w:w="154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148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r>
      <w:tr>
        <w:trPr>
          <w:trHeight w:val="398"/>
        </w:trPr>
        <w:tc>
          <w:tcPr>
            <w:tcW w:w="3680" w:type="dxa"/>
            <w:vAlign w:val="bottom"/>
            <w:tcBorders>
              <w:bottom w:val="single" w:sz="8" w:color="666666"/>
            </w:tcBorders>
          </w:tcPr>
          <w:p>
            <w:pPr>
              <w:ind w:left="260"/>
              <w:spacing w:after="0"/>
              <w:rPr>
                <w:sz w:val="20"/>
                <w:szCs w:val="20"/>
                <w:color w:val="auto"/>
              </w:rPr>
            </w:pPr>
            <w:r>
              <w:rPr>
                <w:rFonts w:ascii="Arial" w:cs="Arial" w:eastAsia="Arial" w:hAnsi="Arial"/>
                <w:sz w:val="14"/>
                <w:szCs w:val="14"/>
                <w:b w:val="1"/>
                <w:bCs w:val="1"/>
                <w:color w:val="auto"/>
              </w:rPr>
              <w:t>Total equity awards granted</w:t>
            </w:r>
            <w:r>
              <w:rPr>
                <w:rFonts w:ascii="Arial" w:cs="Arial" w:eastAsia="Arial" w:hAnsi="Arial"/>
                <w:sz w:val="23"/>
                <w:szCs w:val="23"/>
                <w:b w:val="1"/>
                <w:bCs w:val="1"/>
                <w:color w:val="auto"/>
                <w:vertAlign w:val="superscript"/>
              </w:rPr>
              <w:t>(1)</w:t>
            </w:r>
          </w:p>
        </w:tc>
        <w:tc>
          <w:tcPr>
            <w:tcW w:w="1540" w:type="dxa"/>
            <w:vAlign w:val="bottom"/>
            <w:tcBorders>
              <w:bottom w:val="single" w:sz="8" w:color="666666"/>
            </w:tcBorders>
          </w:tcPr>
          <w:p>
            <w:pPr>
              <w:jc w:val="right"/>
              <w:ind w:right="288"/>
              <w:spacing w:after="0"/>
              <w:rPr>
                <w:sz w:val="20"/>
                <w:szCs w:val="20"/>
                <w:color w:val="auto"/>
              </w:rPr>
            </w:pPr>
            <w:r>
              <w:rPr>
                <w:rFonts w:ascii="Arial" w:cs="Arial" w:eastAsia="Arial" w:hAnsi="Arial"/>
                <w:sz w:val="14"/>
                <w:szCs w:val="14"/>
                <w:color w:val="auto"/>
              </w:rPr>
              <w:t>14,579,443</w:t>
            </w:r>
          </w:p>
        </w:tc>
        <w:tc>
          <w:tcPr>
            <w:tcW w:w="1380" w:type="dxa"/>
            <w:vAlign w:val="bottom"/>
            <w:tcBorders>
              <w:bottom w:val="single" w:sz="8" w:color="666666"/>
            </w:tcBorders>
          </w:tcPr>
          <w:p>
            <w:pPr>
              <w:jc w:val="right"/>
              <w:ind w:right="288"/>
              <w:spacing w:after="0"/>
              <w:rPr>
                <w:sz w:val="20"/>
                <w:szCs w:val="20"/>
                <w:color w:val="auto"/>
              </w:rPr>
            </w:pPr>
            <w:r>
              <w:rPr>
                <w:rFonts w:ascii="Arial" w:cs="Arial" w:eastAsia="Arial" w:hAnsi="Arial"/>
                <w:sz w:val="14"/>
                <w:szCs w:val="14"/>
                <w:color w:val="auto"/>
              </w:rPr>
              <w:t>6,645,844</w:t>
            </w:r>
          </w:p>
        </w:tc>
        <w:tc>
          <w:tcPr>
            <w:tcW w:w="1480" w:type="dxa"/>
            <w:vAlign w:val="bottom"/>
            <w:tcBorders>
              <w:bottom w:val="single" w:sz="8" w:color="666666"/>
            </w:tcBorders>
          </w:tcPr>
          <w:p>
            <w:pPr>
              <w:jc w:val="right"/>
              <w:ind w:right="288"/>
              <w:spacing w:after="0"/>
              <w:rPr>
                <w:sz w:val="20"/>
                <w:szCs w:val="20"/>
                <w:color w:val="auto"/>
              </w:rPr>
            </w:pPr>
            <w:r>
              <w:rPr>
                <w:rFonts w:ascii="Arial" w:cs="Arial" w:eastAsia="Arial" w:hAnsi="Arial"/>
                <w:sz w:val="14"/>
                <w:szCs w:val="14"/>
                <w:color w:val="auto"/>
              </w:rPr>
              <w:t>17,646,407</w:t>
            </w:r>
          </w:p>
        </w:tc>
        <w:tc>
          <w:tcPr>
            <w:tcW w:w="132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12,957,231</w:t>
            </w:r>
          </w:p>
        </w:tc>
      </w:tr>
      <w:tr>
        <w:trPr>
          <w:trHeight w:val="254"/>
        </w:trPr>
        <w:tc>
          <w:tcPr>
            <w:tcW w:w="3680" w:type="dxa"/>
            <w:vAlign w:val="bottom"/>
          </w:tcPr>
          <w:p>
            <w:pPr>
              <w:ind w:left="260"/>
              <w:spacing w:after="0"/>
              <w:rPr>
                <w:sz w:val="20"/>
                <w:szCs w:val="20"/>
                <w:color w:val="auto"/>
              </w:rPr>
            </w:pPr>
            <w:r>
              <w:rPr>
                <w:rFonts w:ascii="Arial" w:cs="Arial" w:eastAsia="Arial" w:hAnsi="Arial"/>
                <w:sz w:val="14"/>
                <w:szCs w:val="14"/>
                <w:b w:val="1"/>
                <w:bCs w:val="1"/>
                <w:color w:val="auto"/>
              </w:rPr>
              <w:t>Basic weighted average shares of common</w:t>
            </w:r>
          </w:p>
        </w:tc>
        <w:tc>
          <w:tcPr>
            <w:tcW w:w="1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196"/>
        </w:trPr>
        <w:tc>
          <w:tcPr>
            <w:tcW w:w="3680" w:type="dxa"/>
            <w:vAlign w:val="bottom"/>
          </w:tcPr>
          <w:p>
            <w:pPr>
              <w:ind w:left="260"/>
              <w:spacing w:after="0"/>
              <w:rPr>
                <w:sz w:val="20"/>
                <w:szCs w:val="20"/>
                <w:color w:val="auto"/>
              </w:rPr>
            </w:pPr>
            <w:r>
              <w:rPr>
                <w:rFonts w:ascii="Arial" w:cs="Arial" w:eastAsia="Arial" w:hAnsi="Arial"/>
                <w:sz w:val="14"/>
                <w:szCs w:val="14"/>
                <w:b w:val="1"/>
                <w:bCs w:val="1"/>
                <w:color w:val="auto"/>
              </w:rPr>
              <w:t>stock outstanding as of December 31</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78,304,653</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79,159,509</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353,244,679</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170,236,280</w:t>
            </w:r>
          </w:p>
        </w:tc>
      </w:tr>
      <w:tr>
        <w:trPr>
          <w:trHeight w:val="83"/>
        </w:trPr>
        <w:tc>
          <w:tcPr>
            <w:tcW w:w="3680" w:type="dxa"/>
            <w:vAlign w:val="bottom"/>
            <w:tcBorders>
              <w:bottom w:val="single" w:sz="8" w:color="666666"/>
            </w:tcBorders>
          </w:tcPr>
          <w:p>
            <w:pPr>
              <w:spacing w:after="0"/>
              <w:rPr>
                <w:sz w:val="7"/>
                <w:szCs w:val="7"/>
                <w:color w:val="auto"/>
              </w:rPr>
            </w:pPr>
          </w:p>
        </w:tc>
        <w:tc>
          <w:tcPr>
            <w:tcW w:w="154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148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r>
      <w:tr>
        <w:trPr>
          <w:trHeight w:val="288"/>
        </w:trPr>
        <w:tc>
          <w:tcPr>
            <w:tcW w:w="3680" w:type="dxa"/>
            <w:vAlign w:val="bottom"/>
          </w:tcPr>
          <w:p>
            <w:pPr>
              <w:ind w:left="260"/>
              <w:spacing w:after="0"/>
              <w:rPr>
                <w:sz w:val="20"/>
                <w:szCs w:val="20"/>
                <w:color w:val="auto"/>
              </w:rPr>
            </w:pPr>
            <w:r>
              <w:rPr>
                <w:rFonts w:ascii="Arial" w:cs="Arial" w:eastAsia="Arial" w:hAnsi="Arial"/>
                <w:sz w:val="14"/>
                <w:szCs w:val="14"/>
                <w:b w:val="1"/>
                <w:bCs w:val="1"/>
                <w:color w:val="auto"/>
              </w:rPr>
              <w:t>Annual share usage</w:t>
            </w:r>
          </w:p>
        </w:tc>
        <w:tc>
          <w:tcPr>
            <w:tcW w:w="1540" w:type="dxa"/>
            <w:vAlign w:val="bottom"/>
          </w:tcPr>
          <w:p>
            <w:pPr>
              <w:jc w:val="right"/>
              <w:ind w:right="288"/>
              <w:spacing w:after="0"/>
              <w:rPr>
                <w:sz w:val="20"/>
                <w:szCs w:val="20"/>
                <w:color w:val="auto"/>
              </w:rPr>
            </w:pPr>
            <w:r>
              <w:rPr>
                <w:rFonts w:ascii="Arial" w:cs="Arial" w:eastAsia="Arial" w:hAnsi="Arial"/>
                <w:sz w:val="14"/>
                <w:szCs w:val="14"/>
                <w:color w:val="auto"/>
              </w:rPr>
              <w:t>9,973,647</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4,147,543</w:t>
            </w:r>
          </w:p>
        </w:tc>
        <w:tc>
          <w:tcPr>
            <w:tcW w:w="1480" w:type="dxa"/>
            <w:vAlign w:val="bottom"/>
          </w:tcPr>
          <w:p>
            <w:pPr>
              <w:jc w:val="right"/>
              <w:ind w:right="288"/>
              <w:spacing w:after="0"/>
              <w:rPr>
                <w:sz w:val="20"/>
                <w:szCs w:val="20"/>
                <w:color w:val="auto"/>
              </w:rPr>
            </w:pPr>
            <w:r>
              <w:rPr>
                <w:rFonts w:ascii="Arial" w:cs="Arial" w:eastAsia="Arial" w:hAnsi="Arial"/>
                <w:sz w:val="14"/>
                <w:szCs w:val="14"/>
                <w:color w:val="auto"/>
              </w:rPr>
              <w:t>15,434,378</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9,851,856</w:t>
            </w:r>
          </w:p>
        </w:tc>
      </w:tr>
      <w:tr>
        <w:trPr>
          <w:trHeight w:val="70"/>
        </w:trPr>
        <w:tc>
          <w:tcPr>
            <w:tcW w:w="3680" w:type="dxa"/>
            <w:vAlign w:val="bottom"/>
            <w:tcBorders>
              <w:bottom w:val="single" w:sz="8" w:color="24356E"/>
            </w:tcBorders>
          </w:tcPr>
          <w:p>
            <w:pPr>
              <w:spacing w:after="0"/>
              <w:rPr>
                <w:sz w:val="6"/>
                <w:szCs w:val="6"/>
                <w:color w:val="auto"/>
              </w:rPr>
            </w:pPr>
          </w:p>
        </w:tc>
        <w:tc>
          <w:tcPr>
            <w:tcW w:w="1540" w:type="dxa"/>
            <w:vAlign w:val="bottom"/>
            <w:tcBorders>
              <w:bottom w:val="single" w:sz="8" w:color="24356E"/>
            </w:tcBorders>
          </w:tcPr>
          <w:p>
            <w:pPr>
              <w:spacing w:after="0"/>
              <w:rPr>
                <w:sz w:val="6"/>
                <w:szCs w:val="6"/>
                <w:color w:val="auto"/>
              </w:rPr>
            </w:pPr>
          </w:p>
        </w:tc>
        <w:tc>
          <w:tcPr>
            <w:tcW w:w="1380" w:type="dxa"/>
            <w:vAlign w:val="bottom"/>
            <w:tcBorders>
              <w:bottom w:val="single" w:sz="8" w:color="24356E"/>
            </w:tcBorders>
          </w:tcPr>
          <w:p>
            <w:pPr>
              <w:spacing w:after="0"/>
              <w:rPr>
                <w:sz w:val="6"/>
                <w:szCs w:val="6"/>
                <w:color w:val="auto"/>
              </w:rPr>
            </w:pPr>
          </w:p>
        </w:tc>
        <w:tc>
          <w:tcPr>
            <w:tcW w:w="1480" w:type="dxa"/>
            <w:vAlign w:val="bottom"/>
            <w:tcBorders>
              <w:bottom w:val="single" w:sz="8" w:color="24356E"/>
            </w:tcBorders>
          </w:tcPr>
          <w:p>
            <w:pPr>
              <w:spacing w:after="0"/>
              <w:rPr>
                <w:sz w:val="6"/>
                <w:szCs w:val="6"/>
                <w:color w:val="auto"/>
              </w:rPr>
            </w:pPr>
          </w:p>
        </w:tc>
        <w:tc>
          <w:tcPr>
            <w:tcW w:w="1320" w:type="dxa"/>
            <w:vAlign w:val="bottom"/>
            <w:tcBorders>
              <w:bottom w:val="single" w:sz="8" w:color="24356E"/>
            </w:tcBorders>
          </w:tcPr>
          <w:p>
            <w:pPr>
              <w:spacing w:after="0"/>
              <w:rPr>
                <w:sz w:val="6"/>
                <w:szCs w:val="6"/>
                <w:color w:val="auto"/>
              </w:rPr>
            </w:pPr>
          </w:p>
        </w:tc>
      </w:tr>
    </w:tbl>
    <w:p>
      <w:pPr>
        <w:spacing w:after="0" w:line="158" w:lineRule="exact"/>
        <w:rPr>
          <w:sz w:val="20"/>
          <w:szCs w:val="20"/>
          <w:color w:val="auto"/>
        </w:rPr>
      </w:pPr>
    </w:p>
    <w:p>
      <w:pPr>
        <w:ind w:left="360" w:hanging="354"/>
        <w:spacing w:after="0"/>
        <w:tabs>
          <w:tab w:leader="none" w:pos="36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stock options, performance-based stock options, RSUs, and performance-based RSUs.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Forecasted Grant Practices</w:t>
      </w:r>
      <w:r>
        <w:rPr>
          <w:rFonts w:ascii="Arial" w:cs="Arial" w:eastAsia="Arial" w:hAnsi="Arial"/>
          <w:sz w:val="16"/>
          <w:szCs w:val="16"/>
          <w:color w:val="333333"/>
        </w:rPr>
        <w:t>.</w:t>
      </w:r>
    </w:p>
    <w:p>
      <w:pPr>
        <w:spacing w:after="0" w:line="16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33333"/>
        </w:rPr>
        <w:t>Based on our historical grant practices and including the anticipated grants of annual employee equity awards, new hire equity grants and performance-based long-term incentive awards described above, we currently forecast granting equity awards covering approximately 17,287,000 shares over the next 18-month period from the date of this proxy statement, which is equal to a “burn rate” of approximately 4.5% of the number of shares of our common stock outstanding as of April 15, 2025 (without consideration of shares potentially issuable upon conversion of outstanding convertible indebtedness). Based on a review of the equity grant</w:t>
      </w:r>
    </w:p>
    <w:p>
      <w:pPr>
        <w:spacing w:after="0" w:line="233" w:lineRule="auto"/>
        <w:rPr>
          <w:sz w:val="20"/>
          <w:szCs w:val="20"/>
          <w:color w:val="auto"/>
        </w:rPr>
      </w:pPr>
      <w:r>
        <w:rPr>
          <w:rFonts w:ascii="Arial" w:cs="Arial" w:eastAsia="Arial" w:hAnsi="Arial"/>
          <w:sz w:val="16"/>
          <w:szCs w:val="16"/>
          <w:color w:val="333333"/>
        </w:rPr>
        <w:t>practices of our compensation peer group, our burn rate is expected to be between the 50</w:t>
      </w:r>
      <w:r>
        <w:rPr>
          <w:rFonts w:ascii="Arial" w:cs="Arial" w:eastAsia="Arial" w:hAnsi="Arial"/>
          <w:sz w:val="26"/>
          <w:szCs w:val="26"/>
          <w:color w:val="333333"/>
          <w:vertAlign w:val="superscript"/>
        </w:rPr>
        <w:t>th</w:t>
      </w:r>
      <w:r>
        <w:rPr>
          <w:rFonts w:ascii="Arial" w:cs="Arial" w:eastAsia="Arial" w:hAnsi="Arial"/>
          <w:sz w:val="16"/>
          <w:szCs w:val="16"/>
          <w:color w:val="333333"/>
        </w:rPr>
        <w:t xml:space="preserve"> and 75</w:t>
      </w:r>
      <w:r>
        <w:rPr>
          <w:rFonts w:ascii="Arial" w:cs="Arial" w:eastAsia="Arial" w:hAnsi="Arial"/>
          <w:sz w:val="26"/>
          <w:szCs w:val="26"/>
          <w:color w:val="333333"/>
          <w:vertAlign w:val="superscript"/>
        </w:rPr>
        <w:t>th</w:t>
      </w:r>
      <w:r>
        <w:rPr>
          <w:rFonts w:ascii="Arial" w:cs="Arial" w:eastAsia="Arial" w:hAnsi="Arial"/>
          <w:sz w:val="16"/>
          <w:szCs w:val="16"/>
          <w:color w:val="333333"/>
        </w:rPr>
        <w:t xml:space="preserve"> percentiles of our peer group. In light of this forecast and external market analysis, we believe, and our Board considered, that the requested increase to the 2011 Plan’s share reserve will provide a sufficient number of shares to allow us to grant equity awards for the purpose of our expected annual awards, new hires, focal awards, any special retention needs, and employee growth through any opportunistic acquisitions or hiring through October 2026. However, circumstances could alter this projection, such as a change in business conditions, our stock price, competitive pressures for attracting and retaining employees, or our Company strategy.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Awards Outstanding Under Existing Grants and Dilutive Impact</w:t>
      </w:r>
      <w:r>
        <w:rPr>
          <w:rFonts w:ascii="Arial" w:cs="Arial" w:eastAsia="Arial" w:hAnsi="Arial"/>
          <w:sz w:val="16"/>
          <w:szCs w:val="16"/>
          <w:color w:val="333333"/>
        </w:rPr>
        <w:t>.</w:t>
      </w:r>
    </w:p>
    <w:p>
      <w:pPr>
        <w:spacing w:after="0" w:line="16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333333"/>
        </w:rPr>
        <w:t>As of April 15, 2025, we had outstanding equity awards under the 2011 Plan, the 2022 Inducement Plan, and prior plans covering approximately 55,857,480 shares. These outstanding equity awards (commonly referred to as the “overhang”), together with the 11,113,625 shares currently available for grant under the 2011 Equity Incentive Plan and the 2022 Inducement Plan represented approximately 17.6% of the number of shares of our common stock as of April 15, 2025. The dilutive impact of the additional 17,400,000 shares that would be available for issuance under the A&amp;R 2011 Plan would increase the overhang percentage by approximately five percentage points to approximately 22.2%, each based on our number of shares of our common stock as of April 15, 2025 (in all cases without consideration of shares potentially issuable upon conversion of outstanding convertible indebtedness). Based on a review of the equity grant practices of our compensation peer group, our overhang is expected to be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333333"/>
        </w:rPr>
        <w:t>between the 50th and 75</w:t>
      </w:r>
      <w:r>
        <w:rPr>
          <w:rFonts w:ascii="Arial" w:cs="Arial" w:eastAsia="Arial" w:hAnsi="Arial"/>
          <w:sz w:val="26"/>
          <w:szCs w:val="26"/>
          <w:color w:val="333333"/>
          <w:vertAlign w:val="superscript"/>
        </w:rPr>
        <w:t>th</w:t>
      </w:r>
      <w:r>
        <w:rPr>
          <w:rFonts w:ascii="Arial" w:cs="Arial" w:eastAsia="Arial" w:hAnsi="Arial"/>
          <w:sz w:val="16"/>
          <w:szCs w:val="16"/>
          <w:color w:val="333333"/>
        </w:rPr>
        <w:t xml:space="preserve"> percentiles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59664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9"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If our stockholders do not approve the Amendment, the 2011 Plan will continue on its current terms. In that case, the shares reserved for issuance under the 2011 Plan may be insufficient to achieve our future incentive, recruiting, and retention objectives. Consequently, without stockholder approval of the Amendment, we believe our ability to attract and retain the individuals necessary to drive our performance and increase long-term stockholder value may be impaired. We therefore believe that stockholder approval of the Amendment is important to our continued success.</w:t>
      </w:r>
    </w:p>
    <w:p>
      <w:pPr>
        <w:spacing w:after="0" w:line="126" w:lineRule="exact"/>
        <w:rPr>
          <w:sz w:val="20"/>
          <w:szCs w:val="20"/>
          <w:color w:val="auto"/>
        </w:rPr>
      </w:pPr>
    </w:p>
    <w:p>
      <w:pPr>
        <w:spacing w:after="0" w:line="266" w:lineRule="auto"/>
        <w:rPr>
          <w:sz w:val="20"/>
          <w:szCs w:val="20"/>
          <w:color w:val="auto"/>
        </w:rPr>
      </w:pPr>
      <w:r>
        <w:rPr>
          <w:rFonts w:ascii="Arial" w:cs="Arial" w:eastAsia="Arial" w:hAnsi="Arial"/>
          <w:sz w:val="16"/>
          <w:szCs w:val="16"/>
          <w:color w:val="333333"/>
        </w:rPr>
        <w:t>Our executive officers and directors have an interest in the approval of the Amendment by our stockholders because they would be eligible to receive awards under the A&amp;R 2011 Plan. Our Board and Human Capital Committee have approved the Amendment subject to the approval of our stockholders at the Annual Meeting.</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color w:val="24356E"/>
        </w:rPr>
        <w:t>Reasons Why You Should Vote in Favor of the Approval of the Amendment to the 2011 Plan</w:t>
      </w:r>
    </w:p>
    <w:p>
      <w:pPr>
        <w:spacing w:after="0" w:line="16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333333"/>
        </w:rPr>
        <w:t>Our Board recommends a vote for the approval of the Amendment because it believes the Amendment is in the best interests of the Company and its stockholders for the reasons below:</w:t>
      </w:r>
    </w:p>
    <w:p>
      <w:pPr>
        <w:spacing w:after="0" w:line="115" w:lineRule="exact"/>
        <w:rPr>
          <w:sz w:val="20"/>
          <w:szCs w:val="20"/>
          <w:color w:val="auto"/>
        </w:rPr>
      </w:pPr>
    </w:p>
    <w:p>
      <w:pPr>
        <w:ind w:left="720" w:right="200" w:hanging="354"/>
        <w:spacing w:after="0" w:line="266" w:lineRule="auto"/>
        <w:tabs>
          <w:tab w:leader="none" w:pos="720" w:val="left"/>
        </w:tabs>
        <w:numPr>
          <w:ilvl w:val="0"/>
          <w:numId w:val="58"/>
        </w:numPr>
        <w:rPr>
          <w:rFonts w:ascii="Arial" w:cs="Arial" w:eastAsia="Arial" w:hAnsi="Arial"/>
          <w:sz w:val="16"/>
          <w:szCs w:val="16"/>
          <w:color w:val="333333"/>
        </w:rPr>
      </w:pPr>
      <w:r>
        <w:rPr>
          <w:rFonts w:ascii="Arial" w:cs="Arial" w:eastAsia="Arial" w:hAnsi="Arial"/>
          <w:sz w:val="16"/>
          <w:szCs w:val="16"/>
          <w:b w:val="1"/>
          <w:bCs w:val="1"/>
          <w:color w:val="333333"/>
        </w:rPr>
        <w:t>Aligns director, employee, and stockholder interests</w:t>
      </w:r>
      <w:r>
        <w:rPr>
          <w:rFonts w:ascii="Arial" w:cs="Arial" w:eastAsia="Arial" w:hAnsi="Arial"/>
          <w:sz w:val="16"/>
          <w:szCs w:val="16"/>
          <w:color w:val="333333"/>
        </w:rPr>
        <w:t>. We currently provide long-term incentives by compensating</w:t>
      </w:r>
      <w:r>
        <w:rPr>
          <w:rFonts w:ascii="Arial" w:cs="Arial" w:eastAsia="Arial" w:hAnsi="Arial"/>
          <w:sz w:val="16"/>
          <w:szCs w:val="16"/>
          <w:b w:val="1"/>
          <w:bCs w:val="1"/>
          <w:color w:val="333333"/>
        </w:rPr>
        <w:t xml:space="preserve"> </w:t>
      </w:r>
      <w:r>
        <w:rPr>
          <w:rFonts w:ascii="Arial" w:cs="Arial" w:eastAsia="Arial" w:hAnsi="Arial"/>
          <w:sz w:val="16"/>
          <w:szCs w:val="16"/>
          <w:color w:val="333333"/>
        </w:rPr>
        <w:t>participants with equity awards. With stockholders’ approval of the Amendment, we will be able to continue to maintain this means of aligning the interests of key personnel with the interests of our stockholders.</w:t>
      </w:r>
    </w:p>
    <w:p>
      <w:pPr>
        <w:spacing w:after="0" w:line="36" w:lineRule="exact"/>
        <w:rPr>
          <w:rFonts w:ascii="Arial" w:cs="Arial" w:eastAsia="Arial" w:hAnsi="Arial"/>
          <w:sz w:val="16"/>
          <w:szCs w:val="16"/>
          <w:color w:val="333333"/>
        </w:rPr>
      </w:pPr>
    </w:p>
    <w:p>
      <w:pPr>
        <w:ind w:left="720" w:right="100" w:hanging="354"/>
        <w:spacing w:after="0" w:line="256" w:lineRule="auto"/>
        <w:tabs>
          <w:tab w:leader="none" w:pos="720" w:val="left"/>
        </w:tabs>
        <w:numPr>
          <w:ilvl w:val="0"/>
          <w:numId w:val="58"/>
        </w:numPr>
        <w:rPr>
          <w:rFonts w:ascii="Arial" w:cs="Arial" w:eastAsia="Arial" w:hAnsi="Arial"/>
          <w:sz w:val="16"/>
          <w:szCs w:val="16"/>
          <w:color w:val="333333"/>
        </w:rPr>
      </w:pPr>
      <w:r>
        <w:rPr>
          <w:rFonts w:ascii="Arial" w:cs="Arial" w:eastAsia="Arial" w:hAnsi="Arial"/>
          <w:sz w:val="16"/>
          <w:szCs w:val="16"/>
          <w:b w:val="1"/>
          <w:bCs w:val="1"/>
          <w:color w:val="333333"/>
        </w:rPr>
        <w:t>Approval is necessary to continue an equity-based compensation program</w:t>
      </w:r>
      <w:r>
        <w:rPr>
          <w:rFonts w:ascii="Arial" w:cs="Arial" w:eastAsia="Arial" w:hAnsi="Arial"/>
          <w:sz w:val="16"/>
          <w:szCs w:val="16"/>
          <w:color w:val="333333"/>
        </w:rPr>
        <w:t>. If our stockholders do not approve the</w:t>
      </w:r>
      <w:r>
        <w:rPr>
          <w:rFonts w:ascii="Arial" w:cs="Arial" w:eastAsia="Arial" w:hAnsi="Arial"/>
          <w:sz w:val="16"/>
          <w:szCs w:val="16"/>
          <w:b w:val="1"/>
          <w:bCs w:val="1"/>
          <w:color w:val="333333"/>
        </w:rPr>
        <w:t xml:space="preserve"> </w:t>
      </w:r>
      <w:r>
        <w:rPr>
          <w:rFonts w:ascii="Arial" w:cs="Arial" w:eastAsia="Arial" w:hAnsi="Arial"/>
          <w:sz w:val="16"/>
          <w:szCs w:val="16"/>
          <w:color w:val="333333"/>
        </w:rPr>
        <w:t>Amendment, we may have to shift to a long-term compensation program that is heavily paid in cash for both our employees and directors, which would less closely align with the interests of our stockholders and negatively impact our cash management. Based on the remaining capacity our 2011 Plan, we expect we may not have sufficient capacity to make anticipated future grants of equity awards.</w:t>
      </w:r>
    </w:p>
    <w:p>
      <w:pPr>
        <w:spacing w:after="0" w:line="31" w:lineRule="exact"/>
        <w:rPr>
          <w:rFonts w:ascii="Arial" w:cs="Arial" w:eastAsia="Arial" w:hAnsi="Arial"/>
          <w:sz w:val="16"/>
          <w:szCs w:val="16"/>
          <w:color w:val="333333"/>
        </w:rPr>
      </w:pPr>
    </w:p>
    <w:p>
      <w:pPr>
        <w:ind w:left="720" w:right="400" w:hanging="354"/>
        <w:spacing w:after="0" w:line="266" w:lineRule="auto"/>
        <w:tabs>
          <w:tab w:leader="none" w:pos="720" w:val="left"/>
        </w:tabs>
        <w:numPr>
          <w:ilvl w:val="0"/>
          <w:numId w:val="58"/>
        </w:numPr>
        <w:rPr>
          <w:rFonts w:ascii="Arial" w:cs="Arial" w:eastAsia="Arial" w:hAnsi="Arial"/>
          <w:sz w:val="16"/>
          <w:szCs w:val="16"/>
          <w:color w:val="333333"/>
        </w:rPr>
      </w:pPr>
      <w:r>
        <w:rPr>
          <w:rFonts w:ascii="Arial" w:cs="Arial" w:eastAsia="Arial" w:hAnsi="Arial"/>
          <w:sz w:val="16"/>
          <w:szCs w:val="16"/>
          <w:b w:val="1"/>
          <w:bCs w:val="1"/>
          <w:color w:val="333333"/>
        </w:rPr>
        <w:t>Attracts and retains talent</w:t>
      </w:r>
      <w:r>
        <w:rPr>
          <w:rFonts w:ascii="Arial" w:cs="Arial" w:eastAsia="Arial" w:hAnsi="Arial"/>
          <w:sz w:val="16"/>
          <w:szCs w:val="16"/>
          <w:color w:val="333333"/>
        </w:rPr>
        <w:t>. The A&amp;R 2011 Plan will be a critical tool to the continued success of the Company by</w:t>
      </w:r>
      <w:r>
        <w:rPr>
          <w:rFonts w:ascii="Arial" w:cs="Arial" w:eastAsia="Arial" w:hAnsi="Arial"/>
          <w:sz w:val="16"/>
          <w:szCs w:val="16"/>
          <w:b w:val="1"/>
          <w:bCs w:val="1"/>
          <w:color w:val="333333"/>
        </w:rPr>
        <w:t xml:space="preserve"> </w:t>
      </w:r>
      <w:r>
        <w:rPr>
          <w:rFonts w:ascii="Arial" w:cs="Arial" w:eastAsia="Arial" w:hAnsi="Arial"/>
          <w:sz w:val="16"/>
          <w:szCs w:val="16"/>
          <w:color w:val="333333"/>
        </w:rPr>
        <w:t>allowing us to continue to attract, retain and motivate key personnel and provide participants with incentives directly related to increases in the value of the Company.</w:t>
      </w:r>
    </w:p>
    <w:p>
      <w:pPr>
        <w:spacing w:after="0" w:line="22" w:lineRule="exact"/>
        <w:rPr>
          <w:rFonts w:ascii="Arial" w:cs="Arial" w:eastAsia="Arial" w:hAnsi="Arial"/>
          <w:sz w:val="16"/>
          <w:szCs w:val="16"/>
          <w:color w:val="333333"/>
        </w:rPr>
      </w:pPr>
    </w:p>
    <w:p>
      <w:pPr>
        <w:ind w:left="720" w:right="200" w:hanging="354"/>
        <w:spacing w:after="0" w:line="286" w:lineRule="auto"/>
        <w:tabs>
          <w:tab w:leader="none" w:pos="720" w:val="left"/>
        </w:tabs>
        <w:numPr>
          <w:ilvl w:val="0"/>
          <w:numId w:val="58"/>
        </w:numPr>
        <w:rPr>
          <w:rFonts w:ascii="Arial" w:cs="Arial" w:eastAsia="Arial" w:hAnsi="Arial"/>
          <w:sz w:val="16"/>
          <w:szCs w:val="16"/>
          <w:color w:val="333333"/>
        </w:rPr>
      </w:pPr>
      <w:r>
        <w:rPr>
          <w:rFonts w:ascii="Arial" w:cs="Arial" w:eastAsia="Arial" w:hAnsi="Arial"/>
          <w:sz w:val="16"/>
          <w:szCs w:val="16"/>
          <w:b w:val="1"/>
          <w:bCs w:val="1"/>
          <w:color w:val="333333"/>
        </w:rPr>
        <w:t>Includes favorable corporate governance features</w:t>
      </w:r>
      <w:r>
        <w:rPr>
          <w:rFonts w:ascii="Arial" w:cs="Arial" w:eastAsia="Arial" w:hAnsi="Arial"/>
          <w:sz w:val="16"/>
          <w:szCs w:val="16"/>
          <w:color w:val="333333"/>
        </w:rPr>
        <w:t>. As described below, the A&amp;R 2011 Plan has sound governance</w:t>
      </w:r>
      <w:r>
        <w:rPr>
          <w:rFonts w:ascii="Arial" w:cs="Arial" w:eastAsia="Arial" w:hAnsi="Arial"/>
          <w:sz w:val="16"/>
          <w:szCs w:val="16"/>
          <w:b w:val="1"/>
          <w:bCs w:val="1"/>
          <w:color w:val="333333"/>
        </w:rPr>
        <w:t xml:space="preserve"> </w:t>
      </w:r>
      <w:r>
        <w:rPr>
          <w:rFonts w:ascii="Arial" w:cs="Arial" w:eastAsia="Arial" w:hAnsi="Arial"/>
          <w:sz w:val="16"/>
          <w:szCs w:val="16"/>
          <w:color w:val="333333"/>
        </w:rPr>
        <w:t>features and includes “best practices” provisions.</w:t>
      </w:r>
    </w:p>
    <w:p>
      <w:pPr>
        <w:spacing w:after="0" w:line="10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333333"/>
        </w:rPr>
        <w:t>We believe that the benefits to our stockholders from equity award grants to our employees and directors outweigh the potential dilutive effect of grants under the A&amp;R 2011 Plan. The Company believes that paying a significant portion of annual variable compensation in the form of equity awards is an effective method of aligning the interests of employees with those of our stockholders, encouraging ownership in the Company, and retaining, attracting, and rewarding talented employees. We also believe that having a vehicle to pay a portion of compensation for our non-employee directors in stock awards is appropriate and consistent with market practices.</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Information on Equity Compensation Plans as of April 15, 2025</w:t>
      </w:r>
    </w:p>
    <w:p>
      <w:pPr>
        <w:spacing w:after="0" w:line="15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33333"/>
        </w:rPr>
        <w:t>The A&amp;R 2011 Plan incorporates the following current governance favorable practices, which further align our equity compensation program with the interest of our stockholders.</w:t>
      </w:r>
    </w:p>
    <w:p>
      <w:pPr>
        <w:spacing w:after="0" w:line="102" w:lineRule="exact"/>
        <w:rPr>
          <w:sz w:val="20"/>
          <w:szCs w:val="20"/>
          <w:color w:val="auto"/>
        </w:rPr>
      </w:pPr>
    </w:p>
    <w:p>
      <w:pPr>
        <w:ind w:left="720" w:right="20" w:hanging="354"/>
        <w:spacing w:after="0" w:line="286" w:lineRule="auto"/>
        <w:tabs>
          <w:tab w:leader="none" w:pos="720" w:val="left"/>
        </w:tabs>
        <w:numPr>
          <w:ilvl w:val="0"/>
          <w:numId w:val="59"/>
        </w:numPr>
        <w:rPr>
          <w:rFonts w:ascii="Arial" w:cs="Arial" w:eastAsia="Arial" w:hAnsi="Arial"/>
          <w:sz w:val="16"/>
          <w:szCs w:val="16"/>
          <w:color w:val="333333"/>
        </w:rPr>
      </w:pPr>
      <w:r>
        <w:rPr>
          <w:rFonts w:ascii="Arial" w:cs="Arial" w:eastAsia="Arial" w:hAnsi="Arial"/>
          <w:sz w:val="16"/>
          <w:szCs w:val="16"/>
          <w:i w:val="1"/>
          <w:iCs w:val="1"/>
          <w:color w:val="333333"/>
        </w:rPr>
        <w:t>No “evergreen” provision</w:t>
      </w:r>
      <w:r>
        <w:rPr>
          <w:rFonts w:ascii="Arial" w:cs="Arial" w:eastAsia="Arial" w:hAnsi="Arial"/>
          <w:sz w:val="16"/>
          <w:szCs w:val="16"/>
          <w:color w:val="333333"/>
        </w:rPr>
        <w:t>. The number of shares of our common stock available for issuance under the A&amp;R 2011 Plan is</w:t>
      </w:r>
      <w:r>
        <w:rPr>
          <w:rFonts w:ascii="Arial" w:cs="Arial" w:eastAsia="Arial" w:hAnsi="Arial"/>
          <w:sz w:val="16"/>
          <w:szCs w:val="16"/>
          <w:i w:val="1"/>
          <w:iCs w:val="1"/>
          <w:color w:val="333333"/>
        </w:rPr>
        <w:t xml:space="preserve"> </w:t>
      </w:r>
      <w:r>
        <w:rPr>
          <w:rFonts w:ascii="Arial" w:cs="Arial" w:eastAsia="Arial" w:hAnsi="Arial"/>
          <w:sz w:val="16"/>
          <w:szCs w:val="16"/>
          <w:color w:val="333333"/>
        </w:rPr>
        <w:t>fixed and will not adjust based upon the number of shares outstanding.</w:t>
      </w:r>
    </w:p>
    <w:p>
      <w:pPr>
        <w:spacing w:after="0" w:line="101" w:lineRule="exact"/>
        <w:rPr>
          <w:rFonts w:ascii="Arial" w:cs="Arial" w:eastAsia="Arial" w:hAnsi="Arial"/>
          <w:sz w:val="16"/>
          <w:szCs w:val="16"/>
          <w:color w:val="333333"/>
        </w:rPr>
      </w:pPr>
    </w:p>
    <w:p>
      <w:pPr>
        <w:ind w:left="720" w:hanging="354"/>
        <w:spacing w:after="0" w:line="262" w:lineRule="auto"/>
        <w:tabs>
          <w:tab w:leader="none" w:pos="720" w:val="left"/>
        </w:tabs>
        <w:numPr>
          <w:ilvl w:val="0"/>
          <w:numId w:val="59"/>
        </w:numPr>
        <w:rPr>
          <w:rFonts w:ascii="Arial" w:cs="Arial" w:eastAsia="Arial" w:hAnsi="Arial"/>
          <w:sz w:val="16"/>
          <w:szCs w:val="16"/>
          <w:color w:val="333333"/>
        </w:rPr>
      </w:pPr>
      <w:r>
        <w:rPr>
          <w:rFonts w:ascii="Arial" w:cs="Arial" w:eastAsia="Arial" w:hAnsi="Arial"/>
          <w:sz w:val="16"/>
          <w:szCs w:val="16"/>
          <w:i w:val="1"/>
          <w:iCs w:val="1"/>
          <w:color w:val="333333"/>
        </w:rPr>
        <w:t>Stock options are not discounted</w:t>
      </w:r>
      <w:r>
        <w:rPr>
          <w:rFonts w:ascii="Arial" w:cs="Arial" w:eastAsia="Arial" w:hAnsi="Arial"/>
          <w:sz w:val="16"/>
          <w:szCs w:val="16"/>
          <w:color w:val="333333"/>
        </w:rPr>
        <w:t>. The A&amp;R 2011 Plan prohibits granting stock options with exercise prices lower than the</w:t>
      </w:r>
      <w:r>
        <w:rPr>
          <w:rFonts w:ascii="Arial" w:cs="Arial" w:eastAsia="Arial" w:hAnsi="Arial"/>
          <w:sz w:val="16"/>
          <w:szCs w:val="16"/>
          <w:i w:val="1"/>
          <w:iCs w:val="1"/>
          <w:color w:val="333333"/>
        </w:rPr>
        <w:t xml:space="preserve"> </w:t>
      </w:r>
      <w:r>
        <w:rPr>
          <w:rFonts w:ascii="Arial" w:cs="Arial" w:eastAsia="Arial" w:hAnsi="Arial"/>
          <w:sz w:val="16"/>
          <w:szCs w:val="16"/>
          <w:color w:val="333333"/>
        </w:rPr>
        <w:t>fair market value of a share of our common stock on the grant date, except in connection with the issuance or assumption of awards in connection with certain mergers, consolidations, acquisitions of property or stock or reorganizations.</w:t>
      </w:r>
    </w:p>
    <w:p>
      <w:pPr>
        <w:spacing w:after="0" w:line="315" w:lineRule="exact"/>
        <w:rPr>
          <w:rFonts w:ascii="Arial" w:cs="Arial" w:eastAsia="Arial" w:hAnsi="Arial"/>
          <w:sz w:val="16"/>
          <w:szCs w:val="16"/>
          <w:color w:val="333333"/>
        </w:rPr>
      </w:pPr>
    </w:p>
    <w:p>
      <w:pPr>
        <w:ind w:left="720" w:right="80" w:hanging="354"/>
        <w:spacing w:after="0" w:line="286" w:lineRule="auto"/>
        <w:tabs>
          <w:tab w:leader="none" w:pos="720" w:val="left"/>
        </w:tabs>
        <w:numPr>
          <w:ilvl w:val="0"/>
          <w:numId w:val="59"/>
        </w:numPr>
        <w:rPr>
          <w:rFonts w:ascii="Arial" w:cs="Arial" w:eastAsia="Arial" w:hAnsi="Arial"/>
          <w:sz w:val="16"/>
          <w:szCs w:val="16"/>
          <w:color w:val="333333"/>
        </w:rPr>
      </w:pPr>
      <w:r>
        <w:rPr>
          <w:rFonts w:ascii="Arial" w:cs="Arial" w:eastAsia="Arial" w:hAnsi="Arial"/>
          <w:sz w:val="16"/>
          <w:szCs w:val="16"/>
          <w:i w:val="1"/>
          <w:iCs w:val="1"/>
          <w:color w:val="333333"/>
        </w:rPr>
        <w:t>“Clawback” provision</w:t>
      </w:r>
      <w:r>
        <w:rPr>
          <w:rFonts w:ascii="Arial" w:cs="Arial" w:eastAsia="Arial" w:hAnsi="Arial"/>
          <w:sz w:val="16"/>
          <w:szCs w:val="16"/>
          <w:color w:val="333333"/>
        </w:rPr>
        <w:t>. Applicable awards granted under the A&amp;R 2011 Plan are subject to recoupment under our current</w:t>
      </w:r>
      <w:r>
        <w:rPr>
          <w:rFonts w:ascii="Arial" w:cs="Arial" w:eastAsia="Arial" w:hAnsi="Arial"/>
          <w:sz w:val="16"/>
          <w:szCs w:val="16"/>
          <w:i w:val="1"/>
          <w:iCs w:val="1"/>
          <w:color w:val="333333"/>
        </w:rPr>
        <w:t xml:space="preserve"> </w:t>
      </w:r>
      <w:r>
        <w:rPr>
          <w:rFonts w:ascii="Arial" w:cs="Arial" w:eastAsia="Arial" w:hAnsi="Arial"/>
          <w:sz w:val="16"/>
          <w:szCs w:val="16"/>
          <w:color w:val="333333"/>
        </w:rPr>
        <w:t>clawback policy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61"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520" w:hanging="354"/>
        <w:spacing w:after="0" w:line="286" w:lineRule="auto"/>
        <w:tabs>
          <w:tab w:leader="none" w:pos="720" w:val="left"/>
        </w:tabs>
        <w:numPr>
          <w:ilvl w:val="0"/>
          <w:numId w:val="60"/>
        </w:numPr>
        <w:rPr>
          <w:rFonts w:ascii="Arial" w:cs="Arial" w:eastAsia="Arial" w:hAnsi="Arial"/>
          <w:sz w:val="16"/>
          <w:szCs w:val="16"/>
          <w:color w:val="333333"/>
        </w:rPr>
      </w:pPr>
      <w:r>
        <w:rPr>
          <w:rFonts w:ascii="Arial" w:cs="Arial" w:eastAsia="Arial" w:hAnsi="Arial"/>
          <w:sz w:val="16"/>
          <w:szCs w:val="16"/>
          <w:i w:val="1"/>
          <w:iCs w:val="1"/>
          <w:color w:val="auto"/>
        </w:rPr>
        <w:t>Stock ownership guidelines</w:t>
      </w:r>
      <w:r>
        <w:rPr>
          <w:rFonts w:ascii="Arial" w:cs="Arial" w:eastAsia="Arial" w:hAnsi="Arial"/>
          <w:sz w:val="16"/>
          <w:szCs w:val="16"/>
          <w:color w:val="333333"/>
        </w:rPr>
        <w:t>. Our directors and covered officers are expected to achieve minimum stock ownership</w:t>
      </w:r>
      <w:r>
        <w:rPr>
          <w:rFonts w:ascii="Arial" w:cs="Arial" w:eastAsia="Arial" w:hAnsi="Arial"/>
          <w:sz w:val="16"/>
          <w:szCs w:val="16"/>
          <w:i w:val="1"/>
          <w:iCs w:val="1"/>
          <w:color w:val="auto"/>
        </w:rPr>
        <w:t xml:space="preserve"> </w:t>
      </w:r>
      <w:r>
        <w:rPr>
          <w:rFonts w:ascii="Arial" w:cs="Arial" w:eastAsia="Arial" w:hAnsi="Arial"/>
          <w:sz w:val="16"/>
          <w:szCs w:val="16"/>
          <w:color w:val="333333"/>
        </w:rPr>
        <w:t>values, as described in this this proxy statement, within five years of eligibility or promotion.</w:t>
      </w:r>
    </w:p>
    <w:p>
      <w:pPr>
        <w:spacing w:after="0" w:line="101" w:lineRule="exact"/>
        <w:rPr>
          <w:rFonts w:ascii="Arial" w:cs="Arial" w:eastAsia="Arial" w:hAnsi="Arial"/>
          <w:sz w:val="16"/>
          <w:szCs w:val="16"/>
          <w:color w:val="333333"/>
        </w:rPr>
      </w:pPr>
    </w:p>
    <w:p>
      <w:pPr>
        <w:ind w:left="720" w:right="300" w:hanging="354"/>
        <w:spacing w:after="0" w:line="266" w:lineRule="auto"/>
        <w:tabs>
          <w:tab w:leader="none" w:pos="720" w:val="left"/>
        </w:tabs>
        <w:numPr>
          <w:ilvl w:val="0"/>
          <w:numId w:val="60"/>
        </w:numPr>
        <w:rPr>
          <w:rFonts w:ascii="Arial" w:cs="Arial" w:eastAsia="Arial" w:hAnsi="Arial"/>
          <w:sz w:val="16"/>
          <w:szCs w:val="16"/>
          <w:color w:val="333333"/>
        </w:rPr>
      </w:pPr>
      <w:r>
        <w:rPr>
          <w:rFonts w:ascii="Arial" w:cs="Arial" w:eastAsia="Arial" w:hAnsi="Arial"/>
          <w:sz w:val="16"/>
          <w:szCs w:val="16"/>
          <w:i w:val="1"/>
          <w:iCs w:val="1"/>
          <w:color w:val="auto"/>
        </w:rPr>
        <w:t>No tax gross-ups</w:t>
      </w:r>
      <w:r>
        <w:rPr>
          <w:rFonts w:ascii="Arial" w:cs="Arial" w:eastAsia="Arial" w:hAnsi="Arial"/>
          <w:sz w:val="16"/>
          <w:szCs w:val="16"/>
          <w:color w:val="333333"/>
        </w:rPr>
        <w:t>. No participant is entitled under the A&amp;R 2011 Plan to any tax gross-up payments for any excise tax</w:t>
      </w:r>
      <w:r>
        <w:rPr>
          <w:rFonts w:ascii="Arial" w:cs="Arial" w:eastAsia="Arial" w:hAnsi="Arial"/>
          <w:sz w:val="16"/>
          <w:szCs w:val="16"/>
          <w:i w:val="1"/>
          <w:iCs w:val="1"/>
          <w:color w:val="auto"/>
        </w:rPr>
        <w:t xml:space="preserve"> </w:t>
      </w:r>
      <w:r>
        <w:rPr>
          <w:rFonts w:ascii="Arial" w:cs="Arial" w:eastAsia="Arial" w:hAnsi="Arial"/>
          <w:sz w:val="16"/>
          <w:szCs w:val="16"/>
          <w:color w:val="333333"/>
        </w:rPr>
        <w:t>pursuant to Sections 280G or 4999 of the Code that may be incurred in connection with awards under the A&amp;R 2011 Plan.</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333333"/>
        </w:rPr>
        <w:t>The information included in this proxy statement and our 2024 Annual Report is updated by the following information regarding all existing equity compensation plans as of 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59664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660" w:type="dxa"/>
            <w:vAlign w:val="bottom"/>
            <w:tcBorders>
              <w:bottom w:val="single" w:sz="8" w:color="666666"/>
            </w:tcBorders>
          </w:tcPr>
          <w:p>
            <w:pPr>
              <w:ind w:left="280"/>
              <w:spacing w:after="0"/>
              <w:rPr>
                <w:sz w:val="20"/>
                <w:szCs w:val="20"/>
                <w:color w:val="auto"/>
              </w:rPr>
            </w:pPr>
            <w:r>
              <w:rPr>
                <w:rFonts w:ascii="Arial" w:cs="Arial" w:eastAsia="Arial" w:hAnsi="Arial"/>
                <w:sz w:val="14"/>
                <w:szCs w:val="14"/>
                <w:color w:val="auto"/>
              </w:rPr>
              <w:t>Total stock options outstanding</w:t>
            </w:r>
            <w:r>
              <w:rPr>
                <w:rFonts w:ascii="Arial" w:cs="Arial" w:eastAsia="Arial" w:hAnsi="Arial"/>
                <w:sz w:val="23"/>
                <w:szCs w:val="23"/>
                <w:color w:val="auto"/>
                <w:vertAlign w:val="superscript"/>
              </w:rPr>
              <w:t>(1)</w:t>
            </w:r>
          </w:p>
        </w:tc>
        <w:tc>
          <w:tcPr>
            <w:tcW w:w="1740" w:type="dxa"/>
            <w:vAlign w:val="bottom"/>
            <w:tcBorders>
              <w:bottom w:val="single" w:sz="8" w:color="666666"/>
            </w:tcBorders>
          </w:tcPr>
          <w:p>
            <w:pPr>
              <w:spacing w:after="0"/>
              <w:rPr>
                <w:sz w:val="24"/>
                <w:szCs w:val="24"/>
                <w:color w:val="auto"/>
              </w:rPr>
            </w:pPr>
          </w:p>
        </w:tc>
        <w:tc>
          <w:tcPr>
            <w:tcW w:w="100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36,248,772</w:t>
            </w:r>
          </w:p>
        </w:tc>
      </w:tr>
      <w:tr>
        <w:trPr>
          <w:trHeight w:val="255"/>
        </w:trPr>
        <w:tc>
          <w:tcPr>
            <w:tcW w:w="6660" w:type="dxa"/>
            <w:vAlign w:val="bottom"/>
          </w:tcPr>
          <w:p>
            <w:pPr>
              <w:ind w:left="280"/>
              <w:spacing w:after="0"/>
              <w:rPr>
                <w:sz w:val="20"/>
                <w:szCs w:val="20"/>
                <w:color w:val="auto"/>
              </w:rPr>
            </w:pPr>
            <w:r>
              <w:rPr>
                <w:rFonts w:ascii="Arial" w:cs="Arial" w:eastAsia="Arial" w:hAnsi="Arial"/>
                <w:sz w:val="14"/>
                <w:szCs w:val="14"/>
                <w:color w:val="auto"/>
              </w:rPr>
              <w:t>Weighted-average exercise price of stock options outstanding</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3.70</w:t>
            </w:r>
          </w:p>
        </w:tc>
      </w:tr>
      <w:tr>
        <w:trPr>
          <w:trHeight w:val="76"/>
        </w:trPr>
        <w:tc>
          <w:tcPr>
            <w:tcW w:w="6660" w:type="dxa"/>
            <w:vAlign w:val="bottom"/>
            <w:tcBorders>
              <w:bottom w:val="single" w:sz="8" w:color="666666"/>
            </w:tcBorders>
          </w:tcPr>
          <w:p>
            <w:pPr>
              <w:spacing w:after="0"/>
              <w:rPr>
                <w:sz w:val="6"/>
                <w:szCs w:val="6"/>
                <w:color w:val="auto"/>
              </w:rPr>
            </w:pPr>
          </w:p>
        </w:tc>
        <w:tc>
          <w:tcPr>
            <w:tcW w:w="1740" w:type="dxa"/>
            <w:vAlign w:val="bottom"/>
            <w:tcBorders>
              <w:bottom w:val="single" w:sz="8" w:color="666666"/>
            </w:tcBorders>
          </w:tcPr>
          <w:p>
            <w:pPr>
              <w:spacing w:after="0"/>
              <w:rPr>
                <w:sz w:val="6"/>
                <w:szCs w:val="6"/>
                <w:color w:val="auto"/>
              </w:rPr>
            </w:pPr>
          </w:p>
        </w:tc>
        <w:tc>
          <w:tcPr>
            <w:tcW w:w="1000" w:type="dxa"/>
            <w:vAlign w:val="bottom"/>
            <w:tcBorders>
              <w:bottom w:val="single" w:sz="8" w:color="666666"/>
            </w:tcBorders>
          </w:tcPr>
          <w:p>
            <w:pPr>
              <w:spacing w:after="0"/>
              <w:rPr>
                <w:sz w:val="6"/>
                <w:szCs w:val="6"/>
                <w:color w:val="auto"/>
              </w:rPr>
            </w:pPr>
          </w:p>
        </w:tc>
      </w:tr>
      <w:tr>
        <w:trPr>
          <w:trHeight w:val="255"/>
        </w:trPr>
        <w:tc>
          <w:tcPr>
            <w:tcW w:w="6660" w:type="dxa"/>
            <w:vAlign w:val="bottom"/>
          </w:tcPr>
          <w:p>
            <w:pPr>
              <w:ind w:left="280"/>
              <w:spacing w:after="0"/>
              <w:rPr>
                <w:sz w:val="20"/>
                <w:szCs w:val="20"/>
                <w:color w:val="auto"/>
              </w:rPr>
            </w:pPr>
            <w:r>
              <w:rPr>
                <w:rFonts w:ascii="Arial" w:cs="Arial" w:eastAsia="Arial" w:hAnsi="Arial"/>
                <w:sz w:val="14"/>
                <w:szCs w:val="14"/>
                <w:color w:val="auto"/>
              </w:rPr>
              <w:t>Weighted-average remaining duration of stock options outstanding (years)</w:t>
            </w:r>
          </w:p>
        </w:tc>
        <w:tc>
          <w:tcPr>
            <w:tcW w:w="174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2.6</w:t>
            </w:r>
          </w:p>
        </w:tc>
      </w:tr>
      <w:tr>
        <w:trPr>
          <w:trHeight w:val="76"/>
        </w:trPr>
        <w:tc>
          <w:tcPr>
            <w:tcW w:w="6660" w:type="dxa"/>
            <w:vAlign w:val="bottom"/>
            <w:tcBorders>
              <w:bottom w:val="single" w:sz="8" w:color="666666"/>
            </w:tcBorders>
          </w:tcPr>
          <w:p>
            <w:pPr>
              <w:spacing w:after="0"/>
              <w:rPr>
                <w:sz w:val="6"/>
                <w:szCs w:val="6"/>
                <w:color w:val="auto"/>
              </w:rPr>
            </w:pPr>
          </w:p>
        </w:tc>
        <w:tc>
          <w:tcPr>
            <w:tcW w:w="1740" w:type="dxa"/>
            <w:vAlign w:val="bottom"/>
            <w:tcBorders>
              <w:bottom w:val="single" w:sz="8" w:color="666666"/>
            </w:tcBorders>
          </w:tcPr>
          <w:p>
            <w:pPr>
              <w:spacing w:after="0"/>
              <w:rPr>
                <w:sz w:val="6"/>
                <w:szCs w:val="6"/>
                <w:color w:val="auto"/>
              </w:rPr>
            </w:pPr>
          </w:p>
        </w:tc>
        <w:tc>
          <w:tcPr>
            <w:tcW w:w="1000" w:type="dxa"/>
            <w:vAlign w:val="bottom"/>
            <w:tcBorders>
              <w:bottom w:val="single" w:sz="8" w:color="666666"/>
            </w:tcBorders>
          </w:tcPr>
          <w:p>
            <w:pPr>
              <w:spacing w:after="0"/>
              <w:rPr>
                <w:sz w:val="6"/>
                <w:szCs w:val="6"/>
                <w:color w:val="auto"/>
              </w:rPr>
            </w:pPr>
          </w:p>
        </w:tc>
      </w:tr>
      <w:tr>
        <w:trPr>
          <w:trHeight w:val="358"/>
        </w:trPr>
        <w:tc>
          <w:tcPr>
            <w:tcW w:w="6660" w:type="dxa"/>
            <w:vAlign w:val="bottom"/>
            <w:tcBorders>
              <w:bottom w:val="single" w:sz="8" w:color="666666"/>
            </w:tcBorders>
          </w:tcPr>
          <w:p>
            <w:pPr>
              <w:ind w:left="280"/>
              <w:spacing w:after="0"/>
              <w:rPr>
                <w:sz w:val="20"/>
                <w:szCs w:val="20"/>
                <w:color w:val="auto"/>
              </w:rPr>
            </w:pPr>
            <w:r>
              <w:rPr>
                <w:rFonts w:ascii="Arial" w:cs="Arial" w:eastAsia="Arial" w:hAnsi="Arial"/>
                <w:sz w:val="14"/>
                <w:szCs w:val="14"/>
                <w:color w:val="auto"/>
              </w:rPr>
              <w:t>Total full value awards outstanding</w:t>
            </w:r>
            <w:r>
              <w:rPr>
                <w:rFonts w:ascii="Arial" w:cs="Arial" w:eastAsia="Arial" w:hAnsi="Arial"/>
                <w:sz w:val="23"/>
                <w:szCs w:val="23"/>
                <w:color w:val="auto"/>
                <w:vertAlign w:val="superscript"/>
              </w:rPr>
              <w:t>(2)</w:t>
            </w:r>
          </w:p>
        </w:tc>
        <w:tc>
          <w:tcPr>
            <w:tcW w:w="1740" w:type="dxa"/>
            <w:vAlign w:val="bottom"/>
            <w:tcBorders>
              <w:bottom w:val="single" w:sz="8" w:color="666666"/>
            </w:tcBorders>
          </w:tcPr>
          <w:p>
            <w:pPr>
              <w:spacing w:after="0"/>
              <w:rPr>
                <w:sz w:val="24"/>
                <w:szCs w:val="24"/>
                <w:color w:val="auto"/>
              </w:rPr>
            </w:pPr>
          </w:p>
        </w:tc>
        <w:tc>
          <w:tcPr>
            <w:tcW w:w="1000" w:type="dxa"/>
            <w:vAlign w:val="bottom"/>
            <w:tcBorders>
              <w:bottom w:val="single" w:sz="8" w:color="666666"/>
            </w:tcBorders>
          </w:tcPr>
          <w:p>
            <w:pPr>
              <w:jc w:val="right"/>
              <w:ind w:right="128"/>
              <w:spacing w:after="0"/>
              <w:rPr>
                <w:sz w:val="20"/>
                <w:szCs w:val="20"/>
                <w:color w:val="auto"/>
              </w:rPr>
            </w:pPr>
            <w:r>
              <w:rPr>
                <w:rFonts w:ascii="Arial" w:cs="Arial" w:eastAsia="Arial" w:hAnsi="Arial"/>
                <w:sz w:val="14"/>
                <w:szCs w:val="14"/>
                <w:color w:val="auto"/>
              </w:rPr>
              <w:t>19,608,708</w:t>
            </w:r>
          </w:p>
        </w:tc>
      </w:tr>
      <w:tr>
        <w:trPr>
          <w:trHeight w:val="256"/>
        </w:trPr>
        <w:tc>
          <w:tcPr>
            <w:tcW w:w="6660" w:type="dxa"/>
            <w:vAlign w:val="bottom"/>
          </w:tcPr>
          <w:p>
            <w:pPr>
              <w:ind w:left="280"/>
              <w:spacing w:after="0"/>
              <w:rPr>
                <w:sz w:val="20"/>
                <w:szCs w:val="20"/>
                <w:color w:val="auto"/>
              </w:rPr>
            </w:pPr>
            <w:r>
              <w:rPr>
                <w:rFonts w:ascii="Arial" w:cs="Arial" w:eastAsia="Arial" w:hAnsi="Arial"/>
                <w:sz w:val="14"/>
                <w:szCs w:val="14"/>
                <w:color w:val="auto"/>
              </w:rPr>
              <w:t>Shares available for grant under the 2011 Equity Plan</w:t>
            </w:r>
          </w:p>
        </w:tc>
        <w:tc>
          <w:tcPr>
            <w:tcW w:w="174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10,656,452</w:t>
            </w:r>
          </w:p>
        </w:tc>
      </w:tr>
      <w:tr>
        <w:trPr>
          <w:trHeight w:val="76"/>
        </w:trPr>
        <w:tc>
          <w:tcPr>
            <w:tcW w:w="6660" w:type="dxa"/>
            <w:vAlign w:val="bottom"/>
            <w:tcBorders>
              <w:bottom w:val="single" w:sz="8" w:color="666666"/>
            </w:tcBorders>
          </w:tcPr>
          <w:p>
            <w:pPr>
              <w:spacing w:after="0"/>
              <w:rPr>
                <w:sz w:val="6"/>
                <w:szCs w:val="6"/>
                <w:color w:val="auto"/>
              </w:rPr>
            </w:pPr>
          </w:p>
        </w:tc>
        <w:tc>
          <w:tcPr>
            <w:tcW w:w="1740" w:type="dxa"/>
            <w:vAlign w:val="bottom"/>
            <w:tcBorders>
              <w:bottom w:val="single" w:sz="8" w:color="666666"/>
            </w:tcBorders>
          </w:tcPr>
          <w:p>
            <w:pPr>
              <w:spacing w:after="0"/>
              <w:rPr>
                <w:sz w:val="6"/>
                <w:szCs w:val="6"/>
                <w:color w:val="auto"/>
              </w:rPr>
            </w:pPr>
          </w:p>
        </w:tc>
        <w:tc>
          <w:tcPr>
            <w:tcW w:w="1000" w:type="dxa"/>
            <w:vAlign w:val="bottom"/>
            <w:tcBorders>
              <w:bottom w:val="single" w:sz="8" w:color="666666"/>
            </w:tcBorders>
          </w:tcPr>
          <w:p>
            <w:pPr>
              <w:spacing w:after="0"/>
              <w:rPr>
                <w:sz w:val="6"/>
                <w:szCs w:val="6"/>
                <w:color w:val="auto"/>
              </w:rPr>
            </w:pPr>
          </w:p>
        </w:tc>
      </w:tr>
      <w:tr>
        <w:trPr>
          <w:trHeight w:val="255"/>
        </w:trPr>
        <w:tc>
          <w:tcPr>
            <w:tcW w:w="6660" w:type="dxa"/>
            <w:vAlign w:val="bottom"/>
          </w:tcPr>
          <w:p>
            <w:pPr>
              <w:ind w:left="280"/>
              <w:spacing w:after="0"/>
              <w:rPr>
                <w:sz w:val="20"/>
                <w:szCs w:val="20"/>
                <w:color w:val="auto"/>
              </w:rPr>
            </w:pPr>
            <w:r>
              <w:rPr>
                <w:rFonts w:ascii="Arial" w:cs="Arial" w:eastAsia="Arial" w:hAnsi="Arial"/>
                <w:sz w:val="14"/>
                <w:szCs w:val="14"/>
                <w:color w:val="auto"/>
              </w:rPr>
              <w:t>Shares available for grant under the 2022 Inducement Plan</w:t>
            </w:r>
          </w:p>
        </w:tc>
        <w:tc>
          <w:tcPr>
            <w:tcW w:w="174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457,173</w:t>
            </w:r>
          </w:p>
        </w:tc>
      </w:tr>
      <w:tr>
        <w:trPr>
          <w:trHeight w:val="76"/>
        </w:trPr>
        <w:tc>
          <w:tcPr>
            <w:tcW w:w="6660" w:type="dxa"/>
            <w:vAlign w:val="bottom"/>
            <w:tcBorders>
              <w:bottom w:val="single" w:sz="8" w:color="666666"/>
            </w:tcBorders>
          </w:tcPr>
          <w:p>
            <w:pPr>
              <w:spacing w:after="0"/>
              <w:rPr>
                <w:sz w:val="6"/>
                <w:szCs w:val="6"/>
                <w:color w:val="auto"/>
              </w:rPr>
            </w:pPr>
          </w:p>
        </w:tc>
        <w:tc>
          <w:tcPr>
            <w:tcW w:w="1740" w:type="dxa"/>
            <w:vAlign w:val="bottom"/>
            <w:tcBorders>
              <w:bottom w:val="single" w:sz="8" w:color="666666"/>
            </w:tcBorders>
          </w:tcPr>
          <w:p>
            <w:pPr>
              <w:spacing w:after="0"/>
              <w:rPr>
                <w:sz w:val="6"/>
                <w:szCs w:val="6"/>
                <w:color w:val="auto"/>
              </w:rPr>
            </w:pPr>
          </w:p>
        </w:tc>
        <w:tc>
          <w:tcPr>
            <w:tcW w:w="1000" w:type="dxa"/>
            <w:vAlign w:val="bottom"/>
            <w:tcBorders>
              <w:bottom w:val="single" w:sz="8" w:color="666666"/>
            </w:tcBorders>
          </w:tcPr>
          <w:p>
            <w:pPr>
              <w:spacing w:after="0"/>
              <w:rPr>
                <w:sz w:val="6"/>
                <w:szCs w:val="6"/>
                <w:color w:val="auto"/>
              </w:rPr>
            </w:pPr>
          </w:p>
        </w:tc>
      </w:tr>
      <w:tr>
        <w:trPr>
          <w:trHeight w:val="255"/>
        </w:trPr>
        <w:tc>
          <w:tcPr>
            <w:tcW w:w="6660" w:type="dxa"/>
            <w:vAlign w:val="bottom"/>
          </w:tcPr>
          <w:p>
            <w:pPr>
              <w:ind w:left="280"/>
              <w:spacing w:after="0"/>
              <w:rPr>
                <w:sz w:val="20"/>
                <w:szCs w:val="20"/>
                <w:color w:val="auto"/>
              </w:rPr>
            </w:pPr>
            <w:r>
              <w:rPr>
                <w:rFonts w:ascii="Arial" w:cs="Arial" w:eastAsia="Arial" w:hAnsi="Arial"/>
                <w:sz w:val="14"/>
                <w:szCs w:val="14"/>
                <w:color w:val="auto"/>
              </w:rPr>
              <w:t>Total shares of common stock outstanding</w:t>
            </w:r>
          </w:p>
        </w:tc>
        <w:tc>
          <w:tcPr>
            <w:tcW w:w="174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379,793,631</w:t>
            </w:r>
          </w:p>
        </w:tc>
      </w:tr>
      <w:tr>
        <w:trPr>
          <w:trHeight w:val="76"/>
        </w:trPr>
        <w:tc>
          <w:tcPr>
            <w:tcW w:w="6660" w:type="dxa"/>
            <w:vAlign w:val="bottom"/>
            <w:tcBorders>
              <w:bottom w:val="single" w:sz="8" w:color="24356E"/>
            </w:tcBorders>
          </w:tcPr>
          <w:p>
            <w:pPr>
              <w:spacing w:after="0"/>
              <w:rPr>
                <w:sz w:val="6"/>
                <w:szCs w:val="6"/>
                <w:color w:val="auto"/>
              </w:rPr>
            </w:pPr>
          </w:p>
        </w:tc>
        <w:tc>
          <w:tcPr>
            <w:tcW w:w="1740" w:type="dxa"/>
            <w:vAlign w:val="bottom"/>
            <w:tcBorders>
              <w:bottom w:val="single" w:sz="8" w:color="24356E"/>
            </w:tcBorders>
          </w:tcPr>
          <w:p>
            <w:pPr>
              <w:spacing w:after="0"/>
              <w:rPr>
                <w:sz w:val="6"/>
                <w:szCs w:val="6"/>
                <w:color w:val="auto"/>
              </w:rPr>
            </w:pPr>
          </w:p>
        </w:tc>
        <w:tc>
          <w:tcPr>
            <w:tcW w:w="1000" w:type="dxa"/>
            <w:vAlign w:val="bottom"/>
            <w:tcBorders>
              <w:bottom w:val="single" w:sz="8" w:color="24356E"/>
            </w:tcBorders>
          </w:tcPr>
          <w:p>
            <w:pPr>
              <w:spacing w:after="0"/>
              <w:rPr>
                <w:sz w:val="6"/>
                <w:szCs w:val="6"/>
                <w:color w:val="auto"/>
              </w:rPr>
            </w:pPr>
          </w:p>
        </w:tc>
      </w:tr>
    </w:tbl>
    <w:p>
      <w:pPr>
        <w:spacing w:after="0" w:line="158" w:lineRule="exact"/>
        <w:rPr>
          <w:sz w:val="20"/>
          <w:szCs w:val="20"/>
          <w:color w:val="auto"/>
        </w:rPr>
      </w:pPr>
    </w:p>
    <w:p>
      <w:pPr>
        <w:ind w:left="360" w:hanging="354"/>
        <w:spacing w:after="0"/>
        <w:tabs>
          <w:tab w:leader="none" w:pos="36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Includes time-based stock options outstanding.</w:t>
      </w:r>
    </w:p>
    <w:p>
      <w:pPr>
        <w:spacing w:after="0" w:line="66" w:lineRule="exact"/>
        <w:rPr>
          <w:rFonts w:ascii="Arial" w:cs="Arial" w:eastAsia="Arial" w:hAnsi="Arial"/>
          <w:sz w:val="13"/>
          <w:szCs w:val="13"/>
          <w:b w:val="1"/>
          <w:bCs w:val="1"/>
          <w:color w:val="auto"/>
        </w:rPr>
      </w:pPr>
    </w:p>
    <w:p>
      <w:pPr>
        <w:ind w:left="360" w:hanging="354"/>
        <w:spacing w:after="0"/>
        <w:tabs>
          <w:tab w:leader="none" w:pos="36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The number of total full value awards outstanding represents RSUs outstanding.</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Summary of the A&amp;R 2011 Plan</w:t>
      </w:r>
    </w:p>
    <w:p>
      <w:pPr>
        <w:spacing w:after="0" w:line="15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333333"/>
        </w:rPr>
        <w:t>The Amendment to our 2011 Plan was approved by our Board in April 2025 and remains subject to stockholder approval to take effect. The following general description of the material features of the A&amp;R 2011 Plan is qualified in its entirety by reference to the provisions of the A&amp;R 2011 Plan set forth in Exhibit I to this proxy statement.</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333333"/>
        </w:rPr>
        <w:t>Eligibility</w:t>
      </w:r>
      <w:r>
        <w:rPr>
          <w:rFonts w:ascii="Arial" w:cs="Arial" w:eastAsia="Arial" w:hAnsi="Arial"/>
          <w:sz w:val="16"/>
          <w:szCs w:val="16"/>
          <w:color w:val="333333"/>
        </w:rPr>
        <w:t>. The A&amp;R 2011 Plan provides for the grant of incentive stock options, within the meaning of Section 422 of the Code to</w:t>
      </w:r>
      <w:r>
        <w:rPr>
          <w:rFonts w:ascii="Arial" w:cs="Arial" w:eastAsia="Arial" w:hAnsi="Arial"/>
          <w:sz w:val="16"/>
          <w:szCs w:val="16"/>
          <w:i w:val="1"/>
          <w:iCs w:val="1"/>
          <w:color w:val="333333"/>
        </w:rPr>
        <w:t xml:space="preserve"> </w:t>
      </w:r>
      <w:r>
        <w:rPr>
          <w:rFonts w:ascii="Arial" w:cs="Arial" w:eastAsia="Arial" w:hAnsi="Arial"/>
          <w:sz w:val="16"/>
          <w:szCs w:val="16"/>
          <w:color w:val="333333"/>
        </w:rPr>
        <w:t>our employees and the employees of our subsidiaries, and for the grant of nonstatutory stock options, restricted stock, RSUs, stock appreciation rights, PSUs, and performance shares to our employees, directors, and consultants and the employees and consultants of our subsidiaries. As of April 15, 2025, we (including our subsidiaries) had six non-employee directors, approximately 180 consultants, and approximately 767 employees (including our employee director).</w:t>
      </w:r>
    </w:p>
    <w:p>
      <w:pPr>
        <w:spacing w:after="0" w:line="12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i w:val="1"/>
          <w:iCs w:val="1"/>
          <w:color w:val="333333"/>
        </w:rPr>
        <w:t>Shares Available for Grant and Shares Outstanding</w:t>
      </w:r>
      <w:r>
        <w:rPr>
          <w:rFonts w:ascii="Arial" w:cs="Arial" w:eastAsia="Arial" w:hAnsi="Arial"/>
          <w:sz w:val="16"/>
          <w:szCs w:val="16"/>
          <w:color w:val="333333"/>
        </w:rPr>
        <w:t>. If the Amendment is approved by our stockholders, the total number of shares</w:t>
      </w:r>
      <w:r>
        <w:rPr>
          <w:rFonts w:ascii="Arial" w:cs="Arial" w:eastAsia="Arial" w:hAnsi="Arial"/>
          <w:sz w:val="16"/>
          <w:szCs w:val="16"/>
          <w:i w:val="1"/>
          <w:iCs w:val="1"/>
          <w:color w:val="333333"/>
        </w:rPr>
        <w:t xml:space="preserve"> </w:t>
      </w:r>
      <w:r>
        <w:rPr>
          <w:rFonts w:ascii="Arial" w:cs="Arial" w:eastAsia="Arial" w:hAnsi="Arial"/>
          <w:sz w:val="16"/>
          <w:szCs w:val="16"/>
          <w:color w:val="333333"/>
        </w:rPr>
        <w:t>of our common stock available for issuance under the A&amp;R 2011 Plan would equal to 28,056,452 shares (assuming the shares available for grant as of April 15, 2025 remain available upon the Annual Meeting). If our stockholders do not approve the Amendment, the total number of shares of our common stock available for issuance under the A&amp;R 2011 Plan will be 10,656,452 (assuming the shares available for grant as of April 15, 2025 remain available upon the Annual Meeting). As of April 15, 2025, 55,857,480 shares of our common stock are subject to outstanding awards granted under all our equity plans. As described in the paragraph below, outstanding awards under the A&amp;R 2011 Plan that expire or are forfeited return to the pool to be available for grant.</w:t>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33333"/>
        </w:rPr>
        <w:t>Generally, if an option award expires or becomes unexercisable without having been exercised in full, or if restricted stock, performance shares, or shares subject to RSUs or PSUs are forfeited or repurchased by us due to failure to vest, the unpurchased, forfeited, or repurchased shares that were subject to such awards will become available for future grant or sale under the A&amp;R</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333333"/>
        </w:rPr>
        <w:t>2011 Plan (unless it has terminated). Except with respect to options, shares used to pay the exercise price of an award or to satisfy the tax withholding obligations related to an award will become available for future grant or sale. If the exercise price or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4"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333333"/>
        </w:rPr>
        <w:t>obligation of an option is paid with shares, the number of shares available for issuance under the A&amp;R 2011 Plan will be reduced by the gross number of shares for which the option is exercised. To the extent an award is paid out in cash rather than shares, such cash payment will not reduce the number of shares available for issuance.</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i w:val="1"/>
          <w:iCs w:val="1"/>
          <w:color w:val="333333"/>
        </w:rPr>
        <w:t>Administration</w:t>
      </w:r>
      <w:r>
        <w:rPr>
          <w:rFonts w:ascii="Arial" w:cs="Arial" w:eastAsia="Arial" w:hAnsi="Arial"/>
          <w:sz w:val="16"/>
          <w:szCs w:val="16"/>
          <w:color w:val="333333"/>
        </w:rPr>
        <w:t>. The A&amp;R 2011 Plan is administered by our Board or a committee appointed by our Board. Currently, our Human</w:t>
      </w:r>
      <w:r>
        <w:rPr>
          <w:rFonts w:ascii="Arial" w:cs="Arial" w:eastAsia="Arial" w:hAnsi="Arial"/>
          <w:sz w:val="16"/>
          <w:szCs w:val="16"/>
          <w:i w:val="1"/>
          <w:iCs w:val="1"/>
          <w:color w:val="333333"/>
        </w:rPr>
        <w:t xml:space="preserve"> </w:t>
      </w:r>
      <w:r>
        <w:rPr>
          <w:rFonts w:ascii="Arial" w:cs="Arial" w:eastAsia="Arial" w:hAnsi="Arial"/>
          <w:sz w:val="16"/>
          <w:szCs w:val="16"/>
          <w:color w:val="333333"/>
        </w:rPr>
        <w:t>Capital Committee administers the A&amp;R 2011 Plan. Different committees may administer the A&amp;R 2011 Plan with respect to different groups of service providers. To make grants to certain officers and key employees, the members of the committee must qualify as “non-employee directors” under Rule 16b-3 of the Exchange Act.</w:t>
      </w:r>
    </w:p>
    <w:p>
      <w:pPr>
        <w:spacing w:after="0" w:line="12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33333"/>
        </w:rPr>
        <w:t>Subject to the provisions of the A&amp;R 2011 Plan, the administrator generally has the power to make all determinations deemed necessary or advisable for administering the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 (i) 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w:t>
      </w:r>
    </w:p>
    <w:p>
      <w:pPr>
        <w:spacing w:after="0" w:line="130"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333333"/>
        </w:rPr>
        <w:t>Stock Options</w:t>
      </w:r>
      <w:r>
        <w:rPr>
          <w:rFonts w:ascii="Arial" w:cs="Arial" w:eastAsia="Arial" w:hAnsi="Arial"/>
          <w:sz w:val="16"/>
          <w:szCs w:val="16"/>
          <w:color w:val="333333"/>
        </w:rPr>
        <w:t>. Options may be granted under the A&amp;R 2011 Plan. Subject to the provisions of the A&amp;R 2011 Plan, the</w:t>
      </w:r>
      <w:r>
        <w:rPr>
          <w:rFonts w:ascii="Arial" w:cs="Arial" w:eastAsia="Arial" w:hAnsi="Arial"/>
          <w:sz w:val="16"/>
          <w:szCs w:val="16"/>
          <w:i w:val="1"/>
          <w:iCs w:val="1"/>
          <w:color w:val="333333"/>
        </w:rPr>
        <w:t xml:space="preserve"> </w:t>
      </w:r>
      <w:r>
        <w:rPr>
          <w:rFonts w:ascii="Arial" w:cs="Arial" w:eastAsia="Arial" w:hAnsi="Arial"/>
          <w:sz w:val="16"/>
          <w:szCs w:val="16"/>
          <w:color w:val="333333"/>
        </w:rPr>
        <w:t>administrator determines the terms and conditions of options, including when such options vest and become exercisable (and the administrator has the discretion to accelerate the time at which such options will vest or become exercisable).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5 years, and the per share exercise price of such incentive stock option must be at least 110% of the fair market value of a share of our common stock on the grant date. After a participant’s service terminates, they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333333"/>
        </w:rPr>
        <w:t>Stock Appreciation Rights</w:t>
      </w:r>
      <w:r>
        <w:rPr>
          <w:rFonts w:ascii="Arial" w:cs="Arial" w:eastAsia="Arial" w:hAnsi="Arial"/>
          <w:sz w:val="16"/>
          <w:szCs w:val="16"/>
          <w:color w:val="333333"/>
        </w:rPr>
        <w:t>. Stock appreciation rights may be granted under the A&amp;R 2011 Plan. Stock appreciation rights allow the</w:t>
      </w:r>
      <w:r>
        <w:rPr>
          <w:rFonts w:ascii="Arial" w:cs="Arial" w:eastAsia="Arial" w:hAnsi="Arial"/>
          <w:sz w:val="16"/>
          <w:szCs w:val="16"/>
          <w:i w:val="1"/>
          <w:iCs w:val="1"/>
          <w:color w:val="333333"/>
        </w:rPr>
        <w:t xml:space="preserve"> </w:t>
      </w:r>
      <w:r>
        <w:rPr>
          <w:rFonts w:ascii="Arial" w:cs="Arial" w:eastAsia="Arial" w:hAnsi="Arial"/>
          <w:sz w:val="16"/>
          <w:szCs w:val="16"/>
          <w:color w:val="333333"/>
        </w:rPr>
        <w:t>recipient to receive the appreciation in the fair market value of our common stock between the exercise date and the date of grant. Subject to the provisions of the A&amp;R 2011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shares of our common stock, or a combination of both. The per share exercise price of a stock appreciation right must be at least 100% of the fair market value per share on the date of grant, and the term of a stock appreciation right may not be more than 10 years. After a participant’s service terminates, they generally may exercise the vested portion of his or her stock appreciation right for the period of time stated in his or her option agreement. However, in no event may a stock appreciation right be exercised later than the expiration of its term.</w:t>
      </w:r>
    </w:p>
    <w:p>
      <w:pPr>
        <w:spacing w:after="0" w:line="32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i w:val="1"/>
          <w:iCs w:val="1"/>
          <w:color w:val="333333"/>
        </w:rPr>
        <w:t>Restricted Stock</w:t>
      </w:r>
      <w:r>
        <w:rPr>
          <w:rFonts w:ascii="Arial" w:cs="Arial" w:eastAsia="Arial" w:hAnsi="Arial"/>
          <w:sz w:val="16"/>
          <w:szCs w:val="16"/>
          <w:color w:val="333333"/>
        </w:rPr>
        <w:t>. Restricted stock may be granted under the A&amp;R 2011 Plan. Restricted stock awards are grants of shares of our</w:t>
      </w:r>
      <w:r>
        <w:rPr>
          <w:rFonts w:ascii="Arial" w:cs="Arial" w:eastAsia="Arial" w:hAnsi="Arial"/>
          <w:sz w:val="16"/>
          <w:szCs w:val="16"/>
          <w:i w:val="1"/>
          <w:iCs w:val="1"/>
          <w:color w:val="333333"/>
        </w:rPr>
        <w:t xml:space="preserve"> </w:t>
      </w:r>
      <w:r>
        <w:rPr>
          <w:rFonts w:ascii="Arial" w:cs="Arial" w:eastAsia="Arial" w:hAnsi="Arial"/>
          <w:sz w:val="16"/>
          <w:szCs w:val="16"/>
          <w:color w:val="333333"/>
        </w:rPr>
        <w:t>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our right of repurchase or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7"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69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i w:val="1"/>
          <w:iCs w:val="1"/>
          <w:color w:val="333333"/>
        </w:rPr>
        <w:t>Restricted Stock Units</w:t>
      </w:r>
      <w:r>
        <w:rPr>
          <w:rFonts w:ascii="Arial" w:cs="Arial" w:eastAsia="Arial" w:hAnsi="Arial"/>
          <w:sz w:val="16"/>
          <w:szCs w:val="16"/>
          <w:color w:val="333333"/>
        </w:rPr>
        <w:t>. RSUs may be granted under the A&amp;R 2011 Plan. RSUs are bookkeeping entries representing an amount</w:t>
      </w:r>
      <w:r>
        <w:rPr>
          <w:rFonts w:ascii="Arial" w:cs="Arial" w:eastAsia="Arial" w:hAnsi="Arial"/>
          <w:sz w:val="16"/>
          <w:szCs w:val="16"/>
          <w:i w:val="1"/>
          <w:iCs w:val="1"/>
          <w:color w:val="333333"/>
        </w:rPr>
        <w:t xml:space="preserve"> </w:t>
      </w:r>
      <w:r>
        <w:rPr>
          <w:rFonts w:ascii="Arial" w:cs="Arial" w:eastAsia="Arial" w:hAnsi="Arial"/>
          <w:sz w:val="16"/>
          <w:szCs w:val="16"/>
          <w:color w:val="333333"/>
        </w:rPr>
        <w:t>equal to the fair market value of one share of our common stock. The administrator determines the terms and conditions of RSUs including the vesting criteria (which may include accomplishing specified performance criteria or continued service to us) and the form and timing of payment. The administrator has the discretion to accelerate the time at which any restrictions will lapse or be removed.</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333333"/>
        </w:rPr>
        <w:t>Performance Units and Shares</w:t>
      </w:r>
      <w:r>
        <w:rPr>
          <w:rFonts w:ascii="Arial" w:cs="Arial" w:eastAsia="Arial" w:hAnsi="Arial"/>
          <w:sz w:val="16"/>
          <w:szCs w:val="16"/>
          <w:color w:val="333333"/>
        </w:rPr>
        <w:t>. PSUs and performance shares may be granted under the A&amp;R 2011 Plan. PSUs and performance</w:t>
      </w:r>
      <w:r>
        <w:rPr>
          <w:rFonts w:ascii="Arial" w:cs="Arial" w:eastAsia="Arial" w:hAnsi="Arial"/>
          <w:sz w:val="16"/>
          <w:szCs w:val="16"/>
          <w:i w:val="1"/>
          <w:iCs w:val="1"/>
          <w:color w:val="333333"/>
        </w:rPr>
        <w:t xml:space="preserve"> </w:t>
      </w:r>
      <w:r>
        <w:rPr>
          <w:rFonts w:ascii="Arial" w:cs="Arial" w:eastAsia="Arial" w:hAnsi="Arial"/>
          <w:sz w:val="16"/>
          <w:szCs w:val="16"/>
          <w:color w:val="333333"/>
        </w:rPr>
        <w:t>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PSUs and performance shares to be paid out to participants. The administrator has the discretion to reduce or waive any performance objectives or other vesting provisions for PSUs or performance shares. The administrator has the discretion to pay earned PSUs or performance shares in the form of cash, shares, or in some combination of both.</w:t>
      </w:r>
    </w:p>
    <w:p>
      <w:pPr>
        <w:spacing w:after="0" w:line="12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333333"/>
        </w:rPr>
        <w:t>Death and Disability</w:t>
      </w:r>
      <w:r>
        <w:rPr>
          <w:rFonts w:ascii="Arial" w:cs="Arial" w:eastAsia="Arial" w:hAnsi="Arial"/>
          <w:sz w:val="16"/>
          <w:szCs w:val="16"/>
          <w:color w:val="333333"/>
        </w:rPr>
        <w:t>. If the holder of an award issued under the A&amp;R 2011 Plan incurs a termination of service as a result of death</w:t>
      </w:r>
      <w:r>
        <w:rPr>
          <w:rFonts w:ascii="Arial" w:cs="Arial" w:eastAsia="Arial" w:hAnsi="Arial"/>
          <w:sz w:val="16"/>
          <w:szCs w:val="16"/>
          <w:i w:val="1"/>
          <w:iCs w:val="1"/>
          <w:color w:val="333333"/>
        </w:rPr>
        <w:t xml:space="preserve"> </w:t>
      </w:r>
      <w:r>
        <w:rPr>
          <w:rFonts w:ascii="Arial" w:cs="Arial" w:eastAsia="Arial" w:hAnsi="Arial"/>
          <w:sz w:val="16"/>
          <w:szCs w:val="16"/>
          <w:color w:val="333333"/>
        </w:rPr>
        <w:t>or disability, then 100% of the unvested shares subject to the award will accelerate and vest.</w:t>
      </w:r>
    </w:p>
    <w:p>
      <w:pPr>
        <w:spacing w:after="0" w:line="10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333333"/>
        </w:rPr>
        <w:t>Transferability of Awards</w:t>
      </w:r>
      <w:r>
        <w:rPr>
          <w:rFonts w:ascii="Arial" w:cs="Arial" w:eastAsia="Arial" w:hAnsi="Arial"/>
          <w:sz w:val="16"/>
          <w:szCs w:val="16"/>
          <w:color w:val="333333"/>
        </w:rPr>
        <w:t>. The A&amp;R 2011 Plan does not allow for the transfer of awards unless the administrator provides</w:t>
      </w:r>
      <w:r>
        <w:rPr>
          <w:rFonts w:ascii="Arial" w:cs="Arial" w:eastAsia="Arial" w:hAnsi="Arial"/>
          <w:sz w:val="16"/>
          <w:szCs w:val="16"/>
          <w:i w:val="1"/>
          <w:iCs w:val="1"/>
          <w:color w:val="333333"/>
        </w:rPr>
        <w:t xml:space="preserve"> </w:t>
      </w:r>
      <w:r>
        <w:rPr>
          <w:rFonts w:ascii="Arial" w:cs="Arial" w:eastAsia="Arial" w:hAnsi="Arial"/>
          <w:sz w:val="16"/>
          <w:szCs w:val="16"/>
          <w:color w:val="333333"/>
        </w:rPr>
        <w:t>otherwise, and in no event may an award be transferred for value or consideration. Additionally, only the recipient of an award may exercise an award during his or her lifetime.</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333333"/>
        </w:rPr>
        <w:t>Outside Directors</w:t>
      </w:r>
      <w:r>
        <w:rPr>
          <w:rFonts w:ascii="Arial" w:cs="Arial" w:eastAsia="Arial" w:hAnsi="Arial"/>
          <w:sz w:val="16"/>
          <w:szCs w:val="16"/>
          <w:color w:val="333333"/>
        </w:rPr>
        <w:t>. The A&amp;R 2011 Plan provides that any outside (non-employee) director, in any fiscal year, may not be granted</w:t>
      </w:r>
      <w:r>
        <w:rPr>
          <w:rFonts w:ascii="Arial" w:cs="Arial" w:eastAsia="Arial" w:hAnsi="Arial"/>
          <w:sz w:val="16"/>
          <w:szCs w:val="16"/>
          <w:i w:val="1"/>
          <w:iCs w:val="1"/>
          <w:color w:val="333333"/>
        </w:rPr>
        <w:t xml:space="preserve"> </w:t>
      </w:r>
      <w:r>
        <w:rPr>
          <w:rFonts w:ascii="Arial" w:cs="Arial" w:eastAsia="Arial" w:hAnsi="Arial"/>
          <w:sz w:val="16"/>
          <w:szCs w:val="16"/>
          <w:color w:val="333333"/>
        </w:rPr>
        <w:t>equity awards under the plan with an aggregate grant date fair value of more than $400,000, or $500,000 with respect to his or her first year of service as an outside director. For purposes of this limitation, the grant date fair value is determined in accordance with GAAP. Any equity awards granted under the A&amp;R 2011 Plan to an outside director for his or her services as an employee, or for his or her services as a consultant (other than as a non-employee director), will not count for purposes of the limitation. The outside (non-employee) director annual limits were developed with input from Meridian Compensation Partners, LLC, an independent compensation consulting firm, based on a review of non-employee director limits in equity plans for comparable companies.</w:t>
      </w:r>
    </w:p>
    <w:p>
      <w:pPr>
        <w:spacing w:after="0" w:line="12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333333"/>
        </w:rPr>
        <w:t>Certain Adjustments</w:t>
      </w:r>
      <w:r>
        <w:rPr>
          <w:rFonts w:ascii="Arial" w:cs="Arial" w:eastAsia="Arial" w:hAnsi="Arial"/>
          <w:sz w:val="16"/>
          <w:szCs w:val="16"/>
          <w:color w:val="333333"/>
        </w:rPr>
        <w:t>. If there are certain changes in our capitalization, the administrator will adjust the number and class of shares</w:t>
      </w:r>
      <w:r>
        <w:rPr>
          <w:rFonts w:ascii="Arial" w:cs="Arial" w:eastAsia="Arial" w:hAnsi="Arial"/>
          <w:sz w:val="16"/>
          <w:szCs w:val="16"/>
          <w:i w:val="1"/>
          <w:iCs w:val="1"/>
          <w:color w:val="333333"/>
        </w:rPr>
        <w:t xml:space="preserve"> </w:t>
      </w:r>
      <w:r>
        <w:rPr>
          <w:rFonts w:ascii="Arial" w:cs="Arial" w:eastAsia="Arial" w:hAnsi="Arial"/>
          <w:sz w:val="16"/>
          <w:szCs w:val="16"/>
          <w:color w:val="333333"/>
        </w:rPr>
        <w:t>that may be delivered under the A&amp;R 2011 Plan; the number, class, and price of shares covered by each outstanding award; and the numerical share limits contained in the plan.</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i w:val="1"/>
          <w:iCs w:val="1"/>
          <w:color w:val="333333"/>
        </w:rPr>
        <w:t>Dissolution or Liquidation</w:t>
      </w:r>
      <w:r>
        <w:rPr>
          <w:rFonts w:ascii="Arial" w:cs="Arial" w:eastAsia="Arial" w:hAnsi="Arial"/>
          <w:sz w:val="16"/>
          <w:szCs w:val="16"/>
          <w:color w:val="333333"/>
        </w:rPr>
        <w:t>. If there is a proposed liquidation or dissolution of our Company, the administrator will notify participants</w:t>
      </w:r>
      <w:r>
        <w:rPr>
          <w:rFonts w:ascii="Arial" w:cs="Arial" w:eastAsia="Arial" w:hAnsi="Arial"/>
          <w:sz w:val="16"/>
          <w:szCs w:val="16"/>
          <w:i w:val="1"/>
          <w:iCs w:val="1"/>
          <w:color w:val="333333"/>
        </w:rPr>
        <w:t xml:space="preserve"> </w:t>
      </w:r>
      <w:r>
        <w:rPr>
          <w:rFonts w:ascii="Arial" w:cs="Arial" w:eastAsia="Arial" w:hAnsi="Arial"/>
          <w:sz w:val="16"/>
          <w:szCs w:val="16"/>
          <w:color w:val="333333"/>
        </w:rPr>
        <w:t>as soon as practicable before the effective date of such event and all awards, to the extent that they have not been previously exercised, will terminate immediately before the consummation of such event.</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333333"/>
        </w:rPr>
        <w:t>Merger or Change in Control</w:t>
      </w:r>
      <w:r>
        <w:rPr>
          <w:rFonts w:ascii="Arial" w:cs="Arial" w:eastAsia="Arial" w:hAnsi="Arial"/>
          <w:sz w:val="16"/>
          <w:szCs w:val="16"/>
          <w:color w:val="333333"/>
        </w:rPr>
        <w:t>. The A&amp;R 2011 Plan provides that if there is a merger of the Company with or into another company</w:t>
      </w:r>
      <w:r>
        <w:rPr>
          <w:rFonts w:ascii="Arial" w:cs="Arial" w:eastAsia="Arial" w:hAnsi="Arial"/>
          <w:sz w:val="16"/>
          <w:szCs w:val="16"/>
          <w:i w:val="1"/>
          <w:iCs w:val="1"/>
          <w:color w:val="333333"/>
        </w:rPr>
        <w:t xml:space="preserve"> </w:t>
      </w:r>
      <w:r>
        <w:rPr>
          <w:rFonts w:ascii="Arial" w:cs="Arial" w:eastAsia="Arial" w:hAnsi="Arial"/>
          <w:sz w:val="16"/>
          <w:szCs w:val="16"/>
          <w:color w:val="333333"/>
        </w:rPr>
        <w:t>or a “change in control” (as defined under the A&amp;R 2011 Plan) of our Company,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333333"/>
        </w:rPr>
        <w:t>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RSUs will lapse, and, with respect to PSUs and performance shares, all performance goals or other vesting criteria will be deemed achieved at 100% of target levels and all other terms and conditions met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70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333333"/>
        </w:rPr>
        <w:t>Forfeiture and Clawback</w:t>
      </w:r>
      <w:r>
        <w:rPr>
          <w:rFonts w:ascii="Arial" w:cs="Arial" w:eastAsia="Arial" w:hAnsi="Arial"/>
          <w:sz w:val="16"/>
          <w:szCs w:val="16"/>
          <w:color w:val="333333"/>
        </w:rPr>
        <w:t>. All awards granted under the A&amp;R 2011 Plan will be subject to recoupment under our current clawback</w:t>
      </w:r>
      <w:r>
        <w:rPr>
          <w:rFonts w:ascii="Arial" w:cs="Arial" w:eastAsia="Arial" w:hAnsi="Arial"/>
          <w:sz w:val="16"/>
          <w:szCs w:val="16"/>
          <w:i w:val="1"/>
          <w:iCs w:val="1"/>
          <w:color w:val="333333"/>
        </w:rPr>
        <w:t xml:space="preserve"> </w:t>
      </w:r>
      <w:r>
        <w:rPr>
          <w:rFonts w:ascii="Arial" w:cs="Arial" w:eastAsia="Arial" w:hAnsi="Arial"/>
          <w:sz w:val="16"/>
          <w:szCs w:val="16"/>
          <w:color w:val="333333"/>
        </w:rPr>
        <w:t>policy and any clawback policy that we are required to adopt under applicable law. In addition, the administrator may provide in an award agreement that the recipient’s rights, payments, and benefits with respect to such award shall be subject to reduction, cancellation, forfeiture, or recoupment upon the occurrence of specified events.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333333"/>
        </w:rPr>
        <w:t>Plan Amendments and Termination</w:t>
      </w:r>
      <w:r>
        <w:rPr>
          <w:rFonts w:ascii="Arial" w:cs="Arial" w:eastAsia="Arial" w:hAnsi="Arial"/>
          <w:sz w:val="16"/>
          <w:szCs w:val="16"/>
          <w:color w:val="333333"/>
        </w:rPr>
        <w:t>. The A&amp;R 2011 Plan will automatically terminate in April 2034, unless we terminate it sooner. In</w:t>
      </w:r>
      <w:r>
        <w:rPr>
          <w:rFonts w:ascii="Arial" w:cs="Arial" w:eastAsia="Arial" w:hAnsi="Arial"/>
          <w:sz w:val="16"/>
          <w:szCs w:val="16"/>
          <w:i w:val="1"/>
          <w:iCs w:val="1"/>
          <w:color w:val="333333"/>
        </w:rPr>
        <w:t xml:space="preserve"> </w:t>
      </w:r>
      <w:r>
        <w:rPr>
          <w:rFonts w:ascii="Arial" w:cs="Arial" w:eastAsia="Arial" w:hAnsi="Arial"/>
          <w:sz w:val="16"/>
          <w:szCs w:val="16"/>
          <w:color w:val="333333"/>
        </w:rPr>
        <w:t>addition, our Board has the authority to amend, suspend, or terminate the A&amp;R 2011 Plan, but such action will not impair the rights of any participant without his or her written consent.</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U.S. Federal Income Tax Consequences</w:t>
      </w:r>
    </w:p>
    <w:p>
      <w:pPr>
        <w:spacing w:after="0" w:line="155"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333333"/>
        </w:rPr>
        <w:t>The following is a general summary of the material U.S. federal income tax consequences of the grant and exercise and vesting of awards under the A&amp;R 2011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126"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333333"/>
        </w:rPr>
        <w:t>Stock Options</w:t>
      </w:r>
      <w:r>
        <w:rPr>
          <w:rFonts w:ascii="Arial" w:cs="Arial" w:eastAsia="Arial" w:hAnsi="Arial"/>
          <w:sz w:val="16"/>
          <w:szCs w:val="16"/>
          <w:color w:val="333333"/>
        </w:rPr>
        <w:t>. The Code requires that, for treatment of an option as an incentive stock option, shares of our common stock</w:t>
      </w:r>
      <w:r>
        <w:rPr>
          <w:rFonts w:ascii="Arial" w:cs="Arial" w:eastAsia="Arial" w:hAnsi="Arial"/>
          <w:sz w:val="16"/>
          <w:szCs w:val="16"/>
          <w:i w:val="1"/>
          <w:iCs w:val="1"/>
          <w:color w:val="333333"/>
        </w:rPr>
        <w:t xml:space="preserve"> </w:t>
      </w:r>
      <w:r>
        <w:rPr>
          <w:rFonts w:ascii="Arial" w:cs="Arial" w:eastAsia="Arial" w:hAnsi="Arial"/>
          <w:sz w:val="16"/>
          <w:szCs w:val="16"/>
          <w:color w:val="333333"/>
        </w:rPr>
        <w:t>acquired 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32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i w:val="1"/>
          <w:iCs w:val="1"/>
          <w:color w:val="333333"/>
        </w:rPr>
        <w:t>Stock Appreciation Right</w:t>
      </w:r>
      <w:r>
        <w:rPr>
          <w:rFonts w:ascii="Arial" w:cs="Arial" w:eastAsia="Arial" w:hAnsi="Arial"/>
          <w:sz w:val="16"/>
          <w:szCs w:val="16"/>
          <w:color w:val="333333"/>
        </w:rPr>
        <w:t>. No income will be realized by a participant upon grant of a stock appreciation right. Upon the exercise of</w:t>
      </w:r>
      <w:r>
        <w:rPr>
          <w:rFonts w:ascii="Arial" w:cs="Arial" w:eastAsia="Arial" w:hAnsi="Arial"/>
          <w:sz w:val="16"/>
          <w:szCs w:val="16"/>
          <w:i w:val="1"/>
          <w:iCs w:val="1"/>
          <w:color w:val="333333"/>
        </w:rPr>
        <w:t xml:space="preserve"> </w:t>
      </w:r>
      <w:r>
        <w:rPr>
          <w:rFonts w:ascii="Arial" w:cs="Arial" w:eastAsia="Arial" w:hAnsi="Arial"/>
          <w:sz w:val="16"/>
          <w:szCs w:val="16"/>
          <w:color w:val="333333"/>
        </w:rPr>
        <w:t>a stock appreciation right, the participant will recognize ordinary compensation income in an amount equal to the fair market value 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85"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71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333333"/>
        </w:rPr>
        <w:t>Restricted Stock</w:t>
      </w:r>
      <w:r>
        <w:rPr>
          <w:rFonts w:ascii="Arial" w:cs="Arial" w:eastAsia="Arial" w:hAnsi="Arial"/>
          <w:sz w:val="16"/>
          <w:szCs w:val="16"/>
          <w:color w:val="333333"/>
        </w:rPr>
        <w:t>. A participant will not be subject to tax upon the grant of an award of restricted stock unless the participant</w:t>
      </w:r>
      <w:r>
        <w:rPr>
          <w:rFonts w:ascii="Arial" w:cs="Arial" w:eastAsia="Arial" w:hAnsi="Arial"/>
          <w:sz w:val="16"/>
          <w:szCs w:val="16"/>
          <w:i w:val="1"/>
          <w:iCs w:val="1"/>
          <w:color w:val="333333"/>
        </w:rPr>
        <w:t xml:space="preserve"> </w:t>
      </w:r>
      <w:r>
        <w:rPr>
          <w:rFonts w:ascii="Arial" w:cs="Arial" w:eastAsia="Arial" w:hAnsi="Arial"/>
          <w:sz w:val="16"/>
          <w:szCs w:val="16"/>
          <w:color w:val="333333"/>
        </w:rPr>
        <w:t>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would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the Company (special rules apply to the receipt and disposition of restricted shares received by officers and directors who are subject to Section 16(b) of the Securities Exchange Act of 1934, as amended).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i w:val="1"/>
          <w:iCs w:val="1"/>
          <w:color w:val="333333"/>
        </w:rPr>
        <w:t>Restricted Stock Units</w:t>
      </w:r>
      <w:r>
        <w:rPr>
          <w:rFonts w:ascii="Arial" w:cs="Arial" w:eastAsia="Arial" w:hAnsi="Arial"/>
          <w:sz w:val="16"/>
          <w:szCs w:val="16"/>
          <w:color w:val="333333"/>
        </w:rPr>
        <w:t>. A participant will not be subject to tax upon the grant of a RSU award. Rather, upon the delivery of shares</w:t>
      </w:r>
      <w:r>
        <w:rPr>
          <w:rFonts w:ascii="Arial" w:cs="Arial" w:eastAsia="Arial" w:hAnsi="Arial"/>
          <w:sz w:val="16"/>
          <w:szCs w:val="16"/>
          <w:i w:val="1"/>
          <w:iCs w:val="1"/>
          <w:color w:val="333333"/>
        </w:rPr>
        <w:t xml:space="preserve"> </w:t>
      </w:r>
      <w:r>
        <w:rPr>
          <w:rFonts w:ascii="Arial" w:cs="Arial" w:eastAsia="Arial" w:hAnsi="Arial"/>
          <w:sz w:val="16"/>
          <w:szCs w:val="16"/>
          <w:color w:val="333333"/>
        </w:rPr>
        <w:t>or cash pursuant to a RSU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i w:val="1"/>
          <w:iCs w:val="1"/>
          <w:color w:val="333333"/>
        </w:rPr>
        <w:t>Section 162(m)</w:t>
      </w:r>
      <w:r>
        <w:rPr>
          <w:rFonts w:ascii="Arial" w:cs="Arial" w:eastAsia="Arial" w:hAnsi="Arial"/>
          <w:sz w:val="16"/>
          <w:szCs w:val="16"/>
          <w:color w:val="333333"/>
        </w:rPr>
        <w:t>. In general, Section 162(m) of the Code denies a publicly held corporation a deduction for U.S. federal income tax</w:t>
      </w:r>
      <w:r>
        <w:rPr>
          <w:rFonts w:ascii="Arial" w:cs="Arial" w:eastAsia="Arial" w:hAnsi="Arial"/>
          <w:sz w:val="16"/>
          <w:szCs w:val="16"/>
          <w:i w:val="1"/>
          <w:iCs w:val="1"/>
          <w:color w:val="333333"/>
        </w:rPr>
        <w:t xml:space="preserve"> </w:t>
      </w:r>
      <w:r>
        <w:rPr>
          <w:rFonts w:ascii="Arial" w:cs="Arial" w:eastAsia="Arial" w:hAnsi="Arial"/>
          <w:sz w:val="16"/>
          <w:szCs w:val="16"/>
          <w:color w:val="333333"/>
        </w:rPr>
        <w:t>purposes for compensation in excess of $1,000,000 per year per person to certain covered employees designated in Section 162(m) of the Code, including, but not limited to, its Chief Executive Officer, Chief Financial Officer, and the next three highly compensated executives of such corporation whose compensation is required to be disclosed in its proxy statement.</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b w:val="1"/>
          <w:bCs w:val="1"/>
          <w:i w:val="1"/>
          <w:iCs w:val="1"/>
          <w:color w:val="333333"/>
        </w:rPr>
        <w:t>Importance of Consulting a Tax Advisor</w:t>
      </w:r>
      <w:r>
        <w:rPr>
          <w:rFonts w:ascii="Arial" w:cs="Arial" w:eastAsia="Arial" w:hAnsi="Arial"/>
          <w:sz w:val="16"/>
          <w:szCs w:val="16"/>
          <w:color w:val="333333"/>
        </w:rPr>
        <w:t>. The foregoing discussion is a summary only and does not purport to be complete. In</w:t>
      </w:r>
      <w:r>
        <w:rPr>
          <w:rFonts w:ascii="Arial" w:cs="Arial" w:eastAsia="Arial" w:hAnsi="Arial"/>
          <w:sz w:val="16"/>
          <w:szCs w:val="16"/>
          <w:b w:val="1"/>
          <w:bCs w:val="1"/>
          <w:i w:val="1"/>
          <w:iCs w:val="1"/>
          <w:color w:val="333333"/>
        </w:rPr>
        <w:t xml:space="preserve"> </w:t>
      </w:r>
      <w:r>
        <w:rPr>
          <w:rFonts w:ascii="Arial" w:cs="Arial" w:eastAsia="Arial" w:hAnsi="Arial"/>
          <w:sz w:val="16"/>
          <w:szCs w:val="16"/>
          <w:color w:val="333333"/>
        </w:rPr>
        <w:t>addition, 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Plan Benefits</w:t>
      </w:r>
    </w:p>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333333"/>
        </w:rPr>
        <w:t>Since the adoption of the 2011 Plan through April 15, 2025, we have granted the following stock options and RSUs under the 2011 Plan to the individuals and groups listed below. In all cases, the securities underlying such stock options and RSUs are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72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0000EE"/>
            </w:tcBorders>
          </w:tcPr>
          <w:p>
            <w:pPr>
              <w:spacing w:after="0"/>
              <w:rPr>
                <w:sz w:val="12"/>
                <w:szCs w:val="12"/>
                <w:color w:val="auto"/>
              </w:rPr>
            </w:pPr>
          </w:p>
        </w:tc>
        <w:tc>
          <w:tcPr>
            <w:tcW w:w="2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1540" w:type="dxa"/>
            <w:vAlign w:val="bottom"/>
            <w:shd w:val="clear" w:color="auto" w:fill="24356E"/>
          </w:tcPr>
          <w:p>
            <w:pPr>
              <w:spacing w:after="0"/>
              <w:rPr>
                <w:sz w:val="24"/>
                <w:szCs w:val="24"/>
                <w:color w:val="auto"/>
              </w:rPr>
            </w:pPr>
          </w:p>
        </w:tc>
        <w:tc>
          <w:tcPr>
            <w:tcW w:w="2020" w:type="dxa"/>
            <w:vAlign w:val="bottom"/>
            <w:shd w:val="clear" w:color="auto" w:fill="24356E"/>
          </w:tcPr>
          <w:p>
            <w:pPr>
              <w:spacing w:after="0"/>
              <w:rPr>
                <w:sz w:val="24"/>
                <w:szCs w:val="24"/>
                <w:color w:val="auto"/>
              </w:rPr>
            </w:pPr>
          </w:p>
        </w:tc>
        <w:tc>
          <w:tcPr>
            <w:tcW w:w="1440" w:type="dxa"/>
            <w:vAlign w:val="bottom"/>
            <w:shd w:val="clear" w:color="auto" w:fill="24356E"/>
          </w:tcPr>
          <w:p>
            <w:pPr>
              <w:spacing w:after="0"/>
              <w:rPr>
                <w:sz w:val="24"/>
                <w:szCs w:val="24"/>
                <w:color w:val="auto"/>
              </w:rPr>
            </w:pPr>
          </w:p>
        </w:tc>
        <w:tc>
          <w:tcPr>
            <w:tcW w:w="1580" w:type="dxa"/>
            <w:vAlign w:val="bottom"/>
            <w:shd w:val="clear" w:color="auto" w:fill="24356E"/>
          </w:tcPr>
          <w:p>
            <w:pPr>
              <w:jc w:val="right"/>
              <w:ind w:right="248"/>
              <w:spacing w:after="0"/>
              <w:rPr>
                <w:sz w:val="20"/>
                <w:szCs w:val="20"/>
                <w:color w:val="auto"/>
              </w:rPr>
            </w:pPr>
            <w:r>
              <w:rPr>
                <w:rFonts w:ascii="Arial" w:cs="Arial" w:eastAsia="Arial" w:hAnsi="Arial"/>
                <w:sz w:val="14"/>
                <w:szCs w:val="14"/>
                <w:color w:val="FFFFFF"/>
              </w:rPr>
              <w:t>Average Per</w:t>
            </w:r>
          </w:p>
        </w:tc>
        <w:tc>
          <w:tcPr>
            <w:tcW w:w="1560" w:type="dxa"/>
            <w:vAlign w:val="bottom"/>
            <w:shd w:val="clear" w:color="auto" w:fill="24356E"/>
          </w:tcPr>
          <w:p>
            <w:pPr>
              <w:spacing w:after="0"/>
              <w:rPr>
                <w:sz w:val="24"/>
                <w:szCs w:val="24"/>
                <w:color w:val="auto"/>
              </w:rPr>
            </w:pPr>
          </w:p>
        </w:tc>
        <w:tc>
          <w:tcPr>
            <w:tcW w:w="1260" w:type="dxa"/>
            <w:vAlign w:val="bottom"/>
            <w:vMerge w:val="restart"/>
            <w:shd w:val="clear" w:color="auto" w:fill="24356E"/>
          </w:tcPr>
          <w:p>
            <w:pPr>
              <w:jc w:val="right"/>
              <w:ind w:right="129"/>
              <w:spacing w:after="0"/>
              <w:rPr>
                <w:sz w:val="20"/>
                <w:szCs w:val="20"/>
                <w:color w:val="auto"/>
              </w:rPr>
            </w:pPr>
            <w:r>
              <w:rPr>
                <w:rFonts w:ascii="Arial" w:cs="Arial" w:eastAsia="Arial" w:hAnsi="Arial"/>
                <w:sz w:val="14"/>
                <w:szCs w:val="14"/>
                <w:color w:val="FFFFFF"/>
              </w:rPr>
              <w:t>Dollar Value</w:t>
            </w:r>
          </w:p>
        </w:tc>
        <w:tc>
          <w:tcPr>
            <w:tcW w:w="0" w:type="dxa"/>
            <w:vAlign w:val="bottom"/>
          </w:tcPr>
          <w:p>
            <w:pPr>
              <w:spacing w:after="0"/>
              <w:rPr>
                <w:sz w:val="1"/>
                <w:szCs w:val="1"/>
                <w:color w:val="auto"/>
              </w:rPr>
            </w:pPr>
          </w:p>
        </w:tc>
      </w:tr>
      <w:tr>
        <w:trPr>
          <w:trHeight w:val="144"/>
        </w:trPr>
        <w:tc>
          <w:tcPr>
            <w:tcW w:w="1540" w:type="dxa"/>
            <w:vAlign w:val="bottom"/>
            <w:shd w:val="clear" w:color="auto" w:fill="24356E"/>
          </w:tcPr>
          <w:p>
            <w:pPr>
              <w:spacing w:after="0"/>
              <w:rPr>
                <w:sz w:val="12"/>
                <w:szCs w:val="12"/>
                <w:color w:val="auto"/>
              </w:rPr>
            </w:pPr>
          </w:p>
        </w:tc>
        <w:tc>
          <w:tcPr>
            <w:tcW w:w="2020" w:type="dxa"/>
            <w:vAlign w:val="bottom"/>
            <w:shd w:val="clear" w:color="auto" w:fill="24356E"/>
          </w:tcPr>
          <w:p>
            <w:pPr>
              <w:spacing w:after="0"/>
              <w:rPr>
                <w:sz w:val="12"/>
                <w:szCs w:val="12"/>
                <w:color w:val="auto"/>
              </w:rPr>
            </w:pPr>
          </w:p>
        </w:tc>
        <w:tc>
          <w:tcPr>
            <w:tcW w:w="1440" w:type="dxa"/>
            <w:vAlign w:val="bottom"/>
            <w:shd w:val="clear" w:color="auto" w:fill="24356E"/>
          </w:tcPr>
          <w:p>
            <w:pPr>
              <w:jc w:val="right"/>
              <w:ind w:right="228"/>
              <w:spacing w:after="0" w:line="145" w:lineRule="exact"/>
              <w:rPr>
                <w:sz w:val="20"/>
                <w:szCs w:val="20"/>
                <w:color w:val="auto"/>
              </w:rPr>
            </w:pPr>
            <w:r>
              <w:rPr>
                <w:rFonts w:ascii="Arial" w:cs="Arial" w:eastAsia="Arial" w:hAnsi="Arial"/>
                <w:sz w:val="14"/>
                <w:szCs w:val="14"/>
                <w:color w:val="FFFFFF"/>
              </w:rPr>
              <w:t>Shares</w:t>
            </w:r>
          </w:p>
        </w:tc>
        <w:tc>
          <w:tcPr>
            <w:tcW w:w="1580" w:type="dxa"/>
            <w:vAlign w:val="bottom"/>
            <w:shd w:val="clear" w:color="auto" w:fill="24356E"/>
          </w:tcPr>
          <w:p>
            <w:pPr>
              <w:jc w:val="right"/>
              <w:ind w:right="248"/>
              <w:spacing w:after="0" w:line="145" w:lineRule="exact"/>
              <w:rPr>
                <w:sz w:val="20"/>
                <w:szCs w:val="20"/>
                <w:color w:val="auto"/>
              </w:rPr>
            </w:pPr>
            <w:r>
              <w:rPr>
                <w:rFonts w:ascii="Arial" w:cs="Arial" w:eastAsia="Arial" w:hAnsi="Arial"/>
                <w:sz w:val="14"/>
                <w:szCs w:val="14"/>
                <w:color w:val="FFFFFF"/>
              </w:rPr>
              <w:t>Share Exercise</w:t>
            </w:r>
          </w:p>
        </w:tc>
        <w:tc>
          <w:tcPr>
            <w:tcW w:w="1560" w:type="dxa"/>
            <w:vAlign w:val="bottom"/>
            <w:shd w:val="clear" w:color="auto" w:fill="24356E"/>
          </w:tcPr>
          <w:p>
            <w:pPr>
              <w:spacing w:after="0"/>
              <w:rPr>
                <w:sz w:val="12"/>
                <w:szCs w:val="12"/>
                <w:color w:val="auto"/>
              </w:rPr>
            </w:pPr>
          </w:p>
        </w:tc>
        <w:tc>
          <w:tcPr>
            <w:tcW w:w="1260" w:type="dxa"/>
            <w:vAlign w:val="bottom"/>
            <w:vMerge w:val="continue"/>
            <w:shd w:val="clear" w:color="auto" w:fill="24356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24356E"/>
          </w:tcPr>
          <w:p>
            <w:pPr>
              <w:spacing w:after="0"/>
              <w:rPr>
                <w:sz w:val="15"/>
                <w:szCs w:val="15"/>
                <w:color w:val="auto"/>
              </w:rPr>
            </w:pPr>
          </w:p>
        </w:tc>
        <w:tc>
          <w:tcPr>
            <w:tcW w:w="2020" w:type="dxa"/>
            <w:vAlign w:val="bottom"/>
            <w:shd w:val="clear" w:color="auto" w:fill="24356E"/>
          </w:tcPr>
          <w:p>
            <w:pPr>
              <w:spacing w:after="0"/>
              <w:rPr>
                <w:sz w:val="15"/>
                <w:szCs w:val="15"/>
                <w:color w:val="auto"/>
              </w:rPr>
            </w:pPr>
          </w:p>
        </w:tc>
        <w:tc>
          <w:tcPr>
            <w:tcW w:w="1440" w:type="dxa"/>
            <w:vAlign w:val="bottom"/>
            <w:shd w:val="clear" w:color="auto" w:fill="24356E"/>
          </w:tcPr>
          <w:p>
            <w:pPr>
              <w:jc w:val="right"/>
              <w:ind w:right="228"/>
              <w:spacing w:after="0"/>
              <w:rPr>
                <w:sz w:val="20"/>
                <w:szCs w:val="20"/>
                <w:color w:val="auto"/>
              </w:rPr>
            </w:pPr>
            <w:r>
              <w:rPr>
                <w:rFonts w:ascii="Arial" w:cs="Arial" w:eastAsia="Arial" w:hAnsi="Arial"/>
                <w:sz w:val="14"/>
                <w:szCs w:val="14"/>
                <w:color w:val="FFFFFF"/>
              </w:rPr>
              <w:t>Subject to</w:t>
            </w:r>
          </w:p>
        </w:tc>
        <w:tc>
          <w:tcPr>
            <w:tcW w:w="1580" w:type="dxa"/>
            <w:vAlign w:val="bottom"/>
            <w:shd w:val="clear" w:color="auto" w:fill="24356E"/>
          </w:tcPr>
          <w:p>
            <w:pPr>
              <w:jc w:val="right"/>
              <w:ind w:right="208"/>
              <w:spacing w:after="0"/>
              <w:rPr>
                <w:sz w:val="20"/>
                <w:szCs w:val="20"/>
                <w:color w:val="auto"/>
              </w:rPr>
            </w:pPr>
            <w:r>
              <w:rPr>
                <w:rFonts w:ascii="Arial" w:cs="Arial" w:eastAsia="Arial" w:hAnsi="Arial"/>
                <w:sz w:val="14"/>
                <w:szCs w:val="14"/>
                <w:color w:val="FFFFFF"/>
              </w:rPr>
              <w:t>Price of Options</w:t>
            </w:r>
          </w:p>
        </w:tc>
        <w:tc>
          <w:tcPr>
            <w:tcW w:w="1560" w:type="dxa"/>
            <w:vAlign w:val="bottom"/>
            <w:shd w:val="clear" w:color="auto" w:fill="24356E"/>
          </w:tcPr>
          <w:p>
            <w:pPr>
              <w:jc w:val="right"/>
              <w:ind w:right="248"/>
              <w:spacing w:after="0"/>
              <w:rPr>
                <w:sz w:val="20"/>
                <w:szCs w:val="20"/>
                <w:color w:val="auto"/>
              </w:rPr>
            </w:pPr>
            <w:r>
              <w:rPr>
                <w:rFonts w:ascii="Arial" w:cs="Arial" w:eastAsia="Arial" w:hAnsi="Arial"/>
                <w:sz w:val="14"/>
                <w:szCs w:val="14"/>
                <w:color w:val="FFFFFF"/>
              </w:rPr>
              <w:t>Shares Subject</w:t>
            </w:r>
          </w:p>
        </w:tc>
        <w:tc>
          <w:tcPr>
            <w:tcW w:w="1260" w:type="dxa"/>
            <w:vAlign w:val="bottom"/>
            <w:shd w:val="clear" w:color="auto" w:fill="24356E"/>
          </w:tcPr>
          <w:p>
            <w:pPr>
              <w:jc w:val="right"/>
              <w:ind w:right="89"/>
              <w:spacing w:after="0" w:line="180" w:lineRule="exact"/>
              <w:rPr>
                <w:sz w:val="20"/>
                <w:szCs w:val="20"/>
                <w:color w:val="auto"/>
              </w:rPr>
            </w:pPr>
            <w:r>
              <w:rPr>
                <w:rFonts w:ascii="Arial" w:cs="Arial" w:eastAsia="Arial" w:hAnsi="Arial"/>
                <w:sz w:val="13"/>
                <w:szCs w:val="13"/>
                <w:color w:val="FFFFFF"/>
              </w:rPr>
              <w:t>of RSUs</w:t>
            </w:r>
            <w:r>
              <w:rPr>
                <w:rFonts w:ascii="Arial" w:cs="Arial" w:eastAsia="Arial" w:hAnsi="Arial"/>
                <w:sz w:val="20"/>
                <w:szCs w:val="20"/>
                <w:color w:val="FFFFFF"/>
                <w:vertAlign w:val="superscript"/>
              </w:rPr>
              <w:t>(1)</w:t>
            </w:r>
          </w:p>
        </w:tc>
        <w:tc>
          <w:tcPr>
            <w:tcW w:w="0" w:type="dxa"/>
            <w:vAlign w:val="bottom"/>
          </w:tcPr>
          <w:p>
            <w:pPr>
              <w:spacing w:after="0"/>
              <w:rPr>
                <w:sz w:val="1"/>
                <w:szCs w:val="1"/>
                <w:color w:val="auto"/>
              </w:rPr>
            </w:pPr>
          </w:p>
        </w:tc>
      </w:tr>
      <w:tr>
        <w:trPr>
          <w:trHeight w:val="190"/>
        </w:trPr>
        <w:tc>
          <w:tcPr>
            <w:tcW w:w="3560" w:type="dxa"/>
            <w:vAlign w:val="bottom"/>
            <w:gridSpan w:val="2"/>
            <w:shd w:val="clear" w:color="auto" w:fill="24356E"/>
          </w:tcPr>
          <w:p>
            <w:pPr>
              <w:ind w:left="240"/>
              <w:spacing w:after="0"/>
              <w:rPr>
                <w:sz w:val="20"/>
                <w:szCs w:val="20"/>
                <w:color w:val="auto"/>
              </w:rPr>
            </w:pPr>
            <w:r>
              <w:rPr>
                <w:rFonts w:ascii="Arial" w:cs="Arial" w:eastAsia="Arial" w:hAnsi="Arial"/>
                <w:sz w:val="14"/>
                <w:szCs w:val="14"/>
                <w:color w:val="FFFFFF"/>
              </w:rPr>
              <w:t>Named Executive Officers</w:t>
            </w:r>
          </w:p>
        </w:tc>
        <w:tc>
          <w:tcPr>
            <w:tcW w:w="1440" w:type="dxa"/>
            <w:vAlign w:val="bottom"/>
            <w:shd w:val="clear" w:color="auto" w:fill="24356E"/>
          </w:tcPr>
          <w:p>
            <w:pPr>
              <w:ind w:left="280"/>
              <w:spacing w:after="0"/>
              <w:rPr>
                <w:sz w:val="20"/>
                <w:szCs w:val="20"/>
                <w:color w:val="auto"/>
              </w:rPr>
            </w:pPr>
            <w:r>
              <w:rPr>
                <w:rFonts w:ascii="Arial" w:cs="Arial" w:eastAsia="Arial" w:hAnsi="Arial"/>
                <w:sz w:val="14"/>
                <w:szCs w:val="14"/>
                <w:color w:val="FFFFFF"/>
              </w:rPr>
              <w:t>Stock Options</w:t>
            </w:r>
          </w:p>
        </w:tc>
        <w:tc>
          <w:tcPr>
            <w:tcW w:w="1580" w:type="dxa"/>
            <w:vAlign w:val="bottom"/>
            <w:shd w:val="clear" w:color="auto" w:fill="24356E"/>
          </w:tcPr>
          <w:p>
            <w:pPr>
              <w:jc w:val="right"/>
              <w:ind w:right="208"/>
              <w:spacing w:after="0"/>
              <w:rPr>
                <w:sz w:val="20"/>
                <w:szCs w:val="20"/>
                <w:color w:val="auto"/>
              </w:rPr>
            </w:pPr>
            <w:r>
              <w:rPr>
                <w:rFonts w:ascii="Arial" w:cs="Arial" w:eastAsia="Arial" w:hAnsi="Arial"/>
                <w:sz w:val="14"/>
                <w:szCs w:val="14"/>
                <w:color w:val="FFFFFF"/>
              </w:rPr>
              <w:t>($)</w:t>
            </w:r>
          </w:p>
        </w:tc>
        <w:tc>
          <w:tcPr>
            <w:tcW w:w="1560" w:type="dxa"/>
            <w:vAlign w:val="bottom"/>
            <w:shd w:val="clear" w:color="auto" w:fill="24356E"/>
          </w:tcPr>
          <w:p>
            <w:pPr>
              <w:jc w:val="right"/>
              <w:ind w:right="208"/>
              <w:spacing w:after="0"/>
              <w:rPr>
                <w:sz w:val="20"/>
                <w:szCs w:val="20"/>
                <w:color w:val="auto"/>
              </w:rPr>
            </w:pPr>
            <w:r>
              <w:rPr>
                <w:rFonts w:ascii="Arial" w:cs="Arial" w:eastAsia="Arial" w:hAnsi="Arial"/>
                <w:sz w:val="14"/>
                <w:szCs w:val="14"/>
                <w:color w:val="FFFFFF"/>
              </w:rPr>
              <w:t>to RSUs</w:t>
            </w:r>
          </w:p>
        </w:tc>
        <w:tc>
          <w:tcPr>
            <w:tcW w:w="1260" w:type="dxa"/>
            <w:vAlign w:val="bottom"/>
            <w:shd w:val="clear" w:color="auto" w:fill="24356E"/>
          </w:tcPr>
          <w:p>
            <w:pPr>
              <w:jc w:val="right"/>
              <w:ind w:right="89"/>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89"/>
        </w:trPr>
        <w:tc>
          <w:tcPr>
            <w:tcW w:w="1540" w:type="dxa"/>
            <w:vAlign w:val="bottom"/>
            <w:shd w:val="clear" w:color="auto" w:fill="24356E"/>
          </w:tcPr>
          <w:p>
            <w:pPr>
              <w:spacing w:after="0"/>
              <w:rPr>
                <w:sz w:val="7"/>
                <w:szCs w:val="7"/>
                <w:color w:val="auto"/>
              </w:rPr>
            </w:pPr>
          </w:p>
        </w:tc>
        <w:tc>
          <w:tcPr>
            <w:tcW w:w="2020" w:type="dxa"/>
            <w:vAlign w:val="bottom"/>
            <w:shd w:val="clear" w:color="auto" w:fill="24356E"/>
          </w:tcPr>
          <w:p>
            <w:pPr>
              <w:spacing w:after="0"/>
              <w:rPr>
                <w:sz w:val="7"/>
                <w:szCs w:val="7"/>
                <w:color w:val="auto"/>
              </w:rPr>
            </w:pPr>
          </w:p>
        </w:tc>
        <w:tc>
          <w:tcPr>
            <w:tcW w:w="1440" w:type="dxa"/>
            <w:vAlign w:val="bottom"/>
            <w:shd w:val="clear" w:color="auto" w:fill="24356E"/>
          </w:tcPr>
          <w:p>
            <w:pPr>
              <w:spacing w:after="0"/>
              <w:rPr>
                <w:sz w:val="7"/>
                <w:szCs w:val="7"/>
                <w:color w:val="auto"/>
              </w:rPr>
            </w:pPr>
          </w:p>
        </w:tc>
        <w:tc>
          <w:tcPr>
            <w:tcW w:w="1580" w:type="dxa"/>
            <w:vAlign w:val="bottom"/>
            <w:shd w:val="clear" w:color="auto" w:fill="24356E"/>
          </w:tcPr>
          <w:p>
            <w:pPr>
              <w:spacing w:after="0"/>
              <w:rPr>
                <w:sz w:val="7"/>
                <w:szCs w:val="7"/>
                <w:color w:val="auto"/>
              </w:rPr>
            </w:pPr>
          </w:p>
        </w:tc>
        <w:tc>
          <w:tcPr>
            <w:tcW w:w="1560" w:type="dxa"/>
            <w:vAlign w:val="bottom"/>
            <w:shd w:val="clear" w:color="auto" w:fill="24356E"/>
          </w:tcPr>
          <w:p>
            <w:pPr>
              <w:spacing w:after="0"/>
              <w:rPr>
                <w:sz w:val="7"/>
                <w:szCs w:val="7"/>
                <w:color w:val="auto"/>
              </w:rPr>
            </w:pPr>
          </w:p>
        </w:tc>
        <w:tc>
          <w:tcPr>
            <w:tcW w:w="1260" w:type="dxa"/>
            <w:vAlign w:val="bottom"/>
            <w:shd w:val="clear" w:color="auto" w:fill="24356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3560" w:type="dxa"/>
            <w:vAlign w:val="bottom"/>
            <w:gridSpan w:val="2"/>
          </w:tcPr>
          <w:p>
            <w:pPr>
              <w:ind w:left="240"/>
              <w:spacing w:after="0"/>
              <w:rPr>
                <w:sz w:val="20"/>
                <w:szCs w:val="20"/>
                <w:color w:val="auto"/>
              </w:rPr>
            </w:pPr>
            <w:r>
              <w:rPr>
                <w:rFonts w:ascii="Arial" w:cs="Arial" w:eastAsia="Arial" w:hAnsi="Arial"/>
                <w:sz w:val="14"/>
                <w:szCs w:val="14"/>
                <w:b w:val="1"/>
                <w:bCs w:val="1"/>
                <w:color w:val="auto"/>
              </w:rPr>
              <w:t>Michael Egholm, Ph.D.</w:t>
            </w:r>
          </w:p>
        </w:tc>
        <w:tc>
          <w:tcPr>
            <w:tcW w:w="1440" w:type="dxa"/>
            <w:vAlign w:val="bottom"/>
          </w:tcPr>
          <w:p>
            <w:pPr>
              <w:ind w:left="520"/>
              <w:spacing w:after="0"/>
              <w:rPr>
                <w:sz w:val="20"/>
                <w:szCs w:val="20"/>
                <w:color w:val="auto"/>
              </w:rPr>
            </w:pPr>
            <w:r>
              <w:rPr>
                <w:rFonts w:ascii="Arial" w:cs="Arial" w:eastAsia="Arial" w:hAnsi="Arial"/>
                <w:sz w:val="14"/>
                <w:szCs w:val="14"/>
                <w:color w:val="auto"/>
              </w:rPr>
              <w:t>4,032,500</w:t>
            </w:r>
          </w:p>
        </w:tc>
        <w:tc>
          <w:tcPr>
            <w:tcW w:w="1580" w:type="dxa"/>
            <w:vAlign w:val="bottom"/>
          </w:tcPr>
          <w:p>
            <w:pPr>
              <w:jc w:val="right"/>
              <w:ind w:right="208"/>
              <w:spacing w:after="0"/>
              <w:rPr>
                <w:sz w:val="20"/>
                <w:szCs w:val="20"/>
                <w:color w:val="auto"/>
              </w:rPr>
            </w:pPr>
            <w:r>
              <w:rPr>
                <w:rFonts w:ascii="Arial" w:cs="Arial" w:eastAsia="Arial" w:hAnsi="Arial"/>
                <w:sz w:val="14"/>
                <w:szCs w:val="14"/>
                <w:color w:val="auto"/>
              </w:rPr>
              <w:t>1.97</w:t>
            </w:r>
          </w:p>
        </w:tc>
        <w:tc>
          <w:tcPr>
            <w:tcW w:w="1560" w:type="dxa"/>
            <w:vAlign w:val="bottom"/>
          </w:tcPr>
          <w:p>
            <w:pPr>
              <w:jc w:val="right"/>
              <w:ind w:right="308"/>
              <w:spacing w:after="0"/>
              <w:rPr>
                <w:sz w:val="20"/>
                <w:szCs w:val="20"/>
                <w:color w:val="auto"/>
              </w:rPr>
            </w:pPr>
            <w:r>
              <w:rPr>
                <w:rFonts w:ascii="Arial" w:cs="Arial" w:eastAsia="Arial" w:hAnsi="Arial"/>
                <w:sz w:val="14"/>
                <w:szCs w:val="14"/>
                <w:color w:val="auto"/>
              </w:rPr>
              <w:t>2,400,459</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2,760,528</w:t>
            </w:r>
          </w:p>
        </w:tc>
        <w:tc>
          <w:tcPr>
            <w:tcW w:w="0" w:type="dxa"/>
            <w:vAlign w:val="bottom"/>
          </w:tcPr>
          <w:p>
            <w:pPr>
              <w:spacing w:after="0"/>
              <w:rPr>
                <w:sz w:val="1"/>
                <w:szCs w:val="1"/>
                <w:color w:val="auto"/>
              </w:rPr>
            </w:pPr>
          </w:p>
        </w:tc>
      </w:tr>
      <w:tr>
        <w:trPr>
          <w:trHeight w:val="188"/>
        </w:trPr>
        <w:tc>
          <w:tcPr>
            <w:tcW w:w="3560" w:type="dxa"/>
            <w:vAlign w:val="bottom"/>
            <w:gridSpan w:val="2"/>
          </w:tcPr>
          <w:p>
            <w:pPr>
              <w:ind w:left="240"/>
              <w:spacing w:after="0"/>
              <w:rPr>
                <w:sz w:val="20"/>
                <w:szCs w:val="20"/>
                <w:color w:val="auto"/>
              </w:rPr>
            </w:pPr>
            <w:r>
              <w:rPr>
                <w:rFonts w:ascii="Arial" w:cs="Arial" w:eastAsia="Arial" w:hAnsi="Arial"/>
                <w:sz w:val="14"/>
                <w:szCs w:val="14"/>
                <w:i w:val="1"/>
                <w:iCs w:val="1"/>
                <w:color w:val="auto"/>
              </w:rPr>
              <w:t>President, Chief Executive Officer and Director</w:t>
            </w:r>
          </w:p>
        </w:tc>
        <w:tc>
          <w:tcPr>
            <w:tcW w:w="1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540" w:type="dxa"/>
            <w:vAlign w:val="bottom"/>
            <w:tcBorders>
              <w:bottom w:val="single" w:sz="8" w:color="666666"/>
            </w:tcBorders>
          </w:tcPr>
          <w:p>
            <w:pPr>
              <w:spacing w:after="0"/>
              <w:rPr>
                <w:sz w:val="6"/>
                <w:szCs w:val="6"/>
                <w:color w:val="auto"/>
              </w:rPr>
            </w:pPr>
          </w:p>
        </w:tc>
        <w:tc>
          <w:tcPr>
            <w:tcW w:w="2020" w:type="dxa"/>
            <w:vAlign w:val="bottom"/>
            <w:tcBorders>
              <w:bottom w:val="single" w:sz="8" w:color="666666"/>
            </w:tcBorders>
          </w:tcPr>
          <w:p>
            <w:pPr>
              <w:spacing w:after="0"/>
              <w:rPr>
                <w:sz w:val="6"/>
                <w:szCs w:val="6"/>
                <w:color w:val="auto"/>
              </w:rPr>
            </w:pPr>
          </w:p>
        </w:tc>
        <w:tc>
          <w:tcPr>
            <w:tcW w:w="144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56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40"/>
              <w:spacing w:after="0"/>
              <w:rPr>
                <w:sz w:val="20"/>
                <w:szCs w:val="20"/>
                <w:color w:val="auto"/>
              </w:rPr>
            </w:pPr>
            <w:r>
              <w:rPr>
                <w:rFonts w:ascii="Arial" w:cs="Arial" w:eastAsia="Arial" w:hAnsi="Arial"/>
                <w:sz w:val="14"/>
                <w:szCs w:val="14"/>
                <w:b w:val="1"/>
                <w:bCs w:val="1"/>
                <w:color w:val="auto"/>
              </w:rPr>
              <w:t>Alex Kim</w:t>
            </w:r>
          </w:p>
        </w:tc>
        <w:tc>
          <w:tcPr>
            <w:tcW w:w="1440" w:type="dxa"/>
            <w:vAlign w:val="bottom"/>
          </w:tcPr>
          <w:p>
            <w:pPr>
              <w:ind w:left="520"/>
              <w:spacing w:after="0"/>
              <w:rPr>
                <w:sz w:val="20"/>
                <w:szCs w:val="20"/>
                <w:color w:val="auto"/>
              </w:rPr>
            </w:pPr>
            <w:r>
              <w:rPr>
                <w:rFonts w:ascii="Arial" w:cs="Arial" w:eastAsia="Arial" w:hAnsi="Arial"/>
                <w:sz w:val="14"/>
                <w:szCs w:val="14"/>
                <w:color w:val="auto"/>
              </w:rPr>
              <w:t>1,257,500</w:t>
            </w:r>
          </w:p>
        </w:tc>
        <w:tc>
          <w:tcPr>
            <w:tcW w:w="1580" w:type="dxa"/>
            <w:vAlign w:val="bottom"/>
          </w:tcPr>
          <w:p>
            <w:pPr>
              <w:jc w:val="right"/>
              <w:ind w:right="208"/>
              <w:spacing w:after="0"/>
              <w:rPr>
                <w:sz w:val="20"/>
                <w:szCs w:val="20"/>
                <w:color w:val="auto"/>
              </w:rPr>
            </w:pPr>
            <w:r>
              <w:rPr>
                <w:rFonts w:ascii="Arial" w:cs="Arial" w:eastAsia="Arial" w:hAnsi="Arial"/>
                <w:sz w:val="14"/>
                <w:szCs w:val="14"/>
                <w:color w:val="auto"/>
              </w:rPr>
              <w:t>2.03</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742,368</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853,723</w:t>
            </w:r>
          </w:p>
        </w:tc>
        <w:tc>
          <w:tcPr>
            <w:tcW w:w="0" w:type="dxa"/>
            <w:vAlign w:val="bottom"/>
          </w:tcPr>
          <w:p>
            <w:pPr>
              <w:spacing w:after="0"/>
              <w:rPr>
                <w:sz w:val="1"/>
                <w:szCs w:val="1"/>
                <w:color w:val="auto"/>
              </w:rPr>
            </w:pPr>
          </w:p>
        </w:tc>
      </w:tr>
      <w:tr>
        <w:trPr>
          <w:trHeight w:val="188"/>
        </w:trPr>
        <w:tc>
          <w:tcPr>
            <w:tcW w:w="3560" w:type="dxa"/>
            <w:vAlign w:val="bottom"/>
            <w:gridSpan w:val="2"/>
          </w:tcPr>
          <w:p>
            <w:pPr>
              <w:ind w:left="240"/>
              <w:spacing w:after="0"/>
              <w:rPr>
                <w:sz w:val="20"/>
                <w:szCs w:val="20"/>
                <w:color w:val="auto"/>
              </w:rPr>
            </w:pPr>
            <w:r>
              <w:rPr>
                <w:rFonts w:ascii="Arial" w:cs="Arial" w:eastAsia="Arial" w:hAnsi="Arial"/>
                <w:sz w:val="14"/>
                <w:szCs w:val="14"/>
                <w:i w:val="1"/>
                <w:iCs w:val="1"/>
                <w:color w:val="auto"/>
              </w:rPr>
              <w:t>Chief Financial Officer</w:t>
            </w:r>
          </w:p>
        </w:tc>
        <w:tc>
          <w:tcPr>
            <w:tcW w:w="1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540" w:type="dxa"/>
            <w:vAlign w:val="bottom"/>
            <w:tcBorders>
              <w:bottom w:val="single" w:sz="8" w:color="666666"/>
            </w:tcBorders>
          </w:tcPr>
          <w:p>
            <w:pPr>
              <w:spacing w:after="0"/>
              <w:rPr>
                <w:sz w:val="6"/>
                <w:szCs w:val="6"/>
                <w:color w:val="auto"/>
              </w:rPr>
            </w:pPr>
          </w:p>
        </w:tc>
        <w:tc>
          <w:tcPr>
            <w:tcW w:w="2020" w:type="dxa"/>
            <w:vAlign w:val="bottom"/>
            <w:tcBorders>
              <w:bottom w:val="single" w:sz="8" w:color="666666"/>
            </w:tcBorders>
          </w:tcPr>
          <w:p>
            <w:pPr>
              <w:spacing w:after="0"/>
              <w:rPr>
                <w:sz w:val="6"/>
                <w:szCs w:val="6"/>
                <w:color w:val="auto"/>
              </w:rPr>
            </w:pPr>
          </w:p>
        </w:tc>
        <w:tc>
          <w:tcPr>
            <w:tcW w:w="144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56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40"/>
              <w:spacing w:after="0"/>
              <w:rPr>
                <w:sz w:val="20"/>
                <w:szCs w:val="20"/>
                <w:color w:val="auto"/>
              </w:rPr>
            </w:pPr>
            <w:r>
              <w:rPr>
                <w:rFonts w:ascii="Arial" w:cs="Arial" w:eastAsia="Arial" w:hAnsi="Arial"/>
                <w:sz w:val="14"/>
                <w:szCs w:val="14"/>
                <w:b w:val="1"/>
                <w:bCs w:val="1"/>
                <w:color w:val="auto"/>
              </w:rPr>
              <w:t>Sean Mackay</w:t>
            </w:r>
          </w:p>
        </w:tc>
        <w:tc>
          <w:tcPr>
            <w:tcW w:w="1440" w:type="dxa"/>
            <w:vAlign w:val="bottom"/>
          </w:tcPr>
          <w:p>
            <w:pPr>
              <w:ind w:left="520"/>
              <w:spacing w:after="0"/>
              <w:rPr>
                <w:sz w:val="20"/>
                <w:szCs w:val="20"/>
                <w:color w:val="auto"/>
              </w:rPr>
            </w:pPr>
            <w:r>
              <w:rPr>
                <w:rFonts w:ascii="Arial" w:cs="Arial" w:eastAsia="Arial" w:hAnsi="Arial"/>
                <w:sz w:val="14"/>
                <w:szCs w:val="14"/>
                <w:color w:val="auto"/>
              </w:rPr>
              <w:t>1,022,500</w:t>
            </w:r>
          </w:p>
        </w:tc>
        <w:tc>
          <w:tcPr>
            <w:tcW w:w="1580" w:type="dxa"/>
            <w:vAlign w:val="bottom"/>
          </w:tcPr>
          <w:p>
            <w:pPr>
              <w:jc w:val="right"/>
              <w:ind w:right="208"/>
              <w:spacing w:after="0"/>
              <w:rPr>
                <w:sz w:val="20"/>
                <w:szCs w:val="20"/>
                <w:color w:val="auto"/>
              </w:rPr>
            </w:pPr>
            <w:r>
              <w:rPr>
                <w:rFonts w:ascii="Arial" w:cs="Arial" w:eastAsia="Arial" w:hAnsi="Arial"/>
                <w:sz w:val="14"/>
                <w:szCs w:val="14"/>
                <w:color w:val="auto"/>
              </w:rPr>
              <w:t>2.01</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673,835</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774,910</w:t>
            </w:r>
          </w:p>
        </w:tc>
        <w:tc>
          <w:tcPr>
            <w:tcW w:w="0" w:type="dxa"/>
            <w:vAlign w:val="bottom"/>
          </w:tcPr>
          <w:p>
            <w:pPr>
              <w:spacing w:after="0"/>
              <w:rPr>
                <w:sz w:val="1"/>
                <w:szCs w:val="1"/>
                <w:color w:val="auto"/>
              </w:rPr>
            </w:pPr>
          </w:p>
        </w:tc>
      </w:tr>
      <w:tr>
        <w:trPr>
          <w:trHeight w:val="188"/>
        </w:trPr>
        <w:tc>
          <w:tcPr>
            <w:tcW w:w="3560" w:type="dxa"/>
            <w:vAlign w:val="bottom"/>
            <w:gridSpan w:val="2"/>
          </w:tcPr>
          <w:p>
            <w:pPr>
              <w:ind w:left="240"/>
              <w:spacing w:after="0"/>
              <w:rPr>
                <w:sz w:val="20"/>
                <w:szCs w:val="20"/>
                <w:color w:val="auto"/>
              </w:rPr>
            </w:pPr>
            <w:r>
              <w:rPr>
                <w:rFonts w:ascii="Arial" w:cs="Arial" w:eastAsia="Arial" w:hAnsi="Arial"/>
                <w:sz w:val="14"/>
                <w:szCs w:val="14"/>
                <w:i w:val="1"/>
                <w:iCs w:val="1"/>
                <w:color w:val="auto"/>
              </w:rPr>
              <w:t>Chief Business Officer</w:t>
            </w:r>
          </w:p>
        </w:tc>
        <w:tc>
          <w:tcPr>
            <w:tcW w:w="1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540" w:type="dxa"/>
            <w:vAlign w:val="bottom"/>
            <w:tcBorders>
              <w:bottom w:val="single" w:sz="8" w:color="666666"/>
            </w:tcBorders>
          </w:tcPr>
          <w:p>
            <w:pPr>
              <w:spacing w:after="0"/>
              <w:rPr>
                <w:sz w:val="6"/>
                <w:szCs w:val="6"/>
                <w:color w:val="auto"/>
              </w:rPr>
            </w:pPr>
          </w:p>
        </w:tc>
        <w:tc>
          <w:tcPr>
            <w:tcW w:w="2020" w:type="dxa"/>
            <w:vAlign w:val="bottom"/>
            <w:tcBorders>
              <w:bottom w:val="single" w:sz="8" w:color="666666"/>
            </w:tcBorders>
          </w:tcPr>
          <w:p>
            <w:pPr>
              <w:spacing w:after="0"/>
              <w:rPr>
                <w:sz w:val="6"/>
                <w:szCs w:val="6"/>
                <w:color w:val="auto"/>
              </w:rPr>
            </w:pPr>
          </w:p>
        </w:tc>
        <w:tc>
          <w:tcPr>
            <w:tcW w:w="144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56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40"/>
              <w:spacing w:after="0"/>
              <w:rPr>
                <w:sz w:val="20"/>
                <w:szCs w:val="20"/>
                <w:color w:val="auto"/>
              </w:rPr>
            </w:pPr>
            <w:r>
              <w:rPr>
                <w:rFonts w:ascii="Arial" w:cs="Arial" w:eastAsia="Arial" w:hAnsi="Arial"/>
                <w:sz w:val="14"/>
                <w:szCs w:val="14"/>
                <w:b w:val="1"/>
                <w:bCs w:val="1"/>
                <w:color w:val="auto"/>
              </w:rPr>
              <w:t>Jeffrey Black</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400,000</w:t>
            </w:r>
          </w:p>
        </w:tc>
        <w:tc>
          <w:tcPr>
            <w:tcW w:w="1580" w:type="dxa"/>
            <w:vAlign w:val="bottom"/>
          </w:tcPr>
          <w:p>
            <w:pPr>
              <w:jc w:val="right"/>
              <w:ind w:right="208"/>
              <w:spacing w:after="0"/>
              <w:rPr>
                <w:sz w:val="20"/>
                <w:szCs w:val="20"/>
                <w:color w:val="auto"/>
              </w:rPr>
            </w:pPr>
            <w:r>
              <w:rPr>
                <w:rFonts w:ascii="Arial" w:cs="Arial" w:eastAsia="Arial" w:hAnsi="Arial"/>
                <w:sz w:val="14"/>
                <w:szCs w:val="14"/>
                <w:color w:val="auto"/>
              </w:rPr>
              <w:t>2.58</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300,000</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345,000</w:t>
            </w:r>
          </w:p>
        </w:tc>
        <w:tc>
          <w:tcPr>
            <w:tcW w:w="0" w:type="dxa"/>
            <w:vAlign w:val="bottom"/>
          </w:tcPr>
          <w:p>
            <w:pPr>
              <w:spacing w:after="0"/>
              <w:rPr>
                <w:sz w:val="1"/>
                <w:szCs w:val="1"/>
                <w:color w:val="auto"/>
              </w:rPr>
            </w:pPr>
          </w:p>
        </w:tc>
      </w:tr>
      <w:tr>
        <w:trPr>
          <w:trHeight w:val="188"/>
        </w:trPr>
        <w:tc>
          <w:tcPr>
            <w:tcW w:w="3560" w:type="dxa"/>
            <w:vAlign w:val="bottom"/>
            <w:gridSpan w:val="2"/>
          </w:tcPr>
          <w:p>
            <w:pPr>
              <w:ind w:left="240"/>
              <w:spacing w:after="0"/>
              <w:rPr>
                <w:sz w:val="20"/>
                <w:szCs w:val="20"/>
                <w:color w:val="auto"/>
              </w:rPr>
            </w:pPr>
            <w:r>
              <w:rPr>
                <w:rFonts w:ascii="Arial" w:cs="Arial" w:eastAsia="Arial" w:hAnsi="Arial"/>
                <w:sz w:val="14"/>
                <w:szCs w:val="14"/>
                <w:i w:val="1"/>
                <w:iCs w:val="1"/>
                <w:color w:val="auto"/>
              </w:rPr>
              <w:t>Former Chief Financial Officer</w:t>
            </w:r>
          </w:p>
        </w:tc>
        <w:tc>
          <w:tcPr>
            <w:tcW w:w="1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540" w:type="dxa"/>
            <w:vAlign w:val="bottom"/>
            <w:tcBorders>
              <w:bottom w:val="single" w:sz="8" w:color="666666"/>
            </w:tcBorders>
          </w:tcPr>
          <w:p>
            <w:pPr>
              <w:spacing w:after="0"/>
              <w:rPr>
                <w:sz w:val="6"/>
                <w:szCs w:val="6"/>
                <w:color w:val="auto"/>
              </w:rPr>
            </w:pPr>
          </w:p>
        </w:tc>
        <w:tc>
          <w:tcPr>
            <w:tcW w:w="2020" w:type="dxa"/>
            <w:vAlign w:val="bottom"/>
            <w:tcBorders>
              <w:bottom w:val="single" w:sz="8" w:color="666666"/>
            </w:tcBorders>
          </w:tcPr>
          <w:p>
            <w:pPr>
              <w:spacing w:after="0"/>
              <w:rPr>
                <w:sz w:val="6"/>
                <w:szCs w:val="6"/>
                <w:color w:val="auto"/>
              </w:rPr>
            </w:pPr>
          </w:p>
        </w:tc>
        <w:tc>
          <w:tcPr>
            <w:tcW w:w="144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56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5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Executive officers as a group</w:t>
            </w:r>
          </w:p>
        </w:tc>
        <w:tc>
          <w:tcPr>
            <w:tcW w:w="1440" w:type="dxa"/>
            <w:vAlign w:val="bottom"/>
          </w:tcPr>
          <w:p>
            <w:pPr>
              <w:ind w:left="520"/>
              <w:spacing w:after="0"/>
              <w:rPr>
                <w:sz w:val="20"/>
                <w:szCs w:val="20"/>
                <w:color w:val="auto"/>
              </w:rPr>
            </w:pPr>
            <w:r>
              <w:rPr>
                <w:rFonts w:ascii="Arial" w:cs="Arial" w:eastAsia="Arial" w:hAnsi="Arial"/>
                <w:sz w:val="14"/>
                <w:szCs w:val="14"/>
                <w:color w:val="auto"/>
              </w:rPr>
              <w:t>8,954,311</w:t>
            </w:r>
          </w:p>
        </w:tc>
        <w:tc>
          <w:tcPr>
            <w:tcW w:w="1580" w:type="dxa"/>
            <w:vAlign w:val="bottom"/>
          </w:tcPr>
          <w:p>
            <w:pPr>
              <w:jc w:val="right"/>
              <w:ind w:right="208"/>
              <w:spacing w:after="0"/>
              <w:rPr>
                <w:sz w:val="20"/>
                <w:szCs w:val="20"/>
                <w:color w:val="auto"/>
              </w:rPr>
            </w:pPr>
            <w:r>
              <w:rPr>
                <w:rFonts w:ascii="Arial" w:cs="Arial" w:eastAsia="Arial" w:hAnsi="Arial"/>
                <w:sz w:val="14"/>
                <w:szCs w:val="14"/>
                <w:color w:val="auto"/>
              </w:rPr>
              <w:t>4.15</w:t>
            </w:r>
          </w:p>
        </w:tc>
        <w:tc>
          <w:tcPr>
            <w:tcW w:w="1560" w:type="dxa"/>
            <w:vAlign w:val="bottom"/>
          </w:tcPr>
          <w:p>
            <w:pPr>
              <w:jc w:val="right"/>
              <w:ind w:right="308"/>
              <w:spacing w:after="0"/>
              <w:rPr>
                <w:sz w:val="20"/>
                <w:szCs w:val="20"/>
                <w:color w:val="auto"/>
              </w:rPr>
            </w:pPr>
            <w:r>
              <w:rPr>
                <w:rFonts w:ascii="Arial" w:cs="Arial" w:eastAsia="Arial" w:hAnsi="Arial"/>
                <w:sz w:val="14"/>
                <w:szCs w:val="14"/>
                <w:color w:val="auto"/>
              </w:rPr>
              <w:t>6,371,683</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7,327,435</w:t>
            </w:r>
          </w:p>
        </w:tc>
        <w:tc>
          <w:tcPr>
            <w:tcW w:w="0" w:type="dxa"/>
            <w:vAlign w:val="bottom"/>
          </w:tcPr>
          <w:p>
            <w:pPr>
              <w:spacing w:after="0"/>
              <w:rPr>
                <w:sz w:val="1"/>
                <w:szCs w:val="1"/>
                <w:color w:val="auto"/>
              </w:rPr>
            </w:pPr>
          </w:p>
        </w:tc>
      </w:tr>
      <w:tr>
        <w:trPr>
          <w:trHeight w:val="70"/>
        </w:trPr>
        <w:tc>
          <w:tcPr>
            <w:tcW w:w="1540" w:type="dxa"/>
            <w:vAlign w:val="bottom"/>
            <w:tcBorders>
              <w:bottom w:val="single" w:sz="8" w:color="666666"/>
            </w:tcBorders>
          </w:tcPr>
          <w:p>
            <w:pPr>
              <w:spacing w:after="0"/>
              <w:rPr>
                <w:sz w:val="6"/>
                <w:szCs w:val="6"/>
                <w:color w:val="auto"/>
              </w:rPr>
            </w:pPr>
          </w:p>
        </w:tc>
        <w:tc>
          <w:tcPr>
            <w:tcW w:w="2020" w:type="dxa"/>
            <w:vAlign w:val="bottom"/>
            <w:tcBorders>
              <w:bottom w:val="single" w:sz="8" w:color="666666"/>
            </w:tcBorders>
          </w:tcPr>
          <w:p>
            <w:pPr>
              <w:spacing w:after="0"/>
              <w:rPr>
                <w:sz w:val="6"/>
                <w:szCs w:val="6"/>
                <w:color w:val="auto"/>
              </w:rPr>
            </w:pPr>
          </w:p>
        </w:tc>
        <w:tc>
          <w:tcPr>
            <w:tcW w:w="144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56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5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Non-employee directors</w:t>
            </w:r>
          </w:p>
        </w:tc>
        <w:tc>
          <w:tcPr>
            <w:tcW w:w="1440" w:type="dxa"/>
            <w:vAlign w:val="bottom"/>
          </w:tcPr>
          <w:p>
            <w:pPr>
              <w:ind w:left="520"/>
              <w:spacing w:after="0"/>
              <w:rPr>
                <w:sz w:val="20"/>
                <w:szCs w:val="20"/>
                <w:color w:val="auto"/>
              </w:rPr>
            </w:pPr>
            <w:r>
              <w:rPr>
                <w:rFonts w:ascii="Arial" w:cs="Arial" w:eastAsia="Arial" w:hAnsi="Arial"/>
                <w:sz w:val="14"/>
                <w:szCs w:val="14"/>
                <w:color w:val="auto"/>
              </w:rPr>
              <w:t>1,629,978</w:t>
            </w:r>
          </w:p>
        </w:tc>
        <w:tc>
          <w:tcPr>
            <w:tcW w:w="1580" w:type="dxa"/>
            <w:vAlign w:val="bottom"/>
          </w:tcPr>
          <w:p>
            <w:pPr>
              <w:jc w:val="right"/>
              <w:ind w:right="208"/>
              <w:spacing w:after="0"/>
              <w:rPr>
                <w:sz w:val="20"/>
                <w:szCs w:val="20"/>
                <w:color w:val="auto"/>
              </w:rPr>
            </w:pPr>
            <w:r>
              <w:rPr>
                <w:rFonts w:ascii="Arial" w:cs="Arial" w:eastAsia="Arial" w:hAnsi="Arial"/>
                <w:sz w:val="14"/>
                <w:szCs w:val="14"/>
                <w:color w:val="auto"/>
              </w:rPr>
              <w:t>4.73</w:t>
            </w:r>
          </w:p>
        </w:tc>
        <w:tc>
          <w:tcPr>
            <w:tcW w:w="1560" w:type="dxa"/>
            <w:vAlign w:val="bottom"/>
          </w:tcPr>
          <w:p>
            <w:pPr>
              <w:jc w:val="right"/>
              <w:ind w:right="308"/>
              <w:spacing w:after="0"/>
              <w:rPr>
                <w:sz w:val="20"/>
                <w:szCs w:val="20"/>
                <w:color w:val="auto"/>
              </w:rPr>
            </w:pPr>
            <w:r>
              <w:rPr>
                <w:rFonts w:ascii="Arial" w:cs="Arial" w:eastAsia="Arial" w:hAnsi="Arial"/>
                <w:sz w:val="14"/>
                <w:szCs w:val="14"/>
                <w:color w:val="auto"/>
              </w:rPr>
              <w:t>1,333,066</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1,533,026</w:t>
            </w:r>
          </w:p>
        </w:tc>
        <w:tc>
          <w:tcPr>
            <w:tcW w:w="0" w:type="dxa"/>
            <w:vAlign w:val="bottom"/>
          </w:tcPr>
          <w:p>
            <w:pPr>
              <w:spacing w:after="0"/>
              <w:rPr>
                <w:sz w:val="1"/>
                <w:szCs w:val="1"/>
                <w:color w:val="auto"/>
              </w:rPr>
            </w:pPr>
          </w:p>
        </w:tc>
      </w:tr>
      <w:tr>
        <w:trPr>
          <w:trHeight w:val="70"/>
        </w:trPr>
        <w:tc>
          <w:tcPr>
            <w:tcW w:w="1540" w:type="dxa"/>
            <w:vAlign w:val="bottom"/>
            <w:tcBorders>
              <w:bottom w:val="single" w:sz="8" w:color="666666"/>
            </w:tcBorders>
          </w:tcPr>
          <w:p>
            <w:pPr>
              <w:spacing w:after="0"/>
              <w:rPr>
                <w:sz w:val="6"/>
                <w:szCs w:val="6"/>
                <w:color w:val="auto"/>
              </w:rPr>
            </w:pPr>
          </w:p>
        </w:tc>
        <w:tc>
          <w:tcPr>
            <w:tcW w:w="2020" w:type="dxa"/>
            <w:vAlign w:val="bottom"/>
            <w:tcBorders>
              <w:bottom w:val="single" w:sz="8" w:color="666666"/>
            </w:tcBorders>
          </w:tcPr>
          <w:p>
            <w:pPr>
              <w:spacing w:after="0"/>
              <w:rPr>
                <w:sz w:val="6"/>
                <w:szCs w:val="6"/>
                <w:color w:val="auto"/>
              </w:rPr>
            </w:pPr>
          </w:p>
        </w:tc>
        <w:tc>
          <w:tcPr>
            <w:tcW w:w="144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c>
          <w:tcPr>
            <w:tcW w:w="156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3560" w:type="dxa"/>
            <w:vAlign w:val="bottom"/>
            <w:gridSpan w:val="2"/>
          </w:tcPr>
          <w:p>
            <w:pPr>
              <w:ind w:left="240"/>
              <w:spacing w:after="0"/>
              <w:rPr>
                <w:sz w:val="20"/>
                <w:szCs w:val="20"/>
                <w:color w:val="auto"/>
              </w:rPr>
            </w:pPr>
            <w:r>
              <w:rPr>
                <w:rFonts w:ascii="Arial" w:cs="Arial" w:eastAsia="Arial" w:hAnsi="Arial"/>
                <w:sz w:val="14"/>
                <w:szCs w:val="14"/>
                <w:b w:val="1"/>
                <w:bCs w:val="1"/>
                <w:color w:val="auto"/>
              </w:rPr>
              <w:t>All employees (excluding executive officers)</w:t>
            </w:r>
          </w:p>
        </w:tc>
        <w:tc>
          <w:tcPr>
            <w:tcW w:w="1440" w:type="dxa"/>
            <w:vAlign w:val="bottom"/>
          </w:tcPr>
          <w:p>
            <w:pPr>
              <w:ind w:left="520"/>
              <w:spacing w:after="0"/>
              <w:rPr>
                <w:sz w:val="20"/>
                <w:szCs w:val="20"/>
                <w:color w:val="auto"/>
              </w:rPr>
            </w:pPr>
            <w:r>
              <w:rPr>
                <w:rFonts w:ascii="Arial" w:cs="Arial" w:eastAsia="Arial" w:hAnsi="Arial"/>
                <w:sz w:val="14"/>
                <w:szCs w:val="14"/>
                <w:color w:val="auto"/>
              </w:rPr>
              <w:t>7,199,491</w:t>
            </w:r>
          </w:p>
        </w:tc>
        <w:tc>
          <w:tcPr>
            <w:tcW w:w="1580" w:type="dxa"/>
            <w:vAlign w:val="bottom"/>
          </w:tcPr>
          <w:p>
            <w:pPr>
              <w:jc w:val="right"/>
              <w:ind w:right="208"/>
              <w:spacing w:after="0"/>
              <w:rPr>
                <w:sz w:val="20"/>
                <w:szCs w:val="20"/>
                <w:color w:val="auto"/>
              </w:rPr>
            </w:pPr>
            <w:r>
              <w:rPr>
                <w:rFonts w:ascii="Arial" w:cs="Arial" w:eastAsia="Arial" w:hAnsi="Arial"/>
                <w:sz w:val="14"/>
                <w:szCs w:val="14"/>
                <w:color w:val="auto"/>
              </w:rPr>
              <w:t>6.16</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34,114,033</w:t>
            </w:r>
          </w:p>
        </w:tc>
        <w:tc>
          <w:tcPr>
            <w:tcW w:w="1260" w:type="dxa"/>
            <w:vAlign w:val="bottom"/>
          </w:tcPr>
          <w:p>
            <w:pPr>
              <w:jc w:val="right"/>
              <w:ind w:right="149"/>
              <w:spacing w:after="0"/>
              <w:rPr>
                <w:sz w:val="20"/>
                <w:szCs w:val="20"/>
                <w:color w:val="auto"/>
              </w:rPr>
            </w:pPr>
            <w:r>
              <w:rPr>
                <w:rFonts w:ascii="Arial" w:cs="Arial" w:eastAsia="Arial" w:hAnsi="Arial"/>
                <w:sz w:val="14"/>
                <w:szCs w:val="14"/>
                <w:color w:val="auto"/>
              </w:rPr>
              <w:t>39,231,138</w:t>
            </w:r>
          </w:p>
        </w:tc>
        <w:tc>
          <w:tcPr>
            <w:tcW w:w="0" w:type="dxa"/>
            <w:vAlign w:val="bottom"/>
          </w:tcPr>
          <w:p>
            <w:pPr>
              <w:spacing w:after="0"/>
              <w:rPr>
                <w:sz w:val="1"/>
                <w:szCs w:val="1"/>
                <w:color w:val="auto"/>
              </w:rPr>
            </w:pPr>
          </w:p>
        </w:tc>
      </w:tr>
      <w:tr>
        <w:trPr>
          <w:trHeight w:val="69"/>
        </w:trPr>
        <w:tc>
          <w:tcPr>
            <w:tcW w:w="1540" w:type="dxa"/>
            <w:vAlign w:val="bottom"/>
            <w:tcBorders>
              <w:bottom w:val="single" w:sz="8" w:color="24356E"/>
            </w:tcBorders>
          </w:tcPr>
          <w:p>
            <w:pPr>
              <w:spacing w:after="0"/>
              <w:rPr>
                <w:sz w:val="6"/>
                <w:szCs w:val="6"/>
                <w:color w:val="auto"/>
              </w:rPr>
            </w:pPr>
          </w:p>
        </w:tc>
        <w:tc>
          <w:tcPr>
            <w:tcW w:w="2020" w:type="dxa"/>
            <w:vAlign w:val="bottom"/>
            <w:tcBorders>
              <w:bottom w:val="single" w:sz="8" w:color="24356E"/>
            </w:tcBorders>
          </w:tcPr>
          <w:p>
            <w:pPr>
              <w:spacing w:after="0"/>
              <w:rPr>
                <w:sz w:val="6"/>
                <w:szCs w:val="6"/>
                <w:color w:val="auto"/>
              </w:rPr>
            </w:pPr>
          </w:p>
        </w:tc>
        <w:tc>
          <w:tcPr>
            <w:tcW w:w="1440" w:type="dxa"/>
            <w:vAlign w:val="bottom"/>
            <w:tcBorders>
              <w:bottom w:val="single" w:sz="8" w:color="24356E"/>
            </w:tcBorders>
          </w:tcPr>
          <w:p>
            <w:pPr>
              <w:spacing w:after="0"/>
              <w:rPr>
                <w:sz w:val="6"/>
                <w:szCs w:val="6"/>
                <w:color w:val="auto"/>
              </w:rPr>
            </w:pPr>
          </w:p>
        </w:tc>
        <w:tc>
          <w:tcPr>
            <w:tcW w:w="1580" w:type="dxa"/>
            <w:vAlign w:val="bottom"/>
            <w:tcBorders>
              <w:bottom w:val="single" w:sz="8" w:color="24356E"/>
            </w:tcBorders>
          </w:tcPr>
          <w:p>
            <w:pPr>
              <w:spacing w:after="0"/>
              <w:rPr>
                <w:sz w:val="6"/>
                <w:szCs w:val="6"/>
                <w:color w:val="auto"/>
              </w:rPr>
            </w:pPr>
          </w:p>
        </w:tc>
        <w:tc>
          <w:tcPr>
            <w:tcW w:w="1560" w:type="dxa"/>
            <w:vAlign w:val="bottom"/>
            <w:tcBorders>
              <w:bottom w:val="single" w:sz="8" w:color="24356E"/>
            </w:tcBorders>
          </w:tcPr>
          <w:p>
            <w:pPr>
              <w:spacing w:after="0"/>
              <w:rPr>
                <w:sz w:val="6"/>
                <w:szCs w:val="6"/>
                <w:color w:val="auto"/>
              </w:rPr>
            </w:pPr>
          </w:p>
        </w:tc>
        <w:tc>
          <w:tcPr>
            <w:tcW w:w="1260" w:type="dxa"/>
            <w:vAlign w:val="bottom"/>
            <w:tcBorders>
              <w:bottom w:val="single" w:sz="8" w:color="24356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60" w:right="500" w:hanging="354"/>
        <w:spacing w:after="0" w:line="252" w:lineRule="auto"/>
        <w:tabs>
          <w:tab w:leader="none" w:pos="36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Reflects the aggregate fair value of the equity awards computed in accordance with ASC 718, based on the $1.15 closing price per share of our common stock on Nasdaq on April 15, 2025.</w:t>
      </w:r>
    </w:p>
    <w:p>
      <w:pPr>
        <w:spacing w:after="0" w:line="12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333333"/>
        </w:rPr>
        <w:t>The amounts of future grants under the A&amp;R 2011 Plan are not determinable and will be granted at the sole discretion of the Human Capital Committee or other delegated persons. We cannot determine at this time either the persons who will receive such awards under the A&amp;R 2011 Plan or the amount or types of any such awards.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333333"/>
        </w:rPr>
        <w:t>On April 15, 2025, the closing market price per share of our common stock was $1.15, as reported on Nasdaq.</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24356E"/>
        </w:rPr>
        <w:t>Required Vote</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333333"/>
        </w:rPr>
        <w:t>The affirmative “FOR” vote of a majority of the voting power of the shares present or represented by proxy at the Annual Meeting and entitled to vote on the proposal is required to approve the Amendment.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464820</wp:posOffset>
            </wp:positionV>
            <wp:extent cx="265430" cy="685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43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24356E"/>
        </w:rPr>
        <w:t>RECOMMENDATION</w:t>
      </w:r>
    </w:p>
    <w:p>
      <w:pPr>
        <w:spacing w:after="0" w:line="193"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b w:val="1"/>
          <w:bCs w:val="1"/>
          <w:color w:val="auto"/>
        </w:rPr>
        <w:t xml:space="preserve">Our Board unanimously recommends a vote </w:t>
      </w:r>
      <w:r>
        <w:rPr>
          <w:rFonts w:ascii="Arial" w:cs="Arial" w:eastAsia="Arial" w:hAnsi="Arial"/>
          <w:sz w:val="22"/>
          <w:szCs w:val="22"/>
          <w:b w:val="1"/>
          <w:bCs w:val="1"/>
          <w:color w:val="24356E"/>
        </w:rPr>
        <w:t>“FOR”</w:t>
      </w:r>
      <w:r>
        <w:rPr>
          <w:rFonts w:ascii="Arial" w:cs="Arial" w:eastAsia="Arial" w:hAnsi="Arial"/>
          <w:sz w:val="22"/>
          <w:szCs w:val="22"/>
          <w:b w:val="1"/>
          <w:bCs w:val="1"/>
          <w:color w:val="auto"/>
        </w:rPr>
        <w:t xml:space="preserve"> the approval of the Amendment to the 2011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59664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49"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73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Code of Ethics and Conduct</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We are committed to the highest standards of integrity and ethics in the way we conduct our business. We have adopted a code of ethics and conduct that applies to the members of our Board, our officers, and our employees (including our CEO,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333333"/>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monitored by our Audit Committee.</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333333"/>
        </w:rPr>
        <w:t>Our code of ethics and conduct can be found on our website at https://investors.StandardBio.com by clicking on Governance — Governance Overview. When required by SEC or Nasdaq rules, we will disclose any future amendment to, or waiver of, any provision of the code of ethics and conduct for our CEO, Principal Financial Officer, Principal Accounting Officer, or any member of our Board on our website at https://investors.StandardBio.com in the Governance Overview section, within four business days following the date of such amendment or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5"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74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40"/>
          <w:szCs w:val="40"/>
          <w:color w:val="auto"/>
        </w:rPr>
        <w:t>Other Matters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33333"/>
        </w:rPr>
        <w:t>We know of no other matters to be submitted at the Annual Meeting. If any other matters properly come before the Annual Meeting, it is the intention of the persons named in the proxy to vote the shares they represent as the Board may recommend. Discretionary authority with respect to such other matters is granted by a properly submitted proxy.</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333333"/>
        </w:rPr>
        <w:t>It is important that your shares be represented at the Annual Meeting, regardless of the number of shares that you hold. You are, therefore, urged to vote as promptly as possible to ensure your vote is recorded.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The Board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333333"/>
        </w:rPr>
        <w:t>South 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33333"/>
        </w:rPr>
        <w:t>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9664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75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33333"/>
        </w:rPr>
        <w:t>Exhibit 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33333"/>
        </w:rPr>
        <w:t>STANDARD BIOTOOLS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33333"/>
        </w:rPr>
        <w:t>EQUITY INCENTIVE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333333"/>
        </w:rPr>
        <w:t>(as amended and restated effective June 3, 2019, and as further amended effective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333333"/>
        </w:rPr>
        <w:t>June 23, 2020, May 25, 2021, June 14, 2023, January 4, 2024, June 27, 2024 and                , 2025)</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1.   </w:t>
      </w:r>
      <w:r>
        <w:rPr>
          <w:rFonts w:ascii="Arial" w:cs="Arial" w:eastAsia="Arial" w:hAnsi="Arial"/>
          <w:sz w:val="16"/>
          <w:szCs w:val="16"/>
          <w:u w:val="single" w:color="auto"/>
          <w:color w:val="000000"/>
        </w:rPr>
        <w:t>Purposes of the Plan</w:t>
      </w:r>
      <w:r>
        <w:rPr>
          <w:rFonts w:ascii="Arial" w:cs="Arial" w:eastAsia="Arial" w:hAnsi="Arial"/>
          <w:sz w:val="16"/>
          <w:szCs w:val="16"/>
          <w:color w:val="333333"/>
        </w:rPr>
        <w: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The purposes of this Plan are (a) to attract and retain the best available personnel for positions of substantial responsibility,</w:t>
      </w:r>
    </w:p>
    <w:p>
      <w:pPr>
        <w:spacing w:after="0" w:line="21" w:lineRule="exact"/>
        <w:rPr>
          <w:sz w:val="20"/>
          <w:szCs w:val="20"/>
          <w:color w:val="auto"/>
        </w:rPr>
      </w:pPr>
    </w:p>
    <w:p>
      <w:pPr>
        <w:ind w:right="220" w:firstLine="6"/>
        <w:spacing w:after="0" w:line="256" w:lineRule="auto"/>
        <w:tabs>
          <w:tab w:leader="none" w:pos="243" w:val="left"/>
        </w:tabs>
        <w:numPr>
          <w:ilvl w:val="0"/>
          <w:numId w:val="63"/>
        </w:numPr>
        <w:rPr>
          <w:rFonts w:ascii="Arial" w:cs="Arial" w:eastAsia="Arial" w:hAnsi="Arial"/>
          <w:sz w:val="16"/>
          <w:szCs w:val="16"/>
          <w:color w:val="333333"/>
        </w:rPr>
      </w:pPr>
      <w:r>
        <w:rPr>
          <w:rFonts w:ascii="Arial" w:cs="Arial" w:eastAsia="Arial" w:hAnsi="Arial"/>
          <w:sz w:val="16"/>
          <w:szCs w:val="16"/>
          <w:color w:val="333333"/>
        </w:rPr>
        <w:t>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2.   </w:t>
      </w:r>
      <w:r>
        <w:rPr>
          <w:rFonts w:ascii="Arial" w:cs="Arial" w:eastAsia="Arial" w:hAnsi="Arial"/>
          <w:sz w:val="16"/>
          <w:szCs w:val="16"/>
          <w:u w:val="single" w:color="auto"/>
          <w:color w:val="000000"/>
        </w:rPr>
        <w:t>Definitions</w:t>
      </w:r>
      <w:r>
        <w:rPr>
          <w:rFonts w:ascii="Arial" w:cs="Arial" w:eastAsia="Arial" w:hAnsi="Arial"/>
          <w:sz w:val="16"/>
          <w:szCs w:val="16"/>
          <w:color w:val="333333"/>
        </w:rPr>
        <w: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As used herein, the following definitions will apply:</w:t>
      </w:r>
    </w:p>
    <w:p>
      <w:pPr>
        <w:spacing w:after="0" w:line="248" w:lineRule="exact"/>
        <w:rPr>
          <w:sz w:val="20"/>
          <w:szCs w:val="20"/>
          <w:color w:val="auto"/>
        </w:rPr>
      </w:pPr>
    </w:p>
    <w:p>
      <w:pPr>
        <w:ind w:left="360" w:right="80" w:firstLine="360"/>
        <w:spacing w:after="0" w:line="286" w:lineRule="auto"/>
        <w:rPr>
          <w:sz w:val="20"/>
          <w:szCs w:val="20"/>
          <w:color w:val="auto"/>
        </w:rPr>
      </w:pPr>
      <w:r>
        <w:rPr>
          <w:rFonts w:ascii="Arial" w:cs="Arial" w:eastAsia="Arial" w:hAnsi="Arial"/>
          <w:sz w:val="16"/>
          <w:szCs w:val="16"/>
          <w:color w:val="333333"/>
        </w:rPr>
        <w:t>(a)  “</w:t>
      </w:r>
      <w:r>
        <w:rPr>
          <w:rFonts w:ascii="Arial" w:cs="Arial" w:eastAsia="Arial" w:hAnsi="Arial"/>
          <w:sz w:val="16"/>
          <w:szCs w:val="16"/>
          <w:u w:val="single" w:color="auto"/>
          <w:color w:val="000000"/>
        </w:rPr>
        <w:t>Administrator</w:t>
      </w:r>
      <w:r>
        <w:rPr>
          <w:rFonts w:ascii="Arial" w:cs="Arial" w:eastAsia="Arial" w:hAnsi="Arial"/>
          <w:sz w:val="16"/>
          <w:szCs w:val="16"/>
          <w:color w:val="333333"/>
        </w:rPr>
        <w:t>” means the Board or any of its Committees as may administer the Plan in accordance with Section 4 hereof.</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(b)   “</w:t>
      </w:r>
      <w:r>
        <w:rPr>
          <w:rFonts w:ascii="Arial" w:cs="Arial" w:eastAsia="Arial" w:hAnsi="Arial"/>
          <w:sz w:val="16"/>
          <w:szCs w:val="16"/>
          <w:u w:val="single" w:color="auto"/>
          <w:color w:val="000000"/>
        </w:rPr>
        <w:t>Amendment Effective Date</w:t>
      </w:r>
      <w:r>
        <w:rPr>
          <w:rFonts w:ascii="Arial" w:cs="Arial" w:eastAsia="Arial" w:hAnsi="Arial"/>
          <w:sz w:val="16"/>
          <w:szCs w:val="16"/>
          <w:color w:val="333333"/>
        </w:rPr>
        <w:t>” means          , 2025.</w:t>
      </w:r>
    </w:p>
    <w:p>
      <w:pPr>
        <w:spacing w:after="0" w:line="167" w:lineRule="exact"/>
        <w:rPr>
          <w:sz w:val="20"/>
          <w:szCs w:val="20"/>
          <w:color w:val="auto"/>
        </w:rPr>
      </w:pPr>
    </w:p>
    <w:p>
      <w:pPr>
        <w:ind w:left="360" w:right="160" w:firstLine="360"/>
        <w:spacing w:after="0" w:line="259" w:lineRule="auto"/>
        <w:rPr>
          <w:sz w:val="20"/>
          <w:szCs w:val="20"/>
          <w:color w:val="auto"/>
        </w:rPr>
      </w:pPr>
      <w:r>
        <w:rPr>
          <w:rFonts w:ascii="Arial" w:cs="Arial" w:eastAsia="Arial" w:hAnsi="Arial"/>
          <w:sz w:val="16"/>
          <w:szCs w:val="16"/>
          <w:color w:val="333333"/>
        </w:rPr>
        <w:t>(c)  “</w:t>
      </w:r>
      <w:r>
        <w:rPr>
          <w:rFonts w:ascii="Arial" w:cs="Arial" w:eastAsia="Arial" w:hAnsi="Arial"/>
          <w:sz w:val="16"/>
          <w:szCs w:val="16"/>
          <w:u w:val="single" w:color="auto"/>
          <w:color w:val="000000"/>
        </w:rPr>
        <w:t>Applicable Laws</w:t>
      </w:r>
      <w:r>
        <w:rPr>
          <w:rFonts w:ascii="Arial" w:cs="Arial" w:eastAsia="Arial" w:hAnsi="Arial"/>
          <w:sz w:val="16"/>
          <w:szCs w:val="16"/>
          <w:color w:val="333333"/>
        </w:rPr>
        <w:t xml:space="preserve">” means the requirements </w:t>
      </w:r>
      <w:r>
        <w:rPr>
          <w:rFonts w:ascii="Arial" w:cs="Arial" w:eastAsia="Arial" w:hAnsi="Arial"/>
          <w:sz w:val="16"/>
          <w:szCs w:val="16"/>
          <w:u w:val="single" w:color="auto"/>
          <w:color w:val="000000"/>
        </w:rPr>
        <w:t>relating</w:t>
      </w:r>
      <w:r>
        <w:rPr>
          <w:rFonts w:ascii="Arial" w:cs="Arial" w:eastAsia="Arial" w:hAnsi="Arial"/>
          <w:sz w:val="16"/>
          <w:szCs w:val="16"/>
          <w:color w:val="333333"/>
        </w:rPr>
        <w:t xml:space="preserve">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24" w:lineRule="exact"/>
        <w:rPr>
          <w:sz w:val="20"/>
          <w:szCs w:val="20"/>
          <w:color w:val="auto"/>
        </w:rPr>
      </w:pPr>
    </w:p>
    <w:p>
      <w:pPr>
        <w:ind w:left="360" w:right="100" w:firstLine="360"/>
        <w:spacing w:after="0" w:line="286" w:lineRule="auto"/>
        <w:rPr>
          <w:sz w:val="20"/>
          <w:szCs w:val="20"/>
          <w:color w:val="auto"/>
        </w:rPr>
      </w:pPr>
      <w:r>
        <w:rPr>
          <w:rFonts w:ascii="Arial" w:cs="Arial" w:eastAsia="Arial" w:hAnsi="Arial"/>
          <w:sz w:val="16"/>
          <w:szCs w:val="16"/>
          <w:color w:val="333333"/>
        </w:rPr>
        <w:t>(d)  “</w:t>
      </w:r>
      <w:r>
        <w:rPr>
          <w:rFonts w:ascii="Arial" w:cs="Arial" w:eastAsia="Arial" w:hAnsi="Arial"/>
          <w:sz w:val="16"/>
          <w:szCs w:val="16"/>
          <w:u w:val="single" w:color="auto"/>
          <w:color w:val="000000"/>
        </w:rPr>
        <w:t>Award</w:t>
      </w:r>
      <w:r>
        <w:rPr>
          <w:rFonts w:ascii="Arial" w:cs="Arial" w:eastAsia="Arial" w:hAnsi="Arial"/>
          <w:sz w:val="16"/>
          <w:szCs w:val="16"/>
          <w:color w:val="333333"/>
        </w:rPr>
        <w:t>” means, individually or collectively, a grant under the Plan of Options, Stock Appreciation Rights, Restricted Stock, Restricted Stock Units, Performance Units or Performance Shares.</w:t>
      </w:r>
    </w:p>
    <w:p>
      <w:pPr>
        <w:spacing w:after="0" w:line="102" w:lineRule="exact"/>
        <w:rPr>
          <w:sz w:val="20"/>
          <w:szCs w:val="20"/>
          <w:color w:val="auto"/>
        </w:rPr>
      </w:pPr>
    </w:p>
    <w:p>
      <w:pPr>
        <w:ind w:left="360" w:right="180" w:firstLine="360"/>
        <w:spacing w:after="0" w:line="286" w:lineRule="auto"/>
        <w:rPr>
          <w:sz w:val="20"/>
          <w:szCs w:val="20"/>
          <w:color w:val="auto"/>
        </w:rPr>
      </w:pPr>
      <w:r>
        <w:rPr>
          <w:rFonts w:ascii="Arial" w:cs="Arial" w:eastAsia="Arial" w:hAnsi="Arial"/>
          <w:sz w:val="16"/>
          <w:szCs w:val="16"/>
          <w:color w:val="333333"/>
        </w:rPr>
        <w:t>(e)  “</w:t>
      </w:r>
      <w:r>
        <w:rPr>
          <w:rFonts w:ascii="Arial" w:cs="Arial" w:eastAsia="Arial" w:hAnsi="Arial"/>
          <w:sz w:val="16"/>
          <w:szCs w:val="16"/>
          <w:u w:val="single" w:color="auto"/>
          <w:color w:val="000000"/>
        </w:rPr>
        <w:t>Award Agreement</w:t>
      </w:r>
      <w:r>
        <w:rPr>
          <w:rFonts w:ascii="Arial" w:cs="Arial" w:eastAsia="Arial" w:hAnsi="Arial"/>
          <w:sz w:val="16"/>
          <w:szCs w:val="16"/>
          <w:color w:val="333333"/>
        </w:rPr>
        <w:t>” means the written or electronic agreement setting forth the terms and provisions applicable to each Award granted under the Plan. The Award Agreement is subject to the terms and conditions of the Plan.</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(f)   “</w:t>
      </w:r>
      <w:r>
        <w:rPr>
          <w:rFonts w:ascii="Arial" w:cs="Arial" w:eastAsia="Arial" w:hAnsi="Arial"/>
          <w:sz w:val="16"/>
          <w:szCs w:val="16"/>
          <w:u w:val="single" w:color="auto"/>
          <w:color w:val="000000"/>
        </w:rPr>
        <w:t>Board</w:t>
      </w:r>
      <w:r>
        <w:rPr>
          <w:rFonts w:ascii="Arial" w:cs="Arial" w:eastAsia="Arial" w:hAnsi="Arial"/>
          <w:sz w:val="16"/>
          <w:szCs w:val="16"/>
          <w:color w:val="333333"/>
        </w:rPr>
        <w:t>” means the Board of Directors of the Company.</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(g)   “</w:t>
      </w:r>
      <w:r>
        <w:rPr>
          <w:rFonts w:ascii="Arial" w:cs="Arial" w:eastAsia="Arial" w:hAnsi="Arial"/>
          <w:sz w:val="16"/>
          <w:szCs w:val="16"/>
          <w:u w:val="single" w:color="auto"/>
          <w:color w:val="000000"/>
        </w:rPr>
        <w:t>Change in Control</w:t>
      </w:r>
      <w:r>
        <w:rPr>
          <w:rFonts w:ascii="Arial" w:cs="Arial" w:eastAsia="Arial" w:hAnsi="Arial"/>
          <w:sz w:val="16"/>
          <w:szCs w:val="16"/>
          <w:color w:val="333333"/>
        </w:rPr>
        <w:t>” means the occurrence of any of the following events:</w:t>
      </w:r>
    </w:p>
    <w:p>
      <w:pPr>
        <w:spacing w:after="0" w:line="167" w:lineRule="exact"/>
        <w:rPr>
          <w:sz w:val="20"/>
          <w:szCs w:val="20"/>
          <w:color w:val="auto"/>
        </w:rPr>
      </w:pPr>
    </w:p>
    <w:p>
      <w:pPr>
        <w:ind w:left="720" w:right="200" w:firstLine="360"/>
        <w:spacing w:after="0" w:line="256" w:lineRule="auto"/>
        <w:rPr>
          <w:sz w:val="20"/>
          <w:szCs w:val="20"/>
          <w:color w:val="auto"/>
        </w:rPr>
      </w:pPr>
      <w:r>
        <w:rPr>
          <w:rFonts w:ascii="Arial" w:cs="Arial" w:eastAsia="Arial" w:hAnsi="Arial"/>
          <w:sz w:val="16"/>
          <w:szCs w:val="16"/>
          <w:color w:val="333333"/>
        </w:rPr>
        <w:t>(i)  A change in the ownership of the Company which occurs on the date that any one person, or more than one person acting as a group (“</w:t>
      </w:r>
      <w:r>
        <w:rPr>
          <w:rFonts w:ascii="Arial" w:cs="Arial" w:eastAsia="Arial" w:hAnsi="Arial"/>
          <w:sz w:val="16"/>
          <w:szCs w:val="16"/>
          <w:u w:val="single" w:color="auto"/>
          <w:color w:val="000000"/>
        </w:rPr>
        <w:t>Person</w:t>
      </w:r>
      <w:r>
        <w:rPr>
          <w:rFonts w:ascii="Arial" w:cs="Arial" w:eastAsia="Arial" w:hAnsi="Arial"/>
          <w:sz w:val="16"/>
          <w:szCs w:val="16"/>
          <w:color w:val="333333"/>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26" w:lineRule="exact"/>
        <w:rPr>
          <w:sz w:val="20"/>
          <w:szCs w:val="20"/>
          <w:color w:val="auto"/>
        </w:rPr>
      </w:pPr>
    </w:p>
    <w:p>
      <w:pPr>
        <w:ind w:left="720" w:right="120" w:firstLine="360"/>
        <w:spacing w:after="0" w:line="256" w:lineRule="auto"/>
        <w:rPr>
          <w:sz w:val="20"/>
          <w:szCs w:val="20"/>
          <w:color w:val="auto"/>
        </w:rPr>
      </w:pPr>
      <w:r>
        <w:rPr>
          <w:rFonts w:ascii="Arial" w:cs="Arial" w:eastAsia="Arial" w:hAnsi="Arial"/>
          <w:sz w:val="16"/>
          <w:szCs w:val="16"/>
          <w:color w:val="333333"/>
        </w:rPr>
        <w:t>(ii)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85"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firstLine="360"/>
        <w:spacing w:after="0" w:line="249" w:lineRule="auto"/>
        <w:rPr>
          <w:sz w:val="20"/>
          <w:szCs w:val="20"/>
          <w:color w:val="auto"/>
        </w:rPr>
      </w:pPr>
      <w:r>
        <w:rPr>
          <w:rFonts w:ascii="Arial" w:cs="Arial" w:eastAsia="Arial" w:hAnsi="Arial"/>
          <w:sz w:val="16"/>
          <w:szCs w:val="16"/>
          <w:color w:val="333333"/>
        </w:rPr>
        <w:t>(iii)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36" w:lineRule="exact"/>
        <w:rPr>
          <w:sz w:val="20"/>
          <w:szCs w:val="20"/>
          <w:color w:val="auto"/>
        </w:rPr>
      </w:pPr>
    </w:p>
    <w:p>
      <w:pPr>
        <w:ind w:right="400" w:firstLine="360"/>
        <w:spacing w:after="0" w:line="286" w:lineRule="auto"/>
        <w:rPr>
          <w:sz w:val="20"/>
          <w:szCs w:val="20"/>
          <w:color w:val="auto"/>
        </w:rPr>
      </w:pPr>
      <w:r>
        <w:rPr>
          <w:rFonts w:ascii="Arial" w:cs="Arial" w:eastAsia="Arial" w:hAnsi="Arial"/>
          <w:sz w:val="16"/>
          <w:szCs w:val="16"/>
          <w:color w:val="333333"/>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02"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333333"/>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24" w:lineRule="exact"/>
        <w:rPr>
          <w:sz w:val="20"/>
          <w:szCs w:val="20"/>
          <w:color w:val="auto"/>
        </w:rPr>
      </w:pPr>
    </w:p>
    <w:p>
      <w:pPr>
        <w:ind w:right="40" w:firstLine="360"/>
        <w:spacing w:after="0" w:line="266" w:lineRule="auto"/>
        <w:rPr>
          <w:sz w:val="20"/>
          <w:szCs w:val="20"/>
          <w:color w:val="auto"/>
        </w:rPr>
      </w:pPr>
      <w:r>
        <w:rPr>
          <w:rFonts w:ascii="Arial" w:cs="Arial" w:eastAsia="Arial" w:hAnsi="Arial"/>
          <w:sz w:val="16"/>
          <w:szCs w:val="16"/>
          <w:color w:val="333333"/>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17" w:lineRule="exact"/>
        <w:rPr>
          <w:sz w:val="20"/>
          <w:szCs w:val="20"/>
          <w:color w:val="auto"/>
        </w:rPr>
      </w:pPr>
    </w:p>
    <w:p>
      <w:pPr>
        <w:ind w:left="360" w:right="160" w:firstLine="360"/>
        <w:spacing w:after="0" w:line="259" w:lineRule="auto"/>
        <w:rPr>
          <w:sz w:val="20"/>
          <w:szCs w:val="20"/>
          <w:color w:val="auto"/>
        </w:rPr>
      </w:pPr>
      <w:r>
        <w:rPr>
          <w:rFonts w:ascii="Arial" w:cs="Arial" w:eastAsia="Arial" w:hAnsi="Arial"/>
          <w:sz w:val="16"/>
          <w:szCs w:val="16"/>
          <w:color w:val="333333"/>
        </w:rPr>
        <w:t>(a)  “</w:t>
      </w:r>
      <w:r>
        <w:rPr>
          <w:rFonts w:ascii="Arial" w:cs="Arial" w:eastAsia="Arial" w:hAnsi="Arial"/>
          <w:sz w:val="16"/>
          <w:szCs w:val="16"/>
          <w:u w:val="single" w:color="auto"/>
          <w:color w:val="333333"/>
        </w:rPr>
        <w:t>Code</w:t>
      </w:r>
      <w:r>
        <w:rPr>
          <w:rFonts w:ascii="Arial" w:cs="Arial" w:eastAsia="Arial" w:hAnsi="Arial"/>
          <w:sz w:val="16"/>
          <w:szCs w:val="16"/>
          <w:color w:val="333333"/>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24" w:lineRule="exact"/>
        <w:rPr>
          <w:sz w:val="20"/>
          <w:szCs w:val="20"/>
          <w:color w:val="auto"/>
        </w:rPr>
      </w:pPr>
    </w:p>
    <w:p>
      <w:pPr>
        <w:ind w:left="360" w:right="320" w:firstLine="360"/>
        <w:spacing w:after="0" w:line="286" w:lineRule="auto"/>
        <w:rPr>
          <w:sz w:val="20"/>
          <w:szCs w:val="20"/>
          <w:color w:val="auto"/>
        </w:rPr>
      </w:pPr>
      <w:r>
        <w:rPr>
          <w:rFonts w:ascii="Arial" w:cs="Arial" w:eastAsia="Arial" w:hAnsi="Arial"/>
          <w:sz w:val="16"/>
          <w:szCs w:val="16"/>
          <w:color w:val="333333"/>
        </w:rPr>
        <w:t>(b)  “</w:t>
      </w:r>
      <w:r>
        <w:rPr>
          <w:rFonts w:ascii="Arial" w:cs="Arial" w:eastAsia="Arial" w:hAnsi="Arial"/>
          <w:sz w:val="16"/>
          <w:szCs w:val="16"/>
          <w:u w:val="single" w:color="auto"/>
          <w:color w:val="333333"/>
        </w:rPr>
        <w:t>Committee</w:t>
      </w:r>
      <w:r>
        <w:rPr>
          <w:rFonts w:ascii="Arial" w:cs="Arial" w:eastAsia="Arial" w:hAnsi="Arial"/>
          <w:sz w:val="16"/>
          <w:szCs w:val="16"/>
          <w:color w:val="333333"/>
        </w:rPr>
        <w:t>” means a committee of Directors or of other individuals satisfying Applicable Laws appointed by the Board in accordance with Section 4 hereof.</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(c)   “</w:t>
      </w:r>
      <w:r>
        <w:rPr>
          <w:rFonts w:ascii="Arial" w:cs="Arial" w:eastAsia="Arial" w:hAnsi="Arial"/>
          <w:sz w:val="16"/>
          <w:szCs w:val="16"/>
          <w:u w:val="single" w:color="auto"/>
          <w:color w:val="333333"/>
        </w:rPr>
        <w:t>Common Stock</w:t>
      </w:r>
      <w:r>
        <w:rPr>
          <w:rFonts w:ascii="Arial" w:cs="Arial" w:eastAsia="Arial" w:hAnsi="Arial"/>
          <w:sz w:val="16"/>
          <w:szCs w:val="16"/>
          <w:color w:val="333333"/>
        </w:rPr>
        <w:t>” means the common stock of the Company.</w:t>
      </w:r>
    </w:p>
    <w:p>
      <w:pPr>
        <w:spacing w:after="0" w:line="248" w:lineRule="exact"/>
        <w:rPr>
          <w:sz w:val="20"/>
          <w:szCs w:val="20"/>
          <w:color w:val="auto"/>
        </w:rPr>
      </w:pPr>
    </w:p>
    <w:p>
      <w:pPr>
        <w:ind w:left="360" w:right="320" w:firstLine="360"/>
        <w:spacing w:after="0" w:line="286" w:lineRule="auto"/>
        <w:rPr>
          <w:sz w:val="20"/>
          <w:szCs w:val="20"/>
          <w:color w:val="auto"/>
        </w:rPr>
      </w:pPr>
      <w:r>
        <w:rPr>
          <w:rFonts w:ascii="Arial" w:cs="Arial" w:eastAsia="Arial" w:hAnsi="Arial"/>
          <w:sz w:val="16"/>
          <w:szCs w:val="16"/>
          <w:color w:val="333333"/>
        </w:rPr>
        <w:t>(d)  “</w:t>
      </w:r>
      <w:r>
        <w:rPr>
          <w:rFonts w:ascii="Arial" w:cs="Arial" w:eastAsia="Arial" w:hAnsi="Arial"/>
          <w:sz w:val="16"/>
          <w:szCs w:val="16"/>
          <w:u w:val="single" w:color="auto"/>
          <w:color w:val="333333"/>
        </w:rPr>
        <w:t>Company</w:t>
      </w:r>
      <w:r>
        <w:rPr>
          <w:rFonts w:ascii="Arial" w:cs="Arial" w:eastAsia="Arial" w:hAnsi="Arial"/>
          <w:sz w:val="16"/>
          <w:szCs w:val="16"/>
          <w:color w:val="333333"/>
        </w:rPr>
        <w:t>” means Standard BioTools Inc. (fka Fluidigm Corporation), a Delaware corporation, or any successor thereto.</w:t>
      </w:r>
    </w:p>
    <w:p>
      <w:pPr>
        <w:spacing w:after="0" w:line="102" w:lineRule="exact"/>
        <w:rPr>
          <w:sz w:val="20"/>
          <w:szCs w:val="20"/>
          <w:color w:val="auto"/>
        </w:rPr>
      </w:pPr>
    </w:p>
    <w:p>
      <w:pPr>
        <w:ind w:left="360" w:right="60" w:firstLine="360"/>
        <w:spacing w:after="0" w:line="286" w:lineRule="auto"/>
        <w:rPr>
          <w:sz w:val="20"/>
          <w:szCs w:val="20"/>
          <w:color w:val="auto"/>
        </w:rPr>
      </w:pPr>
      <w:r>
        <w:rPr>
          <w:rFonts w:ascii="Arial" w:cs="Arial" w:eastAsia="Arial" w:hAnsi="Arial"/>
          <w:sz w:val="16"/>
          <w:szCs w:val="16"/>
          <w:color w:val="333333"/>
        </w:rPr>
        <w:t>(e)  “</w:t>
      </w:r>
      <w:r>
        <w:rPr>
          <w:rFonts w:ascii="Arial" w:cs="Arial" w:eastAsia="Arial" w:hAnsi="Arial"/>
          <w:sz w:val="16"/>
          <w:szCs w:val="16"/>
          <w:u w:val="single" w:color="auto"/>
          <w:color w:val="333333"/>
        </w:rPr>
        <w:t>Consultant</w:t>
      </w:r>
      <w:r>
        <w:rPr>
          <w:rFonts w:ascii="Arial" w:cs="Arial" w:eastAsia="Arial" w:hAnsi="Arial"/>
          <w:sz w:val="16"/>
          <w:szCs w:val="16"/>
          <w:color w:val="333333"/>
        </w:rPr>
        <w:t>” means any person, including an advisor, engaged by the Company or a Parent or Subsidiary to render services to such entity.</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(f)   “</w:t>
      </w:r>
      <w:r>
        <w:rPr>
          <w:rFonts w:ascii="Arial" w:cs="Arial" w:eastAsia="Arial" w:hAnsi="Arial"/>
          <w:sz w:val="16"/>
          <w:szCs w:val="16"/>
          <w:u w:val="single" w:color="auto"/>
          <w:color w:val="333333"/>
        </w:rPr>
        <w:t>Director</w:t>
      </w:r>
      <w:r>
        <w:rPr>
          <w:rFonts w:ascii="Arial" w:cs="Arial" w:eastAsia="Arial" w:hAnsi="Arial"/>
          <w:sz w:val="16"/>
          <w:szCs w:val="16"/>
          <w:color w:val="333333"/>
        </w:rPr>
        <w:t>” means a member of the Board.</w:t>
      </w:r>
    </w:p>
    <w:p>
      <w:pPr>
        <w:spacing w:after="0" w:line="167" w:lineRule="exact"/>
        <w:rPr>
          <w:sz w:val="20"/>
          <w:szCs w:val="20"/>
          <w:color w:val="auto"/>
        </w:rPr>
      </w:pPr>
    </w:p>
    <w:p>
      <w:pPr>
        <w:ind w:left="360" w:right="40" w:firstLine="360"/>
        <w:spacing w:after="0" w:line="262" w:lineRule="auto"/>
        <w:rPr>
          <w:sz w:val="20"/>
          <w:szCs w:val="20"/>
          <w:color w:val="auto"/>
        </w:rPr>
      </w:pPr>
      <w:r>
        <w:rPr>
          <w:rFonts w:ascii="Arial" w:cs="Arial" w:eastAsia="Arial" w:hAnsi="Arial"/>
          <w:sz w:val="16"/>
          <w:szCs w:val="16"/>
          <w:color w:val="333333"/>
        </w:rPr>
        <w:t>(g)  “</w:t>
      </w:r>
      <w:r>
        <w:rPr>
          <w:rFonts w:ascii="Arial" w:cs="Arial" w:eastAsia="Arial" w:hAnsi="Arial"/>
          <w:sz w:val="16"/>
          <w:szCs w:val="16"/>
          <w:u w:val="single" w:color="auto"/>
          <w:color w:val="333333"/>
        </w:rPr>
        <w:t>Disability</w:t>
      </w:r>
      <w:r>
        <w:rPr>
          <w:rFonts w:ascii="Arial" w:cs="Arial" w:eastAsia="Arial" w:hAnsi="Arial"/>
          <w:sz w:val="16"/>
          <w:szCs w:val="16"/>
          <w:color w:val="333333"/>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315" w:lineRule="exact"/>
        <w:rPr>
          <w:sz w:val="20"/>
          <w:szCs w:val="20"/>
          <w:color w:val="auto"/>
        </w:rPr>
      </w:pPr>
    </w:p>
    <w:p>
      <w:pPr>
        <w:ind w:left="360" w:right="140" w:firstLine="360"/>
        <w:spacing w:after="0" w:line="266" w:lineRule="auto"/>
        <w:rPr>
          <w:sz w:val="20"/>
          <w:szCs w:val="20"/>
          <w:color w:val="auto"/>
        </w:rPr>
      </w:pPr>
      <w:r>
        <w:rPr>
          <w:rFonts w:ascii="Arial" w:cs="Arial" w:eastAsia="Arial" w:hAnsi="Arial"/>
          <w:sz w:val="16"/>
          <w:szCs w:val="16"/>
          <w:color w:val="333333"/>
        </w:rPr>
        <w:t>(h)  “</w:t>
      </w:r>
      <w:r>
        <w:rPr>
          <w:rFonts w:ascii="Arial" w:cs="Arial" w:eastAsia="Arial" w:hAnsi="Arial"/>
          <w:sz w:val="16"/>
          <w:szCs w:val="16"/>
          <w:u w:val="single" w:color="auto"/>
          <w:color w:val="333333"/>
        </w:rPr>
        <w:t>Employee</w:t>
      </w:r>
      <w:r>
        <w:rPr>
          <w:rFonts w:ascii="Arial" w:cs="Arial" w:eastAsia="Arial" w:hAnsi="Arial"/>
          <w:sz w:val="16"/>
          <w:szCs w:val="16"/>
          <w:color w:val="333333"/>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(i)   “</w:t>
      </w:r>
      <w:r>
        <w:rPr>
          <w:rFonts w:ascii="Arial" w:cs="Arial" w:eastAsia="Arial" w:hAnsi="Arial"/>
          <w:sz w:val="16"/>
          <w:szCs w:val="16"/>
          <w:u w:val="single" w:color="auto"/>
          <w:color w:val="333333"/>
        </w:rPr>
        <w:t>Exchange Act</w:t>
      </w:r>
      <w:r>
        <w:rPr>
          <w:rFonts w:ascii="Arial" w:cs="Arial" w:eastAsia="Arial" w:hAnsi="Arial"/>
          <w:sz w:val="16"/>
          <w:szCs w:val="16"/>
          <w:color w:val="333333"/>
        </w:rPr>
        <w:t>” means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360" w:firstLine="360"/>
        <w:spacing w:after="0" w:line="254" w:lineRule="auto"/>
        <w:rPr>
          <w:sz w:val="20"/>
          <w:szCs w:val="20"/>
          <w:color w:val="auto"/>
        </w:rPr>
      </w:pPr>
      <w:r>
        <w:rPr>
          <w:rFonts w:ascii="Arial" w:cs="Arial" w:eastAsia="Arial" w:hAnsi="Arial"/>
          <w:sz w:val="16"/>
          <w:szCs w:val="16"/>
          <w:color w:val="333333"/>
        </w:rPr>
        <w:t>(j)  “</w:t>
      </w:r>
      <w:r>
        <w:rPr>
          <w:rFonts w:ascii="Arial" w:cs="Arial" w:eastAsia="Arial" w:hAnsi="Arial"/>
          <w:sz w:val="16"/>
          <w:szCs w:val="16"/>
          <w:u w:val="single" w:color="auto"/>
          <w:color w:val="333333"/>
        </w:rPr>
        <w:t>Exchange Program</w:t>
      </w:r>
      <w:r>
        <w:rPr>
          <w:rFonts w:ascii="Arial" w:cs="Arial" w:eastAsia="Arial" w:hAnsi="Arial"/>
          <w:sz w:val="16"/>
          <w:szCs w:val="16"/>
          <w:color w:val="333333"/>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(k)   “</w:t>
      </w:r>
      <w:r>
        <w:rPr>
          <w:rFonts w:ascii="Arial" w:cs="Arial" w:eastAsia="Arial" w:hAnsi="Arial"/>
          <w:sz w:val="16"/>
          <w:szCs w:val="16"/>
          <w:u w:val="single" w:color="auto"/>
          <w:color w:val="333333"/>
        </w:rPr>
        <w:t>Fair Market Value</w:t>
      </w:r>
      <w:r>
        <w:rPr>
          <w:rFonts w:ascii="Arial" w:cs="Arial" w:eastAsia="Arial" w:hAnsi="Arial"/>
          <w:sz w:val="16"/>
          <w:szCs w:val="16"/>
          <w:color w:val="333333"/>
        </w:rPr>
        <w:t>” means, as of any date, the value of Common Stock determined as follows:</w:t>
      </w:r>
    </w:p>
    <w:p>
      <w:pPr>
        <w:spacing w:after="0" w:line="167" w:lineRule="exact"/>
        <w:rPr>
          <w:sz w:val="20"/>
          <w:szCs w:val="20"/>
          <w:color w:val="auto"/>
        </w:rPr>
      </w:pPr>
    </w:p>
    <w:p>
      <w:pPr>
        <w:ind w:left="720" w:firstLine="360"/>
        <w:spacing w:after="0" w:line="254" w:lineRule="auto"/>
        <w:rPr>
          <w:sz w:val="20"/>
          <w:szCs w:val="20"/>
          <w:color w:val="auto"/>
        </w:rPr>
      </w:pPr>
      <w:r>
        <w:rPr>
          <w:rFonts w:ascii="Arial" w:cs="Arial" w:eastAsia="Arial" w:hAnsi="Arial"/>
          <w:sz w:val="16"/>
          <w:szCs w:val="16"/>
          <w:color w:val="333333"/>
        </w:rPr>
        <w:t>(i)  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 If there are no trades on such date, the closing price on the latest preceding business day upon which trades occurred shall be the Fair Market Value.</w:t>
      </w:r>
    </w:p>
    <w:p>
      <w:pPr>
        <w:spacing w:after="0" w:line="128" w:lineRule="exact"/>
        <w:rPr>
          <w:sz w:val="20"/>
          <w:szCs w:val="20"/>
          <w:color w:val="auto"/>
        </w:rPr>
      </w:pPr>
    </w:p>
    <w:p>
      <w:pPr>
        <w:ind w:left="720" w:right="140" w:firstLine="360"/>
        <w:spacing w:after="0" w:line="259" w:lineRule="auto"/>
        <w:rPr>
          <w:sz w:val="20"/>
          <w:szCs w:val="20"/>
          <w:color w:val="auto"/>
        </w:rPr>
      </w:pPr>
      <w:r>
        <w:rPr>
          <w:rFonts w:ascii="Arial" w:cs="Arial" w:eastAsia="Arial" w:hAnsi="Arial"/>
          <w:sz w:val="16"/>
          <w:szCs w:val="16"/>
          <w:color w:val="333333"/>
        </w:rPr>
        <w:t>(ii)  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w:t>
      </w:r>
    </w:p>
    <w:p>
      <w:pPr>
        <w:spacing w:after="0" w:line="124" w:lineRule="exact"/>
        <w:rPr>
          <w:sz w:val="20"/>
          <w:szCs w:val="20"/>
          <w:color w:val="auto"/>
        </w:rPr>
      </w:pPr>
    </w:p>
    <w:p>
      <w:pPr>
        <w:ind w:left="720" w:right="240" w:firstLine="360"/>
        <w:spacing w:after="0" w:line="286" w:lineRule="auto"/>
        <w:rPr>
          <w:sz w:val="20"/>
          <w:szCs w:val="20"/>
          <w:color w:val="auto"/>
        </w:rPr>
      </w:pPr>
      <w:r>
        <w:rPr>
          <w:rFonts w:ascii="Arial" w:cs="Arial" w:eastAsia="Arial" w:hAnsi="Arial"/>
          <w:sz w:val="16"/>
          <w:szCs w:val="16"/>
          <w:color w:val="333333"/>
        </w:rPr>
        <w:t>(iii)  In the absence of an established market for the Common Stock, the Fair Market Value will be determined in good faith by the Administrator.</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(l)   “</w:t>
      </w:r>
      <w:r>
        <w:rPr>
          <w:rFonts w:ascii="Arial" w:cs="Arial" w:eastAsia="Arial" w:hAnsi="Arial"/>
          <w:sz w:val="16"/>
          <w:szCs w:val="16"/>
          <w:u w:val="single" w:color="auto"/>
          <w:color w:val="333333"/>
        </w:rPr>
        <w:t>Fiscal Year</w:t>
      </w:r>
      <w:r>
        <w:rPr>
          <w:rFonts w:ascii="Arial" w:cs="Arial" w:eastAsia="Arial" w:hAnsi="Arial"/>
          <w:sz w:val="16"/>
          <w:szCs w:val="16"/>
          <w:color w:val="333333"/>
        </w:rPr>
        <w:t>” means the fiscal year of the Company.</w:t>
      </w:r>
    </w:p>
    <w:p>
      <w:pPr>
        <w:spacing w:after="0" w:line="167" w:lineRule="exact"/>
        <w:rPr>
          <w:sz w:val="20"/>
          <w:szCs w:val="20"/>
          <w:color w:val="auto"/>
        </w:rPr>
      </w:pPr>
    </w:p>
    <w:p>
      <w:pPr>
        <w:ind w:left="360" w:right="280" w:firstLine="360"/>
        <w:spacing w:after="0" w:line="286" w:lineRule="auto"/>
        <w:rPr>
          <w:sz w:val="20"/>
          <w:szCs w:val="20"/>
          <w:color w:val="auto"/>
        </w:rPr>
      </w:pPr>
      <w:r>
        <w:rPr>
          <w:rFonts w:ascii="Arial" w:cs="Arial" w:eastAsia="Arial" w:hAnsi="Arial"/>
          <w:sz w:val="16"/>
          <w:szCs w:val="16"/>
          <w:color w:val="333333"/>
        </w:rPr>
        <w:t>(m)  “</w:t>
      </w:r>
      <w:r>
        <w:rPr>
          <w:rFonts w:ascii="Arial" w:cs="Arial" w:eastAsia="Arial" w:hAnsi="Arial"/>
          <w:sz w:val="16"/>
          <w:szCs w:val="16"/>
          <w:u w:val="single" w:color="auto"/>
          <w:color w:val="333333"/>
        </w:rPr>
        <w:t>Incentive Stock Option</w:t>
      </w:r>
      <w:r>
        <w:rPr>
          <w:rFonts w:ascii="Arial" w:cs="Arial" w:eastAsia="Arial" w:hAnsi="Arial"/>
          <w:sz w:val="16"/>
          <w:szCs w:val="16"/>
          <w:color w:val="333333"/>
        </w:rPr>
        <w:t>” means an Option intended to qualify as an incentive stock option within the meaning of Section 422 of the Code and the regulations promulgated thereunder.</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(n)   “</w:t>
      </w:r>
      <w:r>
        <w:rPr>
          <w:rFonts w:ascii="Arial" w:cs="Arial" w:eastAsia="Arial" w:hAnsi="Arial"/>
          <w:sz w:val="16"/>
          <w:szCs w:val="16"/>
          <w:u w:val="single" w:color="auto"/>
          <w:color w:val="333333"/>
        </w:rPr>
        <w:t>Inside Director</w:t>
      </w:r>
      <w:r>
        <w:rPr>
          <w:rFonts w:ascii="Arial" w:cs="Arial" w:eastAsia="Arial" w:hAnsi="Arial"/>
          <w:sz w:val="16"/>
          <w:szCs w:val="16"/>
          <w:color w:val="333333"/>
        </w:rPr>
        <w:t>” means a Director who is an Employee.</w:t>
      </w:r>
    </w:p>
    <w:p>
      <w:pPr>
        <w:spacing w:after="0" w:line="167" w:lineRule="exact"/>
        <w:rPr>
          <w:sz w:val="20"/>
          <w:szCs w:val="20"/>
          <w:color w:val="auto"/>
        </w:rPr>
      </w:pPr>
    </w:p>
    <w:p>
      <w:pPr>
        <w:ind w:left="360" w:right="220" w:firstLine="360"/>
        <w:spacing w:after="0" w:line="286" w:lineRule="auto"/>
        <w:rPr>
          <w:sz w:val="20"/>
          <w:szCs w:val="20"/>
          <w:color w:val="auto"/>
        </w:rPr>
      </w:pPr>
      <w:r>
        <w:rPr>
          <w:rFonts w:ascii="Arial" w:cs="Arial" w:eastAsia="Arial" w:hAnsi="Arial"/>
          <w:sz w:val="16"/>
          <w:szCs w:val="16"/>
          <w:color w:val="333333"/>
        </w:rPr>
        <w:t>(o)  “</w:t>
      </w:r>
      <w:r>
        <w:rPr>
          <w:rFonts w:ascii="Arial" w:cs="Arial" w:eastAsia="Arial" w:hAnsi="Arial"/>
          <w:sz w:val="16"/>
          <w:szCs w:val="16"/>
          <w:u w:val="single" w:color="auto"/>
          <w:color w:val="333333"/>
        </w:rPr>
        <w:t>Nonstatutory Stock Option</w:t>
      </w:r>
      <w:r>
        <w:rPr>
          <w:rFonts w:ascii="Arial" w:cs="Arial" w:eastAsia="Arial" w:hAnsi="Arial"/>
          <w:sz w:val="16"/>
          <w:szCs w:val="16"/>
          <w:color w:val="333333"/>
        </w:rPr>
        <w:t>” means an Option that by its terms does not qualify or is not intended to qualify as an Incentive Stock Option.</w:t>
      </w:r>
    </w:p>
    <w:p>
      <w:pPr>
        <w:spacing w:after="0" w:line="102" w:lineRule="exact"/>
        <w:rPr>
          <w:sz w:val="20"/>
          <w:szCs w:val="20"/>
          <w:color w:val="auto"/>
        </w:rPr>
      </w:pPr>
    </w:p>
    <w:p>
      <w:pPr>
        <w:ind w:left="360" w:right="220" w:firstLine="360"/>
        <w:spacing w:after="0" w:line="286" w:lineRule="auto"/>
        <w:rPr>
          <w:sz w:val="20"/>
          <w:szCs w:val="20"/>
          <w:color w:val="auto"/>
        </w:rPr>
      </w:pPr>
      <w:r>
        <w:rPr>
          <w:rFonts w:ascii="Arial" w:cs="Arial" w:eastAsia="Arial" w:hAnsi="Arial"/>
          <w:sz w:val="16"/>
          <w:szCs w:val="16"/>
          <w:color w:val="333333"/>
        </w:rPr>
        <w:t>(p)  “</w:t>
      </w:r>
      <w:r>
        <w:rPr>
          <w:rFonts w:ascii="Arial" w:cs="Arial" w:eastAsia="Arial" w:hAnsi="Arial"/>
          <w:sz w:val="16"/>
          <w:szCs w:val="16"/>
          <w:u w:val="single" w:color="auto"/>
          <w:color w:val="333333"/>
        </w:rPr>
        <w:t>Officer</w:t>
      </w:r>
      <w:r>
        <w:rPr>
          <w:rFonts w:ascii="Arial" w:cs="Arial" w:eastAsia="Arial" w:hAnsi="Arial"/>
          <w:sz w:val="16"/>
          <w:szCs w:val="16"/>
          <w:color w:val="333333"/>
        </w:rPr>
        <w:t>” means a person who is an officer of the Company within the meaning of Section 16 of the Exchange Act and the rules and regulations promulgated thereunder.</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(q)   “</w:t>
      </w:r>
      <w:r>
        <w:rPr>
          <w:rFonts w:ascii="Arial" w:cs="Arial" w:eastAsia="Arial" w:hAnsi="Arial"/>
          <w:sz w:val="16"/>
          <w:szCs w:val="16"/>
          <w:u w:val="single" w:color="auto"/>
          <w:color w:val="333333"/>
        </w:rPr>
        <w:t>Option</w:t>
      </w:r>
      <w:r>
        <w:rPr>
          <w:rFonts w:ascii="Arial" w:cs="Arial" w:eastAsia="Arial" w:hAnsi="Arial"/>
          <w:sz w:val="16"/>
          <w:szCs w:val="16"/>
          <w:color w:val="333333"/>
        </w:rPr>
        <w:t>” means a stock option granted pursuant to the Plan.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(r)   “</w:t>
      </w:r>
      <w:r>
        <w:rPr>
          <w:rFonts w:ascii="Arial" w:cs="Arial" w:eastAsia="Arial" w:hAnsi="Arial"/>
          <w:sz w:val="16"/>
          <w:szCs w:val="16"/>
          <w:u w:val="single" w:color="auto"/>
          <w:color w:val="333333"/>
        </w:rPr>
        <w:t>Outside Director</w:t>
      </w:r>
      <w:r>
        <w:rPr>
          <w:rFonts w:ascii="Arial" w:cs="Arial" w:eastAsia="Arial" w:hAnsi="Arial"/>
          <w:sz w:val="16"/>
          <w:szCs w:val="16"/>
          <w:color w:val="333333"/>
        </w:rPr>
        <w:t>” means a Director who is not an Employee.</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(s)   “</w:t>
      </w:r>
      <w:r>
        <w:rPr>
          <w:rFonts w:ascii="Arial" w:cs="Arial" w:eastAsia="Arial" w:hAnsi="Arial"/>
          <w:sz w:val="16"/>
          <w:szCs w:val="16"/>
          <w:u w:val="single" w:color="auto"/>
          <w:color w:val="333333"/>
        </w:rPr>
        <w:t>Parent</w:t>
      </w:r>
      <w:r>
        <w:rPr>
          <w:rFonts w:ascii="Arial" w:cs="Arial" w:eastAsia="Arial" w:hAnsi="Arial"/>
          <w:sz w:val="16"/>
          <w:szCs w:val="16"/>
          <w:color w:val="333333"/>
        </w:rPr>
        <w:t>” means a “parent corporation,” whether now or hereafter existing, as defined in Section 424(e) of the Code.</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(t)   “</w:t>
      </w:r>
      <w:r>
        <w:rPr>
          <w:rFonts w:ascii="Arial" w:cs="Arial" w:eastAsia="Arial" w:hAnsi="Arial"/>
          <w:sz w:val="16"/>
          <w:szCs w:val="16"/>
          <w:u w:val="single" w:color="auto"/>
          <w:color w:val="333333"/>
        </w:rPr>
        <w:t>Participant</w:t>
      </w:r>
      <w:r>
        <w:rPr>
          <w:rFonts w:ascii="Arial" w:cs="Arial" w:eastAsia="Arial" w:hAnsi="Arial"/>
          <w:sz w:val="16"/>
          <w:szCs w:val="16"/>
          <w:color w:val="333333"/>
        </w:rPr>
        <w:t>” means the holder of an outstanding Award.</w:t>
      </w:r>
    </w:p>
    <w:p>
      <w:pPr>
        <w:spacing w:after="0" w:line="167" w:lineRule="exact"/>
        <w:rPr>
          <w:sz w:val="20"/>
          <w:szCs w:val="20"/>
          <w:color w:val="auto"/>
        </w:rPr>
      </w:pPr>
    </w:p>
    <w:p>
      <w:pPr>
        <w:ind w:left="360" w:right="500" w:firstLine="360"/>
        <w:spacing w:after="0" w:line="286" w:lineRule="auto"/>
        <w:rPr>
          <w:sz w:val="20"/>
          <w:szCs w:val="20"/>
          <w:color w:val="auto"/>
        </w:rPr>
      </w:pPr>
      <w:r>
        <w:rPr>
          <w:rFonts w:ascii="Arial" w:cs="Arial" w:eastAsia="Arial" w:hAnsi="Arial"/>
          <w:sz w:val="16"/>
          <w:szCs w:val="16"/>
          <w:color w:val="333333"/>
        </w:rPr>
        <w:t>(u)  “</w:t>
      </w:r>
      <w:r>
        <w:rPr>
          <w:rFonts w:ascii="Arial" w:cs="Arial" w:eastAsia="Arial" w:hAnsi="Arial"/>
          <w:sz w:val="16"/>
          <w:szCs w:val="16"/>
          <w:u w:val="single" w:color="auto"/>
          <w:color w:val="333333"/>
        </w:rPr>
        <w:t>Performance Share</w:t>
      </w:r>
      <w:r>
        <w:rPr>
          <w:rFonts w:ascii="Arial" w:cs="Arial" w:eastAsia="Arial" w:hAnsi="Arial"/>
          <w:sz w:val="16"/>
          <w:szCs w:val="16"/>
          <w:color w:val="333333"/>
        </w:rPr>
        <w:t>” means an Award denominated in Shares which may be earned in whole or in part upon attainment of performance goals or other vesting criteria as the Administrator may determine pursuant to Section 10.</w:t>
      </w:r>
    </w:p>
    <w:p>
      <w:pPr>
        <w:spacing w:after="0" w:line="102" w:lineRule="exact"/>
        <w:rPr>
          <w:sz w:val="20"/>
          <w:szCs w:val="20"/>
          <w:color w:val="auto"/>
        </w:rPr>
      </w:pPr>
    </w:p>
    <w:p>
      <w:pPr>
        <w:jc w:val="both"/>
        <w:ind w:left="360" w:firstLine="360"/>
        <w:spacing w:after="0" w:line="266" w:lineRule="auto"/>
        <w:rPr>
          <w:sz w:val="20"/>
          <w:szCs w:val="20"/>
          <w:color w:val="auto"/>
        </w:rPr>
      </w:pPr>
      <w:r>
        <w:rPr>
          <w:rFonts w:ascii="Arial" w:cs="Arial" w:eastAsia="Arial" w:hAnsi="Arial"/>
          <w:sz w:val="16"/>
          <w:szCs w:val="16"/>
          <w:color w:val="333333"/>
        </w:rPr>
        <w:t>(v)  “</w:t>
      </w:r>
      <w:r>
        <w:rPr>
          <w:rFonts w:ascii="Arial" w:cs="Arial" w:eastAsia="Arial" w:hAnsi="Arial"/>
          <w:sz w:val="16"/>
          <w:szCs w:val="16"/>
          <w:u w:val="single" w:color="auto"/>
          <w:color w:val="333333"/>
        </w:rPr>
        <w:t>Performance Unit</w:t>
      </w:r>
      <w:r>
        <w:rPr>
          <w:rFonts w:ascii="Arial" w:cs="Arial" w:eastAsia="Arial" w:hAnsi="Arial"/>
          <w:sz w:val="16"/>
          <w:szCs w:val="16"/>
          <w:color w:val="333333"/>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17" w:lineRule="exact"/>
        <w:rPr>
          <w:sz w:val="20"/>
          <w:szCs w:val="20"/>
          <w:color w:val="auto"/>
        </w:rPr>
      </w:pPr>
    </w:p>
    <w:p>
      <w:pPr>
        <w:jc w:val="both"/>
        <w:ind w:left="360" w:right="340" w:firstLine="360"/>
        <w:spacing w:after="0" w:line="259" w:lineRule="auto"/>
        <w:rPr>
          <w:sz w:val="20"/>
          <w:szCs w:val="20"/>
          <w:color w:val="auto"/>
        </w:rPr>
      </w:pPr>
      <w:r>
        <w:rPr>
          <w:rFonts w:ascii="Arial" w:cs="Arial" w:eastAsia="Arial" w:hAnsi="Arial"/>
          <w:sz w:val="16"/>
          <w:szCs w:val="16"/>
          <w:color w:val="333333"/>
        </w:rPr>
        <w:t>(w)  “</w:t>
      </w:r>
      <w:r>
        <w:rPr>
          <w:rFonts w:ascii="Arial" w:cs="Arial" w:eastAsia="Arial" w:hAnsi="Arial"/>
          <w:sz w:val="16"/>
          <w:szCs w:val="16"/>
          <w:u w:val="single" w:color="auto"/>
          <w:color w:val="333333"/>
        </w:rPr>
        <w:t>Period of Restriction</w:t>
      </w:r>
      <w:r>
        <w:rPr>
          <w:rFonts w:ascii="Arial" w:cs="Arial" w:eastAsia="Arial" w:hAnsi="Arial"/>
          <w:sz w:val="16"/>
          <w:szCs w:val="16"/>
          <w:color w:val="333333"/>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3"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40" w:firstLine="360"/>
        <w:spacing w:after="0" w:line="266" w:lineRule="auto"/>
        <w:rPr>
          <w:sz w:val="20"/>
          <w:szCs w:val="20"/>
          <w:color w:val="auto"/>
        </w:rPr>
      </w:pPr>
      <w:r>
        <w:rPr>
          <w:rFonts w:ascii="Arial" w:cs="Arial" w:eastAsia="Arial" w:hAnsi="Arial"/>
          <w:sz w:val="16"/>
          <w:szCs w:val="16"/>
          <w:color w:val="333333"/>
        </w:rPr>
        <w:t>(x)  “</w:t>
      </w:r>
      <w:r>
        <w:rPr>
          <w:rFonts w:ascii="Arial" w:cs="Arial" w:eastAsia="Arial" w:hAnsi="Arial"/>
          <w:sz w:val="16"/>
          <w:szCs w:val="16"/>
          <w:u w:val="single" w:color="auto"/>
          <w:color w:val="333333"/>
        </w:rPr>
        <w:t>Plan</w:t>
      </w:r>
      <w:r>
        <w:rPr>
          <w:rFonts w:ascii="Arial" w:cs="Arial" w:eastAsia="Arial" w:hAnsi="Arial"/>
          <w:sz w:val="16"/>
          <w:szCs w:val="16"/>
          <w:color w:val="333333"/>
        </w:rPr>
        <w:t>” means this 2011 Equity Incentive Plan, as amended and restated effective June 3, 2019, and as further amended at the 2020 Annual Meeting of Stockholders, the 2021 Annual Meeting of Stockholders, the 2023 Annual Meeting of Stockholders, the Special Meeting of Stockholders and the 2024 Annual Meeting of Stockholders.</w:t>
      </w:r>
    </w:p>
    <w:p>
      <w:pPr>
        <w:spacing w:after="0" w:line="117" w:lineRule="exact"/>
        <w:rPr>
          <w:sz w:val="20"/>
          <w:szCs w:val="20"/>
          <w:color w:val="auto"/>
        </w:rPr>
      </w:pPr>
    </w:p>
    <w:p>
      <w:pPr>
        <w:ind w:left="360" w:right="500" w:firstLine="360"/>
        <w:spacing w:after="0" w:line="286" w:lineRule="auto"/>
        <w:rPr>
          <w:sz w:val="20"/>
          <w:szCs w:val="20"/>
          <w:color w:val="auto"/>
        </w:rPr>
      </w:pPr>
      <w:r>
        <w:rPr>
          <w:rFonts w:ascii="Arial" w:cs="Arial" w:eastAsia="Arial" w:hAnsi="Arial"/>
          <w:sz w:val="16"/>
          <w:szCs w:val="16"/>
          <w:color w:val="333333"/>
        </w:rPr>
        <w:t>(y)  “</w:t>
      </w:r>
      <w:r>
        <w:rPr>
          <w:rFonts w:ascii="Arial" w:cs="Arial" w:eastAsia="Arial" w:hAnsi="Arial"/>
          <w:sz w:val="16"/>
          <w:szCs w:val="16"/>
          <w:u w:val="single" w:color="auto"/>
          <w:color w:val="333333"/>
        </w:rPr>
        <w:t>Restricted Stock</w:t>
      </w:r>
      <w:r>
        <w:rPr>
          <w:rFonts w:ascii="Arial" w:cs="Arial" w:eastAsia="Arial" w:hAnsi="Arial"/>
          <w:sz w:val="16"/>
          <w:szCs w:val="16"/>
          <w:color w:val="333333"/>
        </w:rPr>
        <w:t>” means Shares issued pursuant to a Restricted Stock award under Section 7 of the Plan, or issued pursuant to the early exercise of an Option.</w:t>
      </w:r>
    </w:p>
    <w:p>
      <w:pPr>
        <w:spacing w:after="0" w:line="102" w:lineRule="exact"/>
        <w:rPr>
          <w:sz w:val="20"/>
          <w:szCs w:val="20"/>
          <w:color w:val="auto"/>
        </w:rPr>
      </w:pPr>
    </w:p>
    <w:p>
      <w:pPr>
        <w:ind w:left="360" w:right="220" w:firstLine="360"/>
        <w:spacing w:after="0" w:line="266" w:lineRule="auto"/>
        <w:rPr>
          <w:sz w:val="20"/>
          <w:szCs w:val="20"/>
          <w:color w:val="auto"/>
        </w:rPr>
      </w:pPr>
      <w:r>
        <w:rPr>
          <w:rFonts w:ascii="Arial" w:cs="Arial" w:eastAsia="Arial" w:hAnsi="Arial"/>
          <w:sz w:val="16"/>
          <w:szCs w:val="16"/>
          <w:color w:val="333333"/>
        </w:rPr>
        <w:t>(z)  “</w:t>
      </w:r>
      <w:r>
        <w:rPr>
          <w:rFonts w:ascii="Arial" w:cs="Arial" w:eastAsia="Arial" w:hAnsi="Arial"/>
          <w:sz w:val="16"/>
          <w:szCs w:val="16"/>
          <w:u w:val="single" w:color="auto"/>
          <w:color w:val="333333"/>
        </w:rPr>
        <w:t>Restricted Stock Unit</w:t>
      </w:r>
      <w:r>
        <w:rPr>
          <w:rFonts w:ascii="Arial" w:cs="Arial" w:eastAsia="Arial" w:hAnsi="Arial"/>
          <w:sz w:val="16"/>
          <w:szCs w:val="16"/>
          <w:color w:val="333333"/>
        </w:rPr>
        <w:t>” means a bookkeeping entry representing an amount equal to the Fair Market Value of one Share, granted pursuant to Section 8. Each Restricted Stock Unit represents an unfunded and unsecured obligation of the Company.</w:t>
      </w:r>
    </w:p>
    <w:p>
      <w:pPr>
        <w:spacing w:after="0" w:line="117" w:lineRule="exact"/>
        <w:rPr>
          <w:sz w:val="20"/>
          <w:szCs w:val="20"/>
          <w:color w:val="auto"/>
        </w:rPr>
      </w:pPr>
    </w:p>
    <w:p>
      <w:pPr>
        <w:ind w:left="360" w:right="140" w:firstLine="360"/>
        <w:spacing w:after="0" w:line="286" w:lineRule="auto"/>
        <w:rPr>
          <w:sz w:val="20"/>
          <w:szCs w:val="20"/>
          <w:color w:val="auto"/>
        </w:rPr>
      </w:pPr>
      <w:r>
        <w:rPr>
          <w:rFonts w:ascii="Arial" w:cs="Arial" w:eastAsia="Arial" w:hAnsi="Arial"/>
          <w:sz w:val="16"/>
          <w:szCs w:val="16"/>
          <w:color w:val="333333"/>
        </w:rPr>
        <w:t>(aa)  “</w:t>
      </w:r>
      <w:r>
        <w:rPr>
          <w:rFonts w:ascii="Arial" w:cs="Arial" w:eastAsia="Arial" w:hAnsi="Arial"/>
          <w:sz w:val="16"/>
          <w:szCs w:val="16"/>
          <w:u w:val="single" w:color="auto"/>
          <w:color w:val="333333"/>
        </w:rPr>
        <w:t>Rule 16b-3</w:t>
      </w:r>
      <w:r>
        <w:rPr>
          <w:rFonts w:ascii="Arial" w:cs="Arial" w:eastAsia="Arial" w:hAnsi="Arial"/>
          <w:sz w:val="16"/>
          <w:szCs w:val="16"/>
          <w:color w:val="333333"/>
        </w:rPr>
        <w:t xml:space="preserve"> ” means Rule 16b-3 of the Exchange Act or any successor to Rule 16b-3, as in effect when discretion is being exercised with respect to the Plan.</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(bb)   “</w:t>
      </w:r>
      <w:r>
        <w:rPr>
          <w:rFonts w:ascii="Arial" w:cs="Arial" w:eastAsia="Arial" w:hAnsi="Arial"/>
          <w:sz w:val="16"/>
          <w:szCs w:val="16"/>
          <w:u w:val="single" w:color="auto"/>
          <w:color w:val="333333"/>
        </w:rPr>
        <w:t>Section 16(12)</w:t>
      </w:r>
      <w:r>
        <w:rPr>
          <w:rFonts w:ascii="Arial" w:cs="Arial" w:eastAsia="Arial" w:hAnsi="Arial"/>
          <w:sz w:val="16"/>
          <w:szCs w:val="16"/>
          <w:color w:val="333333"/>
        </w:rPr>
        <w:t>” means Section 16(b) of the Exchange Act.</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(cc)   “</w:t>
      </w:r>
      <w:r>
        <w:rPr>
          <w:rFonts w:ascii="Arial" w:cs="Arial" w:eastAsia="Arial" w:hAnsi="Arial"/>
          <w:sz w:val="16"/>
          <w:szCs w:val="16"/>
          <w:u w:val="single" w:color="auto"/>
          <w:color w:val="333333"/>
        </w:rPr>
        <w:t>Service Provider</w:t>
      </w:r>
      <w:r>
        <w:rPr>
          <w:rFonts w:ascii="Arial" w:cs="Arial" w:eastAsia="Arial" w:hAnsi="Arial"/>
          <w:sz w:val="16"/>
          <w:szCs w:val="16"/>
          <w:color w:val="333333"/>
        </w:rPr>
        <w:t>” means an Employee, Director or Consultant.</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(dd)   “</w:t>
      </w:r>
      <w:r>
        <w:rPr>
          <w:rFonts w:ascii="Arial" w:cs="Arial" w:eastAsia="Arial" w:hAnsi="Arial"/>
          <w:sz w:val="16"/>
          <w:szCs w:val="16"/>
          <w:u w:val="single" w:color="auto"/>
          <w:color w:val="333333"/>
        </w:rPr>
        <w:t>Share</w:t>
      </w:r>
      <w:r>
        <w:rPr>
          <w:rFonts w:ascii="Arial" w:cs="Arial" w:eastAsia="Arial" w:hAnsi="Arial"/>
          <w:sz w:val="16"/>
          <w:szCs w:val="16"/>
          <w:color w:val="333333"/>
        </w:rPr>
        <w:t>” means a share of the Common Stock, as adjusted in accordance with Section 13 of the Plan.</w:t>
      </w:r>
    </w:p>
    <w:p>
      <w:pPr>
        <w:spacing w:after="0" w:line="167" w:lineRule="exact"/>
        <w:rPr>
          <w:sz w:val="20"/>
          <w:szCs w:val="20"/>
          <w:color w:val="auto"/>
        </w:rPr>
      </w:pPr>
    </w:p>
    <w:p>
      <w:pPr>
        <w:ind w:left="360" w:right="520" w:firstLine="360"/>
        <w:spacing w:after="0" w:line="286" w:lineRule="auto"/>
        <w:rPr>
          <w:sz w:val="20"/>
          <w:szCs w:val="20"/>
          <w:color w:val="auto"/>
        </w:rPr>
      </w:pPr>
      <w:r>
        <w:rPr>
          <w:rFonts w:ascii="Arial" w:cs="Arial" w:eastAsia="Arial" w:hAnsi="Arial"/>
          <w:sz w:val="16"/>
          <w:szCs w:val="16"/>
          <w:color w:val="333333"/>
        </w:rPr>
        <w:t>(ee)  “</w:t>
      </w:r>
      <w:r>
        <w:rPr>
          <w:rFonts w:ascii="Arial" w:cs="Arial" w:eastAsia="Arial" w:hAnsi="Arial"/>
          <w:sz w:val="16"/>
          <w:szCs w:val="16"/>
          <w:u w:val="single" w:color="auto"/>
          <w:color w:val="333333"/>
        </w:rPr>
        <w:t>Stock Appreciation Right</w:t>
      </w:r>
      <w:r>
        <w:rPr>
          <w:rFonts w:ascii="Arial" w:cs="Arial" w:eastAsia="Arial" w:hAnsi="Arial"/>
          <w:sz w:val="16"/>
          <w:szCs w:val="16"/>
          <w:color w:val="333333"/>
        </w:rPr>
        <w:t>” means an Award, granted alone or in connection with an Option, that pursuant to Section 9 is designated as a Stock Appreciation Right.</w:t>
      </w:r>
    </w:p>
    <w:p>
      <w:pPr>
        <w:spacing w:after="0" w:line="183" w:lineRule="exact"/>
        <w:rPr>
          <w:sz w:val="20"/>
          <w:szCs w:val="20"/>
          <w:color w:val="auto"/>
        </w:rPr>
      </w:pPr>
    </w:p>
    <w:p>
      <w:pPr>
        <w:ind w:left="360" w:right="60" w:firstLine="360"/>
        <w:spacing w:after="0" w:line="286" w:lineRule="auto"/>
        <w:rPr>
          <w:sz w:val="20"/>
          <w:szCs w:val="20"/>
          <w:color w:val="auto"/>
        </w:rPr>
      </w:pPr>
      <w:r>
        <w:rPr>
          <w:rFonts w:ascii="Arial" w:cs="Arial" w:eastAsia="Arial" w:hAnsi="Arial"/>
          <w:sz w:val="16"/>
          <w:szCs w:val="16"/>
          <w:color w:val="333333"/>
        </w:rPr>
        <w:t>(ff)  “</w:t>
      </w:r>
      <w:r>
        <w:rPr>
          <w:rFonts w:ascii="Arial" w:cs="Arial" w:eastAsia="Arial" w:hAnsi="Arial"/>
          <w:sz w:val="16"/>
          <w:szCs w:val="16"/>
          <w:u w:val="single" w:color="auto"/>
          <w:color w:val="333333"/>
        </w:rPr>
        <w:t>Subsidiary</w:t>
      </w:r>
      <w:r>
        <w:rPr>
          <w:rFonts w:ascii="Arial" w:cs="Arial" w:eastAsia="Arial" w:hAnsi="Arial"/>
          <w:sz w:val="16"/>
          <w:szCs w:val="16"/>
          <w:color w:val="333333"/>
        </w:rPr>
        <w:t>” means a “subsidiary corporation,” whether now or hereafter existing, as defined in Section 424(f) of the Code.</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3.   </w:t>
      </w:r>
      <w:r>
        <w:rPr>
          <w:rFonts w:ascii="Arial" w:cs="Arial" w:eastAsia="Arial" w:hAnsi="Arial"/>
          <w:sz w:val="16"/>
          <w:szCs w:val="16"/>
          <w:u w:val="single" w:color="auto"/>
          <w:color w:val="333333"/>
        </w:rPr>
        <w:t>Stock Subject to the Plan</w:t>
      </w:r>
      <w:r>
        <w:rPr>
          <w:rFonts w:ascii="Arial" w:cs="Arial" w:eastAsia="Arial" w:hAnsi="Arial"/>
          <w:sz w:val="16"/>
          <w:szCs w:val="16"/>
          <w:color w:val="333333"/>
        </w:rPr>
        <w:t>.</w:t>
      </w:r>
    </w:p>
    <w:p>
      <w:pPr>
        <w:spacing w:after="0" w:line="167" w:lineRule="exact"/>
        <w:rPr>
          <w:sz w:val="20"/>
          <w:szCs w:val="20"/>
          <w:color w:val="auto"/>
        </w:rPr>
      </w:pPr>
    </w:p>
    <w:p>
      <w:pPr>
        <w:ind w:left="360" w:right="100" w:firstLine="360"/>
        <w:spacing w:after="0" w:line="256" w:lineRule="auto"/>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Stock Subject to the Plan</w:t>
      </w:r>
      <w:r>
        <w:rPr>
          <w:rFonts w:ascii="Arial" w:cs="Arial" w:eastAsia="Arial" w:hAnsi="Arial"/>
          <w:sz w:val="16"/>
          <w:szCs w:val="16"/>
          <w:color w:val="333333"/>
        </w:rPr>
        <w:t>. Subject to the provisions of Section 13 of the Plan, the maximum aggregate number of Shares that may be issued under the Plan as of the Amendment Effective Date is (i) 17,400,000 Shares, plus (ii) any Shares that, as of immediately prior to the Amendment Effective Date, were available for issuance under the pre-existing version of the 2011 Equity Incentive Plan prior to this amendment (the “</w:t>
      </w:r>
      <w:r>
        <w:rPr>
          <w:rFonts w:ascii="Arial" w:cs="Arial" w:eastAsia="Arial" w:hAnsi="Arial"/>
          <w:sz w:val="16"/>
          <w:szCs w:val="16"/>
          <w:u w:val="single" w:color="auto"/>
          <w:color w:val="333333"/>
        </w:rPr>
        <w:t>Existing Plan</w:t>
      </w:r>
      <w:r>
        <w:rPr>
          <w:rFonts w:ascii="Arial" w:cs="Arial" w:eastAsia="Arial" w:hAnsi="Arial"/>
          <w:sz w:val="16"/>
          <w:szCs w:val="16"/>
          <w:color w:val="333333"/>
        </w:rPr>
        <w:t>”). The Shares may be authorized, but unissued, or reacquired Common Stock.</w:t>
      </w:r>
    </w:p>
    <w:p>
      <w:pPr>
        <w:spacing w:after="0" w:line="126" w:lineRule="exact"/>
        <w:rPr>
          <w:sz w:val="20"/>
          <w:szCs w:val="20"/>
          <w:color w:val="auto"/>
        </w:rPr>
      </w:pPr>
    </w:p>
    <w:p>
      <w:pPr>
        <w:ind w:left="360" w:firstLine="360"/>
        <w:spacing w:after="0" w:line="248"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Lapsed Awards</w:t>
      </w:r>
      <w:r>
        <w:rPr>
          <w:rFonts w:ascii="Arial" w:cs="Arial" w:eastAsia="Arial" w:hAnsi="Arial"/>
          <w:sz w:val="16"/>
          <w:szCs w:val="16"/>
          <w:color w:val="333333"/>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42" w:lineRule="exact"/>
        <w:rPr>
          <w:sz w:val="20"/>
          <w:szCs w:val="20"/>
          <w:color w:val="auto"/>
        </w:rPr>
      </w:pPr>
    </w:p>
    <w:p>
      <w:pPr>
        <w:ind w:left="360" w:right="20" w:firstLine="360"/>
        <w:spacing w:after="0" w:line="286" w:lineRule="auto"/>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Share Reserve</w:t>
      </w:r>
      <w:r>
        <w:rPr>
          <w:rFonts w:ascii="Arial" w:cs="Arial" w:eastAsia="Arial" w:hAnsi="Arial"/>
          <w:sz w:val="16"/>
          <w:szCs w:val="16"/>
          <w:color w:val="333333"/>
        </w:rPr>
        <w:t>. The Company, during the term of this Plan, will at all times reserve and keep available such number of Shares as will be sufficient to satisfy the requirements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61"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4.   </w:t>
      </w:r>
      <w:r>
        <w:rPr>
          <w:rFonts w:ascii="Arial" w:cs="Arial" w:eastAsia="Arial" w:hAnsi="Arial"/>
          <w:sz w:val="16"/>
          <w:szCs w:val="16"/>
          <w:u w:val="single" w:color="auto"/>
          <w:color w:val="333333"/>
        </w:rPr>
        <w:t>Administration of the Plan</w:t>
      </w:r>
      <w:r>
        <w:rPr>
          <w:rFonts w:ascii="Arial" w:cs="Arial" w:eastAsia="Arial" w:hAnsi="Arial"/>
          <w:sz w:val="16"/>
          <w:szCs w:val="16"/>
          <w:color w:val="333333"/>
        </w:rPr>
        <w:t>.</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Procedure</w:t>
      </w:r>
      <w:r>
        <w:rPr>
          <w:rFonts w:ascii="Arial" w:cs="Arial" w:eastAsia="Arial" w:hAnsi="Arial"/>
          <w:sz w:val="16"/>
          <w:szCs w:val="16"/>
          <w:color w:val="333333"/>
        </w:rPr>
        <w:t>.</w:t>
      </w:r>
    </w:p>
    <w:p>
      <w:pPr>
        <w:spacing w:after="0" w:line="167" w:lineRule="exact"/>
        <w:rPr>
          <w:sz w:val="20"/>
          <w:szCs w:val="20"/>
          <w:color w:val="auto"/>
        </w:rPr>
      </w:pPr>
    </w:p>
    <w:p>
      <w:pPr>
        <w:ind w:left="720" w:firstLine="360"/>
        <w:spacing w:after="0" w:line="286" w:lineRule="auto"/>
        <w:rPr>
          <w:sz w:val="20"/>
          <w:szCs w:val="20"/>
          <w:color w:val="auto"/>
        </w:rPr>
      </w:pPr>
      <w:r>
        <w:rPr>
          <w:rFonts w:ascii="Arial" w:cs="Arial" w:eastAsia="Arial" w:hAnsi="Arial"/>
          <w:sz w:val="16"/>
          <w:szCs w:val="16"/>
          <w:color w:val="333333"/>
        </w:rPr>
        <w:t xml:space="preserve">(i)  </w:t>
      </w:r>
      <w:r>
        <w:rPr>
          <w:rFonts w:ascii="Arial" w:cs="Arial" w:eastAsia="Arial" w:hAnsi="Arial"/>
          <w:sz w:val="16"/>
          <w:szCs w:val="16"/>
          <w:u w:val="single" w:color="auto"/>
          <w:color w:val="333333"/>
        </w:rPr>
        <w:t>Multiple Administrative Bodies</w:t>
      </w:r>
      <w:r>
        <w:rPr>
          <w:rFonts w:ascii="Arial" w:cs="Arial" w:eastAsia="Arial" w:hAnsi="Arial"/>
          <w:sz w:val="16"/>
          <w:szCs w:val="16"/>
          <w:color w:val="333333"/>
        </w:rPr>
        <w:t>. Different Committees may administer the Plan with respect to different groups of Service Providers.</w:t>
      </w:r>
    </w:p>
    <w:p>
      <w:pPr>
        <w:spacing w:after="0" w:line="102" w:lineRule="exact"/>
        <w:rPr>
          <w:sz w:val="20"/>
          <w:szCs w:val="20"/>
          <w:color w:val="auto"/>
        </w:rPr>
      </w:pPr>
    </w:p>
    <w:p>
      <w:pPr>
        <w:ind w:left="720" w:right="520" w:firstLine="360"/>
        <w:spacing w:after="0" w:line="286" w:lineRule="auto"/>
        <w:rPr>
          <w:sz w:val="20"/>
          <w:szCs w:val="20"/>
          <w:color w:val="auto"/>
        </w:rPr>
      </w:pPr>
      <w:r>
        <w:rPr>
          <w:rFonts w:ascii="Arial" w:cs="Arial" w:eastAsia="Arial" w:hAnsi="Arial"/>
          <w:sz w:val="16"/>
          <w:szCs w:val="16"/>
          <w:color w:val="333333"/>
        </w:rPr>
        <w:t xml:space="preserve">(ii)  </w:t>
      </w:r>
      <w:r>
        <w:rPr>
          <w:rFonts w:ascii="Arial" w:cs="Arial" w:eastAsia="Arial" w:hAnsi="Arial"/>
          <w:sz w:val="16"/>
          <w:szCs w:val="16"/>
          <w:u w:val="single" w:color="auto"/>
          <w:color w:val="333333"/>
        </w:rPr>
        <w:t>Rule 16b-3</w:t>
      </w:r>
      <w:r>
        <w:rPr>
          <w:rFonts w:ascii="Arial" w:cs="Arial" w:eastAsia="Arial" w:hAnsi="Arial"/>
          <w:sz w:val="16"/>
          <w:szCs w:val="16"/>
          <w:color w:val="333333"/>
        </w:rPr>
        <w:t>. To the extent desirable to qualify transactions hereunder as exempt under Rule 16b-3, such transactions will be structured to satisfy the requirements for exemption under Rule 16b-3.</w:t>
      </w:r>
    </w:p>
    <w:p>
      <w:pPr>
        <w:spacing w:after="0" w:line="102" w:lineRule="exact"/>
        <w:rPr>
          <w:sz w:val="20"/>
          <w:szCs w:val="20"/>
          <w:color w:val="auto"/>
        </w:rPr>
      </w:pPr>
    </w:p>
    <w:p>
      <w:pPr>
        <w:ind w:left="720" w:right="260" w:firstLine="360"/>
        <w:spacing w:after="0" w:line="286" w:lineRule="auto"/>
        <w:rPr>
          <w:sz w:val="20"/>
          <w:szCs w:val="20"/>
          <w:color w:val="auto"/>
        </w:rPr>
      </w:pPr>
      <w:r>
        <w:rPr>
          <w:rFonts w:ascii="Arial" w:cs="Arial" w:eastAsia="Arial" w:hAnsi="Arial"/>
          <w:sz w:val="16"/>
          <w:szCs w:val="16"/>
          <w:color w:val="333333"/>
        </w:rPr>
        <w:t xml:space="preserve">(iii)  </w:t>
      </w:r>
      <w:r>
        <w:rPr>
          <w:rFonts w:ascii="Arial" w:cs="Arial" w:eastAsia="Arial" w:hAnsi="Arial"/>
          <w:sz w:val="16"/>
          <w:szCs w:val="16"/>
          <w:u w:val="single" w:color="auto"/>
          <w:color w:val="333333"/>
        </w:rPr>
        <w:t>Other Administration</w:t>
      </w:r>
      <w:r>
        <w:rPr>
          <w:rFonts w:ascii="Arial" w:cs="Arial" w:eastAsia="Arial" w:hAnsi="Arial"/>
          <w:sz w:val="16"/>
          <w:szCs w:val="16"/>
          <w:color w:val="333333"/>
        </w:rPr>
        <w:t>. Other than as provided above, the Plan will be administered by (A) the Board or (B) a Committee constituted to satisfy Applicable Laws.</w:t>
      </w:r>
    </w:p>
    <w:p>
      <w:pPr>
        <w:spacing w:after="0" w:line="102" w:lineRule="exact"/>
        <w:rPr>
          <w:sz w:val="20"/>
          <w:szCs w:val="20"/>
          <w:color w:val="auto"/>
        </w:rPr>
      </w:pPr>
    </w:p>
    <w:p>
      <w:pPr>
        <w:ind w:left="360" w:right="240" w:firstLine="360"/>
        <w:spacing w:after="0" w:line="286"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Powers of the Administrator</w:t>
      </w:r>
      <w:r>
        <w:rPr>
          <w:rFonts w:ascii="Arial" w:cs="Arial" w:eastAsia="Arial" w:hAnsi="Arial"/>
          <w:sz w:val="16"/>
          <w:szCs w:val="16"/>
          <w:color w:val="333333"/>
        </w:rPr>
        <w:t>. Subject to the provisions of the Plan, and in the case of a Committee, subject to the specific duties delegated by the Board to such Committee, the Administrator will have the authority, in its discretion:</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6"/>
          <w:szCs w:val="16"/>
          <w:color w:val="333333"/>
        </w:rPr>
        <w:t>(i)   to determine the Fair Market Value;</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333333"/>
        </w:rPr>
        <w:t>(ii)   to select the Service Providers to whom Awards may be granted hereunder;</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333333"/>
        </w:rPr>
        <w:t>(iii)   to determine the number of Shares to be covered by each Award granted hereunder;</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333333"/>
        </w:rPr>
        <w:t>(iv)   to approve forms of Award Agreements for use under the Plan;</w:t>
      </w:r>
    </w:p>
    <w:p>
      <w:pPr>
        <w:spacing w:after="0" w:line="167" w:lineRule="exact"/>
        <w:rPr>
          <w:sz w:val="20"/>
          <w:szCs w:val="20"/>
          <w:color w:val="auto"/>
        </w:rPr>
      </w:pPr>
    </w:p>
    <w:p>
      <w:pPr>
        <w:ind w:left="720" w:right="140" w:firstLine="360"/>
        <w:spacing w:after="0" w:line="256" w:lineRule="auto"/>
        <w:rPr>
          <w:sz w:val="20"/>
          <w:szCs w:val="20"/>
          <w:color w:val="auto"/>
        </w:rPr>
      </w:pPr>
      <w:r>
        <w:rPr>
          <w:rFonts w:ascii="Arial" w:cs="Arial" w:eastAsia="Arial" w:hAnsi="Arial"/>
          <w:sz w:val="16"/>
          <w:szCs w:val="16"/>
          <w:color w:val="333333"/>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16"/>
          <w:szCs w:val="16"/>
          <w:color w:val="333333"/>
        </w:rPr>
        <w:t>(vi)   to construe and interpret the terms of the Plan and Awards granted pursuant to the Plan;</w:t>
      </w:r>
    </w:p>
    <w:p>
      <w:pPr>
        <w:spacing w:after="0" w:line="167" w:lineRule="exact"/>
        <w:rPr>
          <w:sz w:val="20"/>
          <w:szCs w:val="20"/>
          <w:color w:val="auto"/>
        </w:rPr>
      </w:pPr>
    </w:p>
    <w:p>
      <w:pPr>
        <w:jc w:val="both"/>
        <w:ind w:left="720" w:right="260" w:firstLine="360"/>
        <w:spacing w:after="0" w:line="266" w:lineRule="auto"/>
        <w:rPr>
          <w:sz w:val="20"/>
          <w:szCs w:val="20"/>
          <w:color w:val="auto"/>
        </w:rPr>
      </w:pPr>
      <w:r>
        <w:rPr>
          <w:rFonts w:ascii="Arial" w:cs="Arial" w:eastAsia="Arial" w:hAnsi="Arial"/>
          <w:sz w:val="16"/>
          <w:szCs w:val="16"/>
          <w:color w:val="333333"/>
        </w:rPr>
        <w:t>(vii)  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17" w:lineRule="exact"/>
        <w:rPr>
          <w:sz w:val="20"/>
          <w:szCs w:val="20"/>
          <w:color w:val="auto"/>
        </w:rPr>
      </w:pPr>
    </w:p>
    <w:p>
      <w:pPr>
        <w:ind w:left="720" w:right="60" w:firstLine="360"/>
        <w:spacing w:after="0" w:line="266" w:lineRule="auto"/>
        <w:rPr>
          <w:sz w:val="20"/>
          <w:szCs w:val="20"/>
          <w:color w:val="auto"/>
        </w:rPr>
      </w:pPr>
      <w:r>
        <w:rPr>
          <w:rFonts w:ascii="Arial" w:cs="Arial" w:eastAsia="Arial" w:hAnsi="Arial"/>
          <w:sz w:val="16"/>
          <w:szCs w:val="16"/>
          <w:color w:val="333333"/>
        </w:rPr>
        <w:t>(viii)  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185" w:lineRule="exact"/>
        <w:rPr>
          <w:sz w:val="20"/>
          <w:szCs w:val="20"/>
          <w:color w:val="auto"/>
        </w:rPr>
      </w:pPr>
    </w:p>
    <w:p>
      <w:pPr>
        <w:ind w:left="720" w:right="240" w:firstLine="360"/>
        <w:spacing w:after="0" w:line="286" w:lineRule="auto"/>
        <w:rPr>
          <w:sz w:val="20"/>
          <w:szCs w:val="20"/>
          <w:color w:val="auto"/>
        </w:rPr>
      </w:pPr>
      <w:r>
        <w:rPr>
          <w:rFonts w:ascii="Arial" w:cs="Arial" w:eastAsia="Arial" w:hAnsi="Arial"/>
          <w:sz w:val="16"/>
          <w:szCs w:val="16"/>
          <w:color w:val="333333"/>
        </w:rPr>
        <w:t>(ix)  to allow Participants to satisfy tax withholding obligations in such manner as prescribed in Section 14 of the Plan;</w:t>
      </w:r>
    </w:p>
    <w:p>
      <w:pPr>
        <w:spacing w:after="0" w:line="102" w:lineRule="exact"/>
        <w:rPr>
          <w:sz w:val="20"/>
          <w:szCs w:val="20"/>
          <w:color w:val="auto"/>
        </w:rPr>
      </w:pPr>
    </w:p>
    <w:p>
      <w:pPr>
        <w:ind w:left="720" w:right="100" w:firstLine="360"/>
        <w:spacing w:after="0" w:line="286" w:lineRule="auto"/>
        <w:rPr>
          <w:sz w:val="20"/>
          <w:szCs w:val="20"/>
          <w:color w:val="auto"/>
        </w:rPr>
      </w:pPr>
      <w:r>
        <w:rPr>
          <w:rFonts w:ascii="Arial" w:cs="Arial" w:eastAsia="Arial" w:hAnsi="Arial"/>
          <w:sz w:val="16"/>
          <w:szCs w:val="16"/>
          <w:color w:val="333333"/>
        </w:rPr>
        <w:t>(x)  to authorize any person to execute on behalf of the Company any instrument required to effect the grant of an Award previously granted by the Administrator;</w:t>
      </w:r>
    </w:p>
    <w:p>
      <w:pPr>
        <w:spacing w:after="0" w:line="102" w:lineRule="exact"/>
        <w:rPr>
          <w:sz w:val="20"/>
          <w:szCs w:val="20"/>
          <w:color w:val="auto"/>
        </w:rPr>
      </w:pPr>
    </w:p>
    <w:p>
      <w:pPr>
        <w:ind w:left="720" w:right="20" w:firstLine="360"/>
        <w:spacing w:after="0" w:line="286" w:lineRule="auto"/>
        <w:rPr>
          <w:sz w:val="20"/>
          <w:szCs w:val="20"/>
          <w:color w:val="auto"/>
        </w:rPr>
      </w:pPr>
      <w:r>
        <w:rPr>
          <w:rFonts w:ascii="Arial" w:cs="Arial" w:eastAsia="Arial" w:hAnsi="Arial"/>
          <w:sz w:val="16"/>
          <w:szCs w:val="16"/>
          <w:color w:val="333333"/>
        </w:rPr>
        <w:t>(xi)  to allow a Participant to defer the receipt of the payment of cash or the delivery of Shares that would otherwise be due to such Participant under an Award; and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6"/>
          <w:szCs w:val="16"/>
          <w:color w:val="333333"/>
        </w:rPr>
        <w:t>(xii)   to make all other determinations deemed necessary or advisable for administering the Plan.</w:t>
      </w:r>
    </w:p>
    <w:p>
      <w:pPr>
        <w:spacing w:after="0" w:line="167" w:lineRule="exact"/>
        <w:rPr>
          <w:sz w:val="20"/>
          <w:szCs w:val="20"/>
          <w:color w:val="auto"/>
        </w:rPr>
      </w:pPr>
    </w:p>
    <w:p>
      <w:pPr>
        <w:ind w:left="360" w:right="300" w:firstLine="360"/>
        <w:spacing w:after="0" w:line="286" w:lineRule="auto"/>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Effect of Administrator’s Decision</w:t>
      </w:r>
      <w:r>
        <w:rPr>
          <w:rFonts w:ascii="Arial" w:cs="Arial" w:eastAsia="Arial" w:hAnsi="Arial"/>
          <w:sz w:val="16"/>
          <w:szCs w:val="16"/>
          <w:color w:val="333333"/>
        </w:rPr>
        <w:t>. The decisions, determinations, and interpretations of the Administrator will be final and binding on all Participants and any other holders of Awards.</w:t>
      </w:r>
    </w:p>
    <w:p>
      <w:pPr>
        <w:spacing w:after="0" w:line="102" w:lineRule="exact"/>
        <w:rPr>
          <w:sz w:val="20"/>
          <w:szCs w:val="20"/>
          <w:color w:val="auto"/>
        </w:rPr>
      </w:pPr>
    </w:p>
    <w:p>
      <w:pPr>
        <w:ind w:left="360" w:right="160" w:firstLine="360"/>
        <w:spacing w:after="0" w:line="286" w:lineRule="auto"/>
        <w:rPr>
          <w:sz w:val="20"/>
          <w:szCs w:val="20"/>
          <w:color w:val="auto"/>
        </w:rPr>
      </w:pPr>
      <w:r>
        <w:rPr>
          <w:rFonts w:ascii="Arial" w:cs="Arial" w:eastAsia="Arial" w:hAnsi="Arial"/>
          <w:sz w:val="16"/>
          <w:szCs w:val="16"/>
          <w:color w:val="333333"/>
        </w:rPr>
        <w:t xml:space="preserve">(d)  </w:t>
      </w:r>
      <w:r>
        <w:rPr>
          <w:rFonts w:ascii="Arial" w:cs="Arial" w:eastAsia="Arial" w:hAnsi="Arial"/>
          <w:sz w:val="16"/>
          <w:szCs w:val="16"/>
          <w:u w:val="single" w:color="auto"/>
          <w:color w:val="333333"/>
        </w:rPr>
        <w:t>Limitations on Administrative Authority</w:t>
      </w:r>
      <w:r>
        <w:rPr>
          <w:rFonts w:ascii="Arial" w:cs="Arial" w:eastAsia="Arial" w:hAnsi="Arial"/>
          <w:sz w:val="16"/>
          <w:szCs w:val="16"/>
          <w:color w:val="333333"/>
        </w:rPr>
        <w:t>. Notwithstanding anything herein to the contrary, the Administrator shall be limited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61"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156210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6"/>
          <w:szCs w:val="16"/>
          <w:color w:val="333333"/>
        </w:rPr>
        <w:t xml:space="preserve">(i)   </w:t>
      </w:r>
      <w:r>
        <w:rPr>
          <w:rFonts w:ascii="Arial" w:cs="Arial" w:eastAsia="Arial" w:hAnsi="Arial"/>
          <w:sz w:val="16"/>
          <w:szCs w:val="16"/>
          <w:u w:val="single" w:color="auto"/>
          <w:color w:val="333333"/>
        </w:rPr>
        <w:t>Exchange Program</w:t>
      </w:r>
      <w:r>
        <w:rPr>
          <w:rFonts w:ascii="Arial" w:cs="Arial" w:eastAsia="Arial" w:hAnsi="Arial"/>
          <w:sz w:val="16"/>
          <w:szCs w:val="16"/>
          <w:color w:val="333333"/>
        </w:rPr>
        <w:t>. The Administrator may not implement an Exchange Program.</w:t>
      </w:r>
    </w:p>
    <w:p>
      <w:pPr>
        <w:spacing w:after="0" w:line="167" w:lineRule="exact"/>
        <w:rPr>
          <w:sz w:val="20"/>
          <w:szCs w:val="20"/>
          <w:color w:val="auto"/>
        </w:rPr>
      </w:pPr>
    </w:p>
    <w:p>
      <w:pPr>
        <w:ind w:left="720" w:firstLine="360"/>
        <w:spacing w:after="0" w:line="266" w:lineRule="auto"/>
        <w:rPr>
          <w:sz w:val="20"/>
          <w:szCs w:val="20"/>
          <w:color w:val="auto"/>
        </w:rPr>
      </w:pPr>
      <w:r>
        <w:rPr>
          <w:rFonts w:ascii="Arial" w:cs="Arial" w:eastAsia="Arial" w:hAnsi="Arial"/>
          <w:sz w:val="16"/>
          <w:szCs w:val="16"/>
          <w:color w:val="333333"/>
        </w:rPr>
        <w:t xml:space="preserve">(ii)  </w:t>
      </w:r>
      <w:r>
        <w:rPr>
          <w:rFonts w:ascii="Arial" w:cs="Arial" w:eastAsia="Arial" w:hAnsi="Arial"/>
          <w:sz w:val="16"/>
          <w:szCs w:val="16"/>
          <w:u w:val="single" w:color="auto"/>
          <w:color w:val="333333"/>
        </w:rPr>
        <w:t>No Dividends or Dividend Equivalents Paid on Unvested Awards</w:t>
      </w:r>
      <w:r>
        <w:rPr>
          <w:rFonts w:ascii="Arial" w:cs="Arial" w:eastAsia="Arial" w:hAnsi="Arial"/>
          <w:sz w:val="16"/>
          <w:szCs w:val="16"/>
          <w:color w:val="333333"/>
        </w:rPr>
        <w:t>. No dividends or dividend equivalents shall be paid on any unvested Awards. Any dividends or dividend equivalents may be declared or accrue on unvested Awards, but shall not be paid until the vesting of such Awards.</w:t>
      </w:r>
    </w:p>
    <w:p>
      <w:pPr>
        <w:spacing w:after="0" w:line="117" w:lineRule="exact"/>
        <w:rPr>
          <w:sz w:val="20"/>
          <w:szCs w:val="20"/>
          <w:color w:val="auto"/>
        </w:rPr>
      </w:pPr>
    </w:p>
    <w:p>
      <w:pPr>
        <w:ind w:left="720" w:right="20" w:firstLine="360"/>
        <w:spacing w:after="0" w:line="254" w:lineRule="auto"/>
        <w:rPr>
          <w:sz w:val="20"/>
          <w:szCs w:val="20"/>
          <w:color w:val="auto"/>
        </w:rPr>
      </w:pPr>
      <w:r>
        <w:rPr>
          <w:rFonts w:ascii="Arial" w:cs="Arial" w:eastAsia="Arial" w:hAnsi="Arial"/>
          <w:sz w:val="16"/>
          <w:szCs w:val="16"/>
          <w:color w:val="333333"/>
        </w:rPr>
        <w:t xml:space="preserve">(iii)  </w:t>
      </w:r>
      <w:r>
        <w:rPr>
          <w:rFonts w:ascii="Arial" w:cs="Arial" w:eastAsia="Arial" w:hAnsi="Arial"/>
          <w:sz w:val="16"/>
          <w:szCs w:val="16"/>
          <w:u w:val="single" w:color="auto"/>
          <w:color w:val="333333"/>
        </w:rPr>
        <w:t>Outside Director Limitations</w:t>
      </w:r>
      <w:r>
        <w:rPr>
          <w:rFonts w:ascii="Arial" w:cs="Arial" w:eastAsia="Arial" w:hAnsi="Arial"/>
          <w:sz w:val="16"/>
          <w:szCs w:val="16"/>
          <w:color w:val="333333"/>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128" w:lineRule="exact"/>
        <w:rPr>
          <w:sz w:val="20"/>
          <w:szCs w:val="20"/>
          <w:color w:val="auto"/>
        </w:rPr>
      </w:pPr>
    </w:p>
    <w:p>
      <w:pPr>
        <w:jc w:val="both"/>
        <w:ind w:right="100" w:firstLine="360"/>
        <w:spacing w:after="0" w:line="286" w:lineRule="auto"/>
        <w:rPr>
          <w:sz w:val="20"/>
          <w:szCs w:val="20"/>
          <w:color w:val="auto"/>
        </w:rPr>
      </w:pPr>
      <w:r>
        <w:rPr>
          <w:rFonts w:ascii="Arial" w:cs="Arial" w:eastAsia="Arial" w:hAnsi="Arial"/>
          <w:sz w:val="16"/>
          <w:szCs w:val="16"/>
          <w:color w:val="333333"/>
        </w:rPr>
        <w:t xml:space="preserve">5.  </w:t>
      </w:r>
      <w:r>
        <w:rPr>
          <w:rFonts w:ascii="Arial" w:cs="Arial" w:eastAsia="Arial" w:hAnsi="Arial"/>
          <w:sz w:val="16"/>
          <w:szCs w:val="16"/>
          <w:u w:val="single" w:color="auto"/>
          <w:color w:val="333333"/>
        </w:rPr>
        <w:t>Eligibility</w:t>
      </w:r>
      <w:r>
        <w:rPr>
          <w:rFonts w:ascii="Arial" w:cs="Arial" w:eastAsia="Arial" w:hAnsi="Arial"/>
          <w:sz w:val="16"/>
          <w:szCs w:val="16"/>
          <w:color w:val="333333"/>
        </w:rPr>
        <w:t>. Nonstatutory Stock Options, Stock Appreciation Rights, Restricted Stock, Restricted Stock Units, Performance Shares and Performance Units may be granted to Service Providers. Incentive Stock Options may be granted only to Employees.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6.   </w:t>
      </w:r>
      <w:r>
        <w:rPr>
          <w:rFonts w:ascii="Arial" w:cs="Arial" w:eastAsia="Arial" w:hAnsi="Arial"/>
          <w:sz w:val="16"/>
          <w:szCs w:val="16"/>
          <w:u w:val="single" w:color="auto"/>
          <w:color w:val="333333"/>
        </w:rPr>
        <w:t>Stock Options</w:t>
      </w:r>
      <w:r>
        <w:rPr>
          <w:rFonts w:ascii="Arial" w:cs="Arial" w:eastAsia="Arial" w:hAnsi="Arial"/>
          <w:sz w:val="16"/>
          <w:szCs w:val="16"/>
          <w:color w:val="333333"/>
        </w:rPr>
        <w:t>.</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Limitations</w:t>
      </w:r>
      <w:r>
        <w:rPr>
          <w:rFonts w:ascii="Arial" w:cs="Arial" w:eastAsia="Arial" w:hAnsi="Arial"/>
          <w:sz w:val="16"/>
          <w:szCs w:val="16"/>
          <w:color w:val="333333"/>
        </w:rPr>
        <w:t>. Each Option will be designated in the Award Agreement as either an Incentive Stock Option or a</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Nonstatutory Stock Option. However, notwithstanding such designation, to the extent that the aggregate Fair Market Value of</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the Shares with respect to which Incentive Stock Options are exercisable for the first time by the Participant during any</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calendar year (under all plans of the Company and any Parent or Subsidiary) exceeds one hundred thousand dollars</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($100,000), such Options will be treated as Nonstatutory Stock Options. For purposes of this Section 6(a), Incentive Stock</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Options will be taken into account in the order in which they were granted. The Fair Market Value of the Shares will be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determined as of the time the Option with respect to such Shares is granted.</w:t>
      </w:r>
    </w:p>
    <w:p>
      <w:pPr>
        <w:spacing w:after="0" w:line="151" w:lineRule="exact"/>
        <w:rPr>
          <w:sz w:val="20"/>
          <w:szCs w:val="20"/>
          <w:color w:val="auto"/>
        </w:rPr>
      </w:pPr>
    </w:p>
    <w:p>
      <w:pPr>
        <w:ind w:left="360" w:right="60" w:firstLine="360"/>
        <w:spacing w:after="0" w:line="254"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Term of Option</w:t>
      </w:r>
      <w:r>
        <w:rPr>
          <w:rFonts w:ascii="Arial" w:cs="Arial" w:eastAsia="Arial" w:hAnsi="Arial"/>
          <w:sz w:val="16"/>
          <w:szCs w:val="16"/>
          <w:color w:val="333333"/>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Option Exercise Price and Consideration</w:t>
      </w:r>
      <w:r>
        <w:rPr>
          <w:rFonts w:ascii="Arial" w:cs="Arial" w:eastAsia="Arial" w:hAnsi="Arial"/>
          <w:sz w:val="16"/>
          <w:szCs w:val="16"/>
          <w:color w:val="333333"/>
        </w:rPr>
        <w:t>.</w:t>
      </w:r>
    </w:p>
    <w:p>
      <w:pPr>
        <w:spacing w:after="0" w:line="167" w:lineRule="exact"/>
        <w:rPr>
          <w:sz w:val="20"/>
          <w:szCs w:val="20"/>
          <w:color w:val="auto"/>
        </w:rPr>
      </w:pPr>
    </w:p>
    <w:p>
      <w:pPr>
        <w:ind w:left="720" w:right="120" w:firstLine="360"/>
        <w:spacing w:after="0" w:line="286" w:lineRule="auto"/>
        <w:rPr>
          <w:sz w:val="20"/>
          <w:szCs w:val="20"/>
          <w:color w:val="auto"/>
        </w:rPr>
      </w:pPr>
      <w:r>
        <w:rPr>
          <w:rFonts w:ascii="Arial" w:cs="Arial" w:eastAsia="Arial" w:hAnsi="Arial"/>
          <w:sz w:val="16"/>
          <w:szCs w:val="16"/>
          <w:color w:val="333333"/>
        </w:rPr>
        <w:t xml:space="preserve">(i)  </w:t>
      </w:r>
      <w:r>
        <w:rPr>
          <w:rFonts w:ascii="Arial" w:cs="Arial" w:eastAsia="Arial" w:hAnsi="Arial"/>
          <w:sz w:val="16"/>
          <w:szCs w:val="16"/>
          <w:u w:val="single" w:color="auto"/>
          <w:color w:val="333333"/>
        </w:rPr>
        <w:t>Exercise Price</w:t>
      </w:r>
      <w:r>
        <w:rPr>
          <w:rFonts w:ascii="Arial" w:cs="Arial" w:eastAsia="Arial" w:hAnsi="Arial"/>
          <w:sz w:val="16"/>
          <w:szCs w:val="16"/>
          <w:color w:val="333333"/>
        </w:rPr>
        <w:t>. The per share exercise price for the Shares to be issued pursuant to exercise of an Option will be determined by the Administrator, subject to the following:</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6"/>
          <w:szCs w:val="16"/>
          <w:color w:val="333333"/>
        </w:rPr>
        <w:t>(1)   In the case of an Incentive Stock Option</w:t>
      </w:r>
    </w:p>
    <w:p>
      <w:pPr>
        <w:spacing w:after="0" w:line="167" w:lineRule="exact"/>
        <w:rPr>
          <w:sz w:val="20"/>
          <w:szCs w:val="20"/>
          <w:color w:val="auto"/>
        </w:rPr>
      </w:pPr>
    </w:p>
    <w:p>
      <w:pPr>
        <w:ind w:left="1440" w:right="140" w:firstLine="360"/>
        <w:spacing w:after="0" w:line="259" w:lineRule="auto"/>
        <w:rPr>
          <w:sz w:val="20"/>
          <w:szCs w:val="20"/>
          <w:color w:val="auto"/>
        </w:rPr>
      </w:pPr>
      <w:r>
        <w:rPr>
          <w:rFonts w:ascii="Arial" w:cs="Arial" w:eastAsia="Arial" w:hAnsi="Arial"/>
          <w:sz w:val="16"/>
          <w:szCs w:val="16"/>
          <w:color w:val="333333"/>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24" w:lineRule="exact"/>
        <w:rPr>
          <w:sz w:val="20"/>
          <w:szCs w:val="20"/>
          <w:color w:val="auto"/>
        </w:rPr>
      </w:pPr>
    </w:p>
    <w:p>
      <w:pPr>
        <w:ind w:left="1440" w:right="20" w:firstLine="360"/>
        <w:spacing w:after="0" w:line="266" w:lineRule="auto"/>
        <w:rPr>
          <w:sz w:val="20"/>
          <w:szCs w:val="20"/>
          <w:color w:val="auto"/>
        </w:rPr>
      </w:pPr>
      <w:r>
        <w:rPr>
          <w:rFonts w:ascii="Arial" w:cs="Arial" w:eastAsia="Arial" w:hAnsi="Arial"/>
          <w:sz w:val="16"/>
          <w:szCs w:val="16"/>
          <w:color w:val="333333"/>
        </w:rPr>
        <w:t>b)  granted to any Employee other than an Employee described in paragraph (A) immediately above, the per Share exercise price will be no less than one hundred percent (100%) of the Fair Market Value per Share on the date of grant.</w:t>
      </w:r>
    </w:p>
    <w:p>
      <w:pPr>
        <w:spacing w:after="0" w:line="117" w:lineRule="exact"/>
        <w:rPr>
          <w:sz w:val="20"/>
          <w:szCs w:val="20"/>
          <w:color w:val="auto"/>
        </w:rPr>
      </w:pPr>
    </w:p>
    <w:p>
      <w:pPr>
        <w:ind w:left="1080" w:right="40" w:firstLine="360"/>
        <w:spacing w:after="0" w:line="286" w:lineRule="auto"/>
        <w:rPr>
          <w:sz w:val="20"/>
          <w:szCs w:val="20"/>
          <w:color w:val="auto"/>
        </w:rPr>
      </w:pPr>
      <w:r>
        <w:rPr>
          <w:rFonts w:ascii="Arial" w:cs="Arial" w:eastAsia="Arial" w:hAnsi="Arial"/>
          <w:sz w:val="16"/>
          <w:szCs w:val="16"/>
          <w:color w:val="333333"/>
        </w:rPr>
        <w:t>(2)  In the case of a Nonstatutory Stock Option, the per Share exercise price will be no less than one hundred percent (100%) of the Fair Market Value per Share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61"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1080" w:right="20" w:firstLine="360"/>
        <w:spacing w:after="0" w:line="266" w:lineRule="auto"/>
        <w:rPr>
          <w:sz w:val="20"/>
          <w:szCs w:val="20"/>
          <w:color w:val="auto"/>
        </w:rPr>
      </w:pPr>
      <w:r>
        <w:rPr>
          <w:rFonts w:ascii="Arial" w:cs="Arial" w:eastAsia="Arial" w:hAnsi="Arial"/>
          <w:sz w:val="16"/>
          <w:szCs w:val="16"/>
          <w:color w:val="333333"/>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17" w:lineRule="exact"/>
        <w:rPr>
          <w:sz w:val="20"/>
          <w:szCs w:val="20"/>
          <w:color w:val="auto"/>
        </w:rPr>
      </w:pPr>
    </w:p>
    <w:p>
      <w:pPr>
        <w:ind w:left="720" w:right="100" w:firstLine="360"/>
        <w:spacing w:after="0" w:line="266" w:lineRule="auto"/>
        <w:rPr>
          <w:sz w:val="20"/>
          <w:szCs w:val="20"/>
          <w:color w:val="auto"/>
        </w:rPr>
      </w:pPr>
      <w:r>
        <w:rPr>
          <w:rFonts w:ascii="Arial" w:cs="Arial" w:eastAsia="Arial" w:hAnsi="Arial"/>
          <w:sz w:val="16"/>
          <w:szCs w:val="16"/>
          <w:color w:val="333333"/>
        </w:rPr>
        <w:t xml:space="preserve">(ii)  </w:t>
      </w:r>
      <w:r>
        <w:rPr>
          <w:rFonts w:ascii="Arial" w:cs="Arial" w:eastAsia="Arial" w:hAnsi="Arial"/>
          <w:sz w:val="16"/>
          <w:szCs w:val="16"/>
          <w:u w:val="single" w:color="auto"/>
          <w:color w:val="333333"/>
        </w:rPr>
        <w:t>Waiting Period and Exercise Dates</w:t>
      </w:r>
      <w:r>
        <w:rPr>
          <w:rFonts w:ascii="Arial" w:cs="Arial" w:eastAsia="Arial" w:hAnsi="Arial"/>
          <w:sz w:val="16"/>
          <w:szCs w:val="16"/>
          <w:color w:val="333333"/>
        </w:rPr>
        <w:t>. At the time an Option is granted, the Administrator will fix the period within which the Option may be exercised and will determine any conditions that must be satisfied before the Option may be exercised.</w:t>
      </w:r>
    </w:p>
    <w:p>
      <w:pPr>
        <w:spacing w:after="0" w:line="117" w:lineRule="exact"/>
        <w:rPr>
          <w:sz w:val="20"/>
          <w:szCs w:val="20"/>
          <w:color w:val="auto"/>
        </w:rPr>
      </w:pPr>
    </w:p>
    <w:p>
      <w:pPr>
        <w:ind w:left="720" w:right="40" w:firstLine="360"/>
        <w:spacing w:after="0" w:line="253" w:lineRule="auto"/>
        <w:rPr>
          <w:sz w:val="20"/>
          <w:szCs w:val="20"/>
          <w:color w:val="auto"/>
        </w:rPr>
      </w:pPr>
      <w:r>
        <w:rPr>
          <w:rFonts w:ascii="Arial" w:cs="Arial" w:eastAsia="Arial" w:hAnsi="Arial"/>
          <w:sz w:val="16"/>
          <w:szCs w:val="16"/>
          <w:color w:val="333333"/>
        </w:rPr>
        <w:t xml:space="preserve">(iii)  </w:t>
      </w:r>
      <w:r>
        <w:rPr>
          <w:rFonts w:ascii="Arial" w:cs="Arial" w:eastAsia="Arial" w:hAnsi="Arial"/>
          <w:sz w:val="16"/>
          <w:szCs w:val="16"/>
          <w:u w:val="single" w:color="auto"/>
          <w:color w:val="333333"/>
        </w:rPr>
        <w:t>Form of Consideration</w:t>
      </w:r>
      <w:r>
        <w:rPr>
          <w:rFonts w:ascii="Arial" w:cs="Arial" w:eastAsia="Arial" w:hAnsi="Arial"/>
          <w:sz w:val="16"/>
          <w:szCs w:val="16"/>
          <w:color w:val="333333"/>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w:t>
      </w:r>
    </w:p>
    <w:p>
      <w:pPr>
        <w:spacing w:after="0" w:line="1" w:lineRule="exact"/>
        <w:rPr>
          <w:sz w:val="20"/>
          <w:szCs w:val="20"/>
          <w:color w:val="auto"/>
        </w:rPr>
      </w:pPr>
    </w:p>
    <w:p>
      <w:pPr>
        <w:ind w:left="720" w:right="140" w:firstLine="6"/>
        <w:spacing w:after="0" w:line="246" w:lineRule="auto"/>
        <w:tabs>
          <w:tab w:leader="none" w:pos="963" w:val="left"/>
        </w:tabs>
        <w:numPr>
          <w:ilvl w:val="0"/>
          <w:numId w:val="64"/>
        </w:numPr>
        <w:rPr>
          <w:rFonts w:ascii="Arial" w:cs="Arial" w:eastAsia="Arial" w:hAnsi="Arial"/>
          <w:sz w:val="16"/>
          <w:szCs w:val="16"/>
          <w:color w:val="333333"/>
        </w:rPr>
      </w:pPr>
      <w:r>
        <w:rPr>
          <w:rFonts w:ascii="Arial" w:cs="Arial" w:eastAsia="Arial" w:hAnsi="Arial"/>
          <w:sz w:val="16"/>
          <w:szCs w:val="16"/>
          <w:color w:val="333333"/>
        </w:rPr>
        <w:t>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w:t>
      </w:r>
    </w:p>
    <w:p>
      <w:pPr>
        <w:spacing w:after="0" w:line="2" w:lineRule="exact"/>
        <w:rPr>
          <w:rFonts w:ascii="Arial" w:cs="Arial" w:eastAsia="Arial" w:hAnsi="Arial"/>
          <w:sz w:val="16"/>
          <w:szCs w:val="16"/>
          <w:color w:val="333333"/>
        </w:rPr>
      </w:pPr>
    </w:p>
    <w:p>
      <w:pPr>
        <w:ind w:left="720" w:right="320" w:firstLine="6"/>
        <w:spacing w:after="0" w:line="265" w:lineRule="auto"/>
        <w:tabs>
          <w:tab w:leader="none" w:pos="963" w:val="left"/>
        </w:tabs>
        <w:numPr>
          <w:ilvl w:val="0"/>
          <w:numId w:val="65"/>
        </w:numPr>
        <w:rPr>
          <w:rFonts w:ascii="Arial" w:cs="Arial" w:eastAsia="Arial" w:hAnsi="Arial"/>
          <w:sz w:val="16"/>
          <w:szCs w:val="16"/>
          <w:color w:val="333333"/>
        </w:rPr>
      </w:pPr>
      <w:r>
        <w:rPr>
          <w:rFonts w:ascii="Arial" w:cs="Arial" w:eastAsia="Arial" w:hAnsi="Arial"/>
          <w:sz w:val="16"/>
          <w:szCs w:val="16"/>
          <w:color w:val="333333"/>
        </w:rPr>
        <w:t>such other consideration and method of payment for the issuance of Shares to the extent permitted by Applicable Laws; or (7) any combination of the foregoing methods of payment.</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 xml:space="preserve">(d)   </w:t>
      </w:r>
      <w:r>
        <w:rPr>
          <w:rFonts w:ascii="Arial" w:cs="Arial" w:eastAsia="Arial" w:hAnsi="Arial"/>
          <w:sz w:val="16"/>
          <w:szCs w:val="16"/>
          <w:u w:val="single" w:color="auto"/>
          <w:color w:val="333333"/>
        </w:rPr>
        <w:t>Exercise of Option</w:t>
      </w:r>
      <w:r>
        <w:rPr>
          <w:rFonts w:ascii="Arial" w:cs="Arial" w:eastAsia="Arial" w:hAnsi="Arial"/>
          <w:sz w:val="16"/>
          <w:szCs w:val="16"/>
          <w:color w:val="333333"/>
        </w:rPr>
        <w:t>.</w:t>
      </w:r>
    </w:p>
    <w:p>
      <w:pPr>
        <w:spacing w:after="0" w:line="167" w:lineRule="exact"/>
        <w:rPr>
          <w:sz w:val="20"/>
          <w:szCs w:val="20"/>
          <w:color w:val="auto"/>
        </w:rPr>
      </w:pPr>
    </w:p>
    <w:p>
      <w:pPr>
        <w:ind w:left="720" w:firstLine="360"/>
        <w:spacing w:after="0" w:line="266" w:lineRule="auto"/>
        <w:rPr>
          <w:sz w:val="20"/>
          <w:szCs w:val="20"/>
          <w:color w:val="auto"/>
        </w:rPr>
      </w:pPr>
      <w:r>
        <w:rPr>
          <w:rFonts w:ascii="Arial" w:cs="Arial" w:eastAsia="Arial" w:hAnsi="Arial"/>
          <w:sz w:val="16"/>
          <w:szCs w:val="16"/>
          <w:color w:val="333333"/>
        </w:rPr>
        <w:t xml:space="preserve">(i)  </w:t>
      </w:r>
      <w:r>
        <w:rPr>
          <w:rFonts w:ascii="Arial" w:cs="Arial" w:eastAsia="Arial" w:hAnsi="Arial"/>
          <w:sz w:val="16"/>
          <w:szCs w:val="16"/>
          <w:u w:val="single" w:color="auto"/>
          <w:color w:val="333333"/>
        </w:rPr>
        <w:t>Procedure for Exercise; Rights as a Stockholder</w:t>
      </w:r>
      <w:r>
        <w:rPr>
          <w:rFonts w:ascii="Arial" w:cs="Arial" w:eastAsia="Arial" w:hAnsi="Arial"/>
          <w:sz w:val="16"/>
          <w:szCs w:val="16"/>
          <w:color w:val="333333"/>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17" w:lineRule="exact"/>
        <w:rPr>
          <w:sz w:val="20"/>
          <w:szCs w:val="20"/>
          <w:color w:val="auto"/>
        </w:rPr>
      </w:pPr>
    </w:p>
    <w:p>
      <w:pPr>
        <w:ind w:firstLine="360"/>
        <w:spacing w:after="0" w:line="250" w:lineRule="auto"/>
        <w:rPr>
          <w:sz w:val="20"/>
          <w:szCs w:val="20"/>
          <w:color w:val="auto"/>
        </w:rPr>
      </w:pPr>
      <w:r>
        <w:rPr>
          <w:rFonts w:ascii="Arial" w:cs="Arial" w:eastAsia="Arial" w:hAnsi="Arial"/>
          <w:sz w:val="16"/>
          <w:szCs w:val="16"/>
          <w:color w:val="333333"/>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35" w:lineRule="exact"/>
        <w:rPr>
          <w:sz w:val="20"/>
          <w:szCs w:val="20"/>
          <w:color w:val="auto"/>
        </w:rPr>
      </w:pPr>
    </w:p>
    <w:p>
      <w:pPr>
        <w:ind w:right="300" w:firstLine="360"/>
        <w:spacing w:after="0" w:line="286" w:lineRule="auto"/>
        <w:rPr>
          <w:sz w:val="20"/>
          <w:szCs w:val="20"/>
          <w:color w:val="auto"/>
        </w:rPr>
      </w:pPr>
      <w:r>
        <w:rPr>
          <w:rFonts w:ascii="Arial" w:cs="Arial" w:eastAsia="Arial" w:hAnsi="Arial"/>
          <w:sz w:val="16"/>
          <w:szCs w:val="16"/>
          <w:color w:val="333333"/>
        </w:rPr>
        <w:t>Exercising an Option in any manner will decrease the number of Shares thereafter available, both for purposes of the Plan and for sale under the Option, by the number of Shares as to which the Option is exercised.</w:t>
      </w:r>
    </w:p>
    <w:p>
      <w:pPr>
        <w:spacing w:after="0" w:line="102" w:lineRule="exact"/>
        <w:rPr>
          <w:sz w:val="20"/>
          <w:szCs w:val="20"/>
          <w:color w:val="auto"/>
        </w:rPr>
      </w:pPr>
    </w:p>
    <w:p>
      <w:pPr>
        <w:ind w:left="720" w:right="80" w:firstLine="360"/>
        <w:spacing w:after="0" w:line="251" w:lineRule="auto"/>
        <w:rPr>
          <w:sz w:val="20"/>
          <w:szCs w:val="20"/>
          <w:color w:val="auto"/>
        </w:rPr>
      </w:pPr>
      <w:r>
        <w:rPr>
          <w:rFonts w:ascii="Arial" w:cs="Arial" w:eastAsia="Arial" w:hAnsi="Arial"/>
          <w:sz w:val="16"/>
          <w:szCs w:val="16"/>
          <w:color w:val="333333"/>
        </w:rPr>
        <w:t xml:space="preserve">(ii)  </w:t>
      </w:r>
      <w:r>
        <w:rPr>
          <w:rFonts w:ascii="Arial" w:cs="Arial" w:eastAsia="Arial" w:hAnsi="Arial"/>
          <w:sz w:val="16"/>
          <w:szCs w:val="16"/>
          <w:u w:val="single" w:color="auto"/>
          <w:color w:val="333333"/>
        </w:rPr>
        <w:t>Termination of Relationship as a Service Provider</w:t>
      </w:r>
      <w:r>
        <w:rPr>
          <w:rFonts w:ascii="Arial" w:cs="Arial" w:eastAsia="Arial" w:hAnsi="Arial"/>
          <w:sz w:val="16"/>
          <w:szCs w:val="16"/>
          <w:color w:val="333333"/>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31" w:lineRule="exact"/>
        <w:rPr>
          <w:sz w:val="20"/>
          <w:szCs w:val="20"/>
          <w:color w:val="auto"/>
        </w:rPr>
      </w:pPr>
    </w:p>
    <w:p>
      <w:pPr>
        <w:ind w:left="720" w:right="240" w:firstLine="360"/>
        <w:spacing w:after="0" w:line="256" w:lineRule="auto"/>
        <w:rPr>
          <w:sz w:val="20"/>
          <w:szCs w:val="20"/>
          <w:color w:val="auto"/>
        </w:rPr>
      </w:pPr>
      <w:r>
        <w:rPr>
          <w:rFonts w:ascii="Arial" w:cs="Arial" w:eastAsia="Arial" w:hAnsi="Arial"/>
          <w:sz w:val="16"/>
          <w:szCs w:val="16"/>
          <w:color w:val="333333"/>
        </w:rPr>
        <w:t xml:space="preserve">(iii)  </w:t>
      </w:r>
      <w:r>
        <w:rPr>
          <w:rFonts w:ascii="Arial" w:cs="Arial" w:eastAsia="Arial" w:hAnsi="Arial"/>
          <w:sz w:val="16"/>
          <w:szCs w:val="16"/>
          <w:u w:val="single" w:color="auto"/>
          <w:color w:val="333333"/>
        </w:rPr>
        <w:t>Disability of Participant</w:t>
      </w:r>
      <w:r>
        <w:rPr>
          <w:rFonts w:ascii="Arial" w:cs="Arial" w:eastAsia="Arial" w:hAnsi="Arial"/>
          <w:sz w:val="16"/>
          <w:szCs w:val="16"/>
          <w:color w:val="333333"/>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85" w:lineRule="exact"/>
        <w:rPr>
          <w:sz w:val="20"/>
          <w:szCs w:val="20"/>
          <w:color w:val="auto"/>
        </w:rPr>
      </w:pPr>
    </w:p>
    <w:p>
      <w:pPr>
        <w:jc w:val="center"/>
        <w:ind w:right="10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720" w:right="40"/>
        <w:spacing w:after="0" w:line="256" w:lineRule="auto"/>
        <w:rPr>
          <w:sz w:val="20"/>
          <w:szCs w:val="20"/>
          <w:color w:val="auto"/>
        </w:rPr>
      </w:pPr>
      <w:r>
        <w:rPr>
          <w:rFonts w:ascii="Arial" w:cs="Arial" w:eastAsia="Arial" w:hAnsi="Arial"/>
          <w:sz w:val="16"/>
          <w:szCs w:val="16"/>
          <w:color w:val="333333"/>
        </w:rPr>
        <w:t>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26" w:lineRule="exact"/>
        <w:rPr>
          <w:sz w:val="20"/>
          <w:szCs w:val="20"/>
          <w:color w:val="auto"/>
        </w:rPr>
      </w:pPr>
    </w:p>
    <w:p>
      <w:pPr>
        <w:ind w:left="720" w:firstLine="360"/>
        <w:spacing w:after="0" w:line="250" w:lineRule="auto"/>
        <w:rPr>
          <w:sz w:val="20"/>
          <w:szCs w:val="20"/>
          <w:color w:val="auto"/>
        </w:rPr>
      </w:pPr>
      <w:r>
        <w:rPr>
          <w:rFonts w:ascii="Arial" w:cs="Arial" w:eastAsia="Arial" w:hAnsi="Arial"/>
          <w:sz w:val="16"/>
          <w:szCs w:val="16"/>
          <w:color w:val="333333"/>
        </w:rPr>
        <w:t xml:space="preserve">(iv)  </w:t>
      </w:r>
      <w:r>
        <w:rPr>
          <w:rFonts w:ascii="Arial" w:cs="Arial" w:eastAsia="Arial" w:hAnsi="Arial"/>
          <w:sz w:val="16"/>
          <w:szCs w:val="16"/>
          <w:u w:val="single" w:color="auto"/>
          <w:color w:val="333333"/>
        </w:rPr>
        <w:t>Death of Participant</w:t>
      </w:r>
      <w:r>
        <w:rPr>
          <w:rFonts w:ascii="Arial" w:cs="Arial" w:eastAsia="Arial" w:hAnsi="Arial"/>
          <w:sz w:val="16"/>
          <w:szCs w:val="16"/>
          <w:color w:val="333333"/>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7.   </w:t>
      </w:r>
      <w:r>
        <w:rPr>
          <w:rFonts w:ascii="Arial" w:cs="Arial" w:eastAsia="Arial" w:hAnsi="Arial"/>
          <w:sz w:val="16"/>
          <w:szCs w:val="16"/>
          <w:u w:val="single" w:color="auto"/>
          <w:color w:val="333333"/>
        </w:rPr>
        <w:t>Restricted Stock</w:t>
      </w:r>
      <w:r>
        <w:rPr>
          <w:rFonts w:ascii="Arial" w:cs="Arial" w:eastAsia="Arial" w:hAnsi="Arial"/>
          <w:sz w:val="16"/>
          <w:szCs w:val="16"/>
          <w:color w:val="333333"/>
        </w:rPr>
        <w:t>.</w:t>
      </w:r>
    </w:p>
    <w:p>
      <w:pPr>
        <w:spacing w:after="0" w:line="167" w:lineRule="exact"/>
        <w:rPr>
          <w:sz w:val="20"/>
          <w:szCs w:val="20"/>
          <w:color w:val="auto"/>
        </w:rPr>
      </w:pPr>
    </w:p>
    <w:p>
      <w:pPr>
        <w:ind w:left="360" w:right="180" w:firstLine="360"/>
        <w:spacing w:after="0" w:line="266" w:lineRule="auto"/>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Grant of Restricted Stock</w:t>
      </w:r>
      <w:r>
        <w:rPr>
          <w:rFonts w:ascii="Arial" w:cs="Arial" w:eastAsia="Arial" w:hAnsi="Arial"/>
          <w:sz w:val="16"/>
          <w:szCs w:val="16"/>
          <w:color w:val="333333"/>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17" w:lineRule="exact"/>
        <w:rPr>
          <w:sz w:val="20"/>
          <w:szCs w:val="20"/>
          <w:color w:val="auto"/>
        </w:rPr>
      </w:pPr>
    </w:p>
    <w:p>
      <w:pPr>
        <w:ind w:left="360" w:right="100" w:firstLine="360"/>
        <w:spacing w:after="0" w:line="259"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Restricted Stock Agreement</w:t>
      </w:r>
      <w:r>
        <w:rPr>
          <w:rFonts w:ascii="Arial" w:cs="Arial" w:eastAsia="Arial" w:hAnsi="Arial"/>
          <w:sz w:val="16"/>
          <w:szCs w:val="16"/>
          <w:color w:val="333333"/>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24" w:lineRule="exact"/>
        <w:rPr>
          <w:sz w:val="20"/>
          <w:szCs w:val="20"/>
          <w:color w:val="auto"/>
        </w:rPr>
      </w:pPr>
    </w:p>
    <w:p>
      <w:pPr>
        <w:ind w:left="360" w:right="40" w:firstLine="360"/>
        <w:spacing w:after="0" w:line="266" w:lineRule="auto"/>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Transferability</w:t>
      </w:r>
      <w:r>
        <w:rPr>
          <w:rFonts w:ascii="Arial" w:cs="Arial" w:eastAsia="Arial" w:hAnsi="Arial"/>
          <w:sz w:val="16"/>
          <w:szCs w:val="16"/>
          <w:color w:val="333333"/>
        </w:rPr>
        <w:t>. Except as provided in this Section 7 or in the Award Agreement, Shares of Restricted Stock may not be sold, transferred, pledged, assigned, or otherwise alienated or hypothecated until the end of the applicable Period of Restriction.</w:t>
      </w:r>
    </w:p>
    <w:p>
      <w:pPr>
        <w:spacing w:after="0" w:line="117" w:lineRule="exact"/>
        <w:rPr>
          <w:sz w:val="20"/>
          <w:szCs w:val="20"/>
          <w:color w:val="auto"/>
        </w:rPr>
      </w:pPr>
    </w:p>
    <w:p>
      <w:pPr>
        <w:ind w:left="360" w:right="580" w:firstLine="360"/>
        <w:spacing w:after="0" w:line="286" w:lineRule="auto"/>
        <w:rPr>
          <w:sz w:val="20"/>
          <w:szCs w:val="20"/>
          <w:color w:val="auto"/>
        </w:rPr>
      </w:pPr>
      <w:r>
        <w:rPr>
          <w:rFonts w:ascii="Arial" w:cs="Arial" w:eastAsia="Arial" w:hAnsi="Arial"/>
          <w:sz w:val="16"/>
          <w:szCs w:val="16"/>
          <w:color w:val="333333"/>
        </w:rPr>
        <w:t xml:space="preserve">(d)  </w:t>
      </w:r>
      <w:r>
        <w:rPr>
          <w:rFonts w:ascii="Arial" w:cs="Arial" w:eastAsia="Arial" w:hAnsi="Arial"/>
          <w:sz w:val="16"/>
          <w:szCs w:val="16"/>
          <w:u w:val="single" w:color="auto"/>
          <w:color w:val="333333"/>
        </w:rPr>
        <w:t>Other Restrictions</w:t>
      </w:r>
      <w:r>
        <w:rPr>
          <w:rFonts w:ascii="Arial" w:cs="Arial" w:eastAsia="Arial" w:hAnsi="Arial"/>
          <w:sz w:val="16"/>
          <w:szCs w:val="16"/>
          <w:color w:val="333333"/>
        </w:rPr>
        <w:t>. The Administrator, in its sole discretion, may impose such other restrictions on Shares of Restricted Stock as it may deem advisable or appropriate.</w:t>
      </w:r>
    </w:p>
    <w:p>
      <w:pPr>
        <w:spacing w:after="0" w:line="102" w:lineRule="exact"/>
        <w:rPr>
          <w:sz w:val="20"/>
          <w:szCs w:val="20"/>
          <w:color w:val="auto"/>
        </w:rPr>
      </w:pPr>
    </w:p>
    <w:p>
      <w:pPr>
        <w:ind w:left="360" w:right="40" w:firstLine="360"/>
        <w:spacing w:after="0" w:line="259" w:lineRule="auto"/>
        <w:rPr>
          <w:sz w:val="20"/>
          <w:szCs w:val="20"/>
          <w:color w:val="auto"/>
        </w:rPr>
      </w:pPr>
      <w:r>
        <w:rPr>
          <w:rFonts w:ascii="Arial" w:cs="Arial" w:eastAsia="Arial" w:hAnsi="Arial"/>
          <w:sz w:val="16"/>
          <w:szCs w:val="16"/>
          <w:color w:val="333333"/>
        </w:rPr>
        <w:t xml:space="preserve">(e)  </w:t>
      </w:r>
      <w:r>
        <w:rPr>
          <w:rFonts w:ascii="Arial" w:cs="Arial" w:eastAsia="Arial" w:hAnsi="Arial"/>
          <w:sz w:val="16"/>
          <w:szCs w:val="16"/>
          <w:u w:val="single" w:color="auto"/>
          <w:color w:val="333333"/>
        </w:rPr>
        <w:t>Removal of Restrictions</w:t>
      </w:r>
      <w:r>
        <w:rPr>
          <w:rFonts w:ascii="Arial" w:cs="Arial" w:eastAsia="Arial" w:hAnsi="Arial"/>
          <w:sz w:val="16"/>
          <w:szCs w:val="16"/>
          <w:color w:val="333333"/>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24" w:lineRule="exact"/>
        <w:rPr>
          <w:sz w:val="20"/>
          <w:szCs w:val="20"/>
          <w:color w:val="auto"/>
        </w:rPr>
      </w:pPr>
    </w:p>
    <w:p>
      <w:pPr>
        <w:jc w:val="both"/>
        <w:ind w:left="360" w:right="560" w:firstLine="360"/>
        <w:spacing w:after="0" w:line="286" w:lineRule="auto"/>
        <w:rPr>
          <w:sz w:val="20"/>
          <w:szCs w:val="20"/>
          <w:color w:val="auto"/>
        </w:rPr>
      </w:pPr>
      <w:r>
        <w:rPr>
          <w:rFonts w:ascii="Arial" w:cs="Arial" w:eastAsia="Arial" w:hAnsi="Arial"/>
          <w:sz w:val="16"/>
          <w:szCs w:val="16"/>
          <w:color w:val="333333"/>
        </w:rPr>
        <w:t xml:space="preserve">(f)  </w:t>
      </w:r>
      <w:r>
        <w:rPr>
          <w:rFonts w:ascii="Arial" w:cs="Arial" w:eastAsia="Arial" w:hAnsi="Arial"/>
          <w:sz w:val="16"/>
          <w:szCs w:val="16"/>
          <w:u w:val="single" w:color="auto"/>
          <w:color w:val="333333"/>
        </w:rPr>
        <w:t>Voting Rights</w:t>
      </w:r>
      <w:r>
        <w:rPr>
          <w:rFonts w:ascii="Arial" w:cs="Arial" w:eastAsia="Arial" w:hAnsi="Arial"/>
          <w:sz w:val="16"/>
          <w:szCs w:val="16"/>
          <w:color w:val="333333"/>
        </w:rPr>
        <w:t>. During the Period of Restriction, Service Providers holding Shares of Restricted Stock granted hereunder may exercise full voting rights with respect to those Shares, unless the Administrator determines otherwise.</w:t>
      </w:r>
    </w:p>
    <w:p>
      <w:pPr>
        <w:spacing w:after="0" w:line="102" w:lineRule="exact"/>
        <w:rPr>
          <w:sz w:val="20"/>
          <w:szCs w:val="20"/>
          <w:color w:val="auto"/>
        </w:rPr>
      </w:pPr>
    </w:p>
    <w:p>
      <w:pPr>
        <w:ind w:left="360" w:right="20" w:firstLine="360"/>
        <w:spacing w:after="0" w:line="256" w:lineRule="auto"/>
        <w:rPr>
          <w:sz w:val="20"/>
          <w:szCs w:val="20"/>
          <w:color w:val="auto"/>
        </w:rPr>
      </w:pPr>
      <w:r>
        <w:rPr>
          <w:rFonts w:ascii="Arial" w:cs="Arial" w:eastAsia="Arial" w:hAnsi="Arial"/>
          <w:sz w:val="16"/>
          <w:szCs w:val="16"/>
          <w:color w:val="333333"/>
        </w:rPr>
        <w:t xml:space="preserve">(g)  </w:t>
      </w:r>
      <w:r>
        <w:rPr>
          <w:rFonts w:ascii="Arial" w:cs="Arial" w:eastAsia="Arial" w:hAnsi="Arial"/>
          <w:sz w:val="16"/>
          <w:szCs w:val="16"/>
          <w:u w:val="single" w:color="auto"/>
          <w:color w:val="333333"/>
        </w:rPr>
        <w:t>Dividends and Other Distributions</w:t>
      </w:r>
      <w:r>
        <w:rPr>
          <w:rFonts w:ascii="Arial" w:cs="Arial" w:eastAsia="Arial" w:hAnsi="Arial"/>
          <w:sz w:val="16"/>
          <w:szCs w:val="16"/>
          <w:color w:val="333333"/>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126" w:lineRule="exact"/>
        <w:rPr>
          <w:sz w:val="20"/>
          <w:szCs w:val="20"/>
          <w:color w:val="auto"/>
        </w:rPr>
      </w:pPr>
    </w:p>
    <w:p>
      <w:pPr>
        <w:ind w:left="360" w:right="360" w:firstLine="360"/>
        <w:spacing w:after="0" w:line="286" w:lineRule="auto"/>
        <w:rPr>
          <w:sz w:val="20"/>
          <w:szCs w:val="20"/>
          <w:color w:val="auto"/>
        </w:rPr>
      </w:pPr>
      <w:r>
        <w:rPr>
          <w:rFonts w:ascii="Arial" w:cs="Arial" w:eastAsia="Arial" w:hAnsi="Arial"/>
          <w:sz w:val="16"/>
          <w:szCs w:val="16"/>
          <w:color w:val="333333"/>
        </w:rPr>
        <w:t xml:space="preserve">(h)  </w:t>
      </w:r>
      <w:r>
        <w:rPr>
          <w:rFonts w:ascii="Arial" w:cs="Arial" w:eastAsia="Arial" w:hAnsi="Arial"/>
          <w:sz w:val="16"/>
          <w:szCs w:val="16"/>
          <w:u w:val="single" w:color="auto"/>
          <w:color w:val="333333"/>
        </w:rPr>
        <w:t>Return of Restricted Stock to Company</w:t>
      </w:r>
      <w:r>
        <w:rPr>
          <w:rFonts w:ascii="Arial" w:cs="Arial" w:eastAsia="Arial" w:hAnsi="Arial"/>
          <w:sz w:val="16"/>
          <w:szCs w:val="16"/>
          <w:color w:val="333333"/>
        </w:rPr>
        <w:t>. On the date set forth in the Award Agreement, the Restricted Stock for which restrictions have not lapsed will revert to the Company and again will become available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61"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8.   </w:t>
      </w:r>
      <w:r>
        <w:rPr>
          <w:rFonts w:ascii="Arial" w:cs="Arial" w:eastAsia="Arial" w:hAnsi="Arial"/>
          <w:sz w:val="16"/>
          <w:szCs w:val="16"/>
          <w:u w:val="single" w:color="auto"/>
          <w:color w:val="333333"/>
        </w:rPr>
        <w:t>Restricted Stock Units</w:t>
      </w:r>
      <w:r>
        <w:rPr>
          <w:rFonts w:ascii="Arial" w:cs="Arial" w:eastAsia="Arial" w:hAnsi="Arial"/>
          <w:sz w:val="16"/>
          <w:szCs w:val="16"/>
          <w:color w:val="333333"/>
        </w:rPr>
        <w:t>.</w:t>
      </w:r>
    </w:p>
    <w:p>
      <w:pPr>
        <w:spacing w:after="0" w:line="167" w:lineRule="exact"/>
        <w:rPr>
          <w:sz w:val="20"/>
          <w:szCs w:val="20"/>
          <w:color w:val="auto"/>
        </w:rPr>
      </w:pPr>
    </w:p>
    <w:p>
      <w:pPr>
        <w:ind w:left="360" w:right="40" w:firstLine="360"/>
        <w:spacing w:after="0" w:line="262" w:lineRule="auto"/>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Grant</w:t>
      </w:r>
      <w:r>
        <w:rPr>
          <w:rFonts w:ascii="Arial" w:cs="Arial" w:eastAsia="Arial" w:hAnsi="Arial"/>
          <w:sz w:val="16"/>
          <w:szCs w:val="16"/>
          <w:color w:val="333333"/>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315" w:lineRule="exact"/>
        <w:rPr>
          <w:sz w:val="20"/>
          <w:szCs w:val="20"/>
          <w:color w:val="auto"/>
        </w:rPr>
      </w:pPr>
    </w:p>
    <w:p>
      <w:pPr>
        <w:ind w:left="360" w:firstLine="360"/>
        <w:spacing w:after="0" w:line="259"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Vesting Criteria and Other Terms</w:t>
      </w:r>
      <w:r>
        <w:rPr>
          <w:rFonts w:ascii="Arial" w:cs="Arial" w:eastAsia="Arial" w:hAnsi="Arial"/>
          <w:sz w:val="16"/>
          <w:szCs w:val="16"/>
          <w:color w:val="333333"/>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24" w:lineRule="exact"/>
        <w:rPr>
          <w:sz w:val="20"/>
          <w:szCs w:val="20"/>
          <w:color w:val="auto"/>
        </w:rPr>
      </w:pPr>
    </w:p>
    <w:p>
      <w:pPr>
        <w:ind w:left="360" w:right="160" w:firstLine="360"/>
        <w:spacing w:after="0" w:line="259" w:lineRule="auto"/>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Earning Restricted Stock Units</w:t>
      </w:r>
      <w:r>
        <w:rPr>
          <w:rFonts w:ascii="Arial" w:cs="Arial" w:eastAsia="Arial" w:hAnsi="Arial"/>
          <w:sz w:val="16"/>
          <w:szCs w:val="16"/>
          <w:color w:val="333333"/>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24" w:lineRule="exact"/>
        <w:rPr>
          <w:sz w:val="20"/>
          <w:szCs w:val="20"/>
          <w:color w:val="auto"/>
        </w:rPr>
      </w:pPr>
    </w:p>
    <w:p>
      <w:pPr>
        <w:ind w:left="360" w:right="140" w:firstLine="360"/>
        <w:spacing w:after="0" w:line="266" w:lineRule="auto"/>
        <w:rPr>
          <w:sz w:val="20"/>
          <w:szCs w:val="20"/>
          <w:color w:val="auto"/>
        </w:rPr>
      </w:pPr>
      <w:r>
        <w:rPr>
          <w:rFonts w:ascii="Arial" w:cs="Arial" w:eastAsia="Arial" w:hAnsi="Arial"/>
          <w:sz w:val="16"/>
          <w:szCs w:val="16"/>
          <w:color w:val="333333"/>
        </w:rPr>
        <w:t xml:space="preserve">(d)  </w:t>
      </w:r>
      <w:r>
        <w:rPr>
          <w:rFonts w:ascii="Arial" w:cs="Arial" w:eastAsia="Arial" w:hAnsi="Arial"/>
          <w:sz w:val="16"/>
          <w:szCs w:val="16"/>
          <w:u w:val="single" w:color="auto"/>
          <w:color w:val="333333"/>
        </w:rPr>
        <w:t>Form and Timing of Payment</w:t>
      </w:r>
      <w:r>
        <w:rPr>
          <w:rFonts w:ascii="Arial" w:cs="Arial" w:eastAsia="Arial" w:hAnsi="Arial"/>
          <w:sz w:val="16"/>
          <w:szCs w:val="16"/>
          <w:color w:val="333333"/>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17" w:lineRule="exact"/>
        <w:rPr>
          <w:sz w:val="20"/>
          <w:szCs w:val="20"/>
          <w:color w:val="auto"/>
        </w:rPr>
      </w:pPr>
    </w:p>
    <w:p>
      <w:pPr>
        <w:ind w:left="360" w:right="140" w:firstLine="360"/>
        <w:spacing w:after="0" w:line="286" w:lineRule="auto"/>
        <w:rPr>
          <w:sz w:val="20"/>
          <w:szCs w:val="20"/>
          <w:color w:val="auto"/>
        </w:rPr>
      </w:pPr>
      <w:r>
        <w:rPr>
          <w:rFonts w:ascii="Arial" w:cs="Arial" w:eastAsia="Arial" w:hAnsi="Arial"/>
          <w:sz w:val="16"/>
          <w:szCs w:val="16"/>
          <w:color w:val="333333"/>
        </w:rPr>
        <w:t xml:space="preserve">(e)  </w:t>
      </w:r>
      <w:r>
        <w:rPr>
          <w:rFonts w:ascii="Arial" w:cs="Arial" w:eastAsia="Arial" w:hAnsi="Arial"/>
          <w:sz w:val="16"/>
          <w:szCs w:val="16"/>
          <w:u w:val="single" w:color="auto"/>
          <w:color w:val="333333"/>
        </w:rPr>
        <w:t>Cancellation</w:t>
      </w:r>
      <w:r>
        <w:rPr>
          <w:rFonts w:ascii="Arial" w:cs="Arial" w:eastAsia="Arial" w:hAnsi="Arial"/>
          <w:sz w:val="16"/>
          <w:szCs w:val="16"/>
          <w:color w:val="333333"/>
        </w:rPr>
        <w:t>. On the date set forth in the Award Agreement, all unearned Restricted Stock Units will be forfeited to the Company.</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9.   </w:t>
      </w:r>
      <w:r>
        <w:rPr>
          <w:rFonts w:ascii="Arial" w:cs="Arial" w:eastAsia="Arial" w:hAnsi="Arial"/>
          <w:sz w:val="16"/>
          <w:szCs w:val="16"/>
          <w:u w:val="single" w:color="auto"/>
          <w:color w:val="333333"/>
        </w:rPr>
        <w:t>Stock Appreciation Rights</w:t>
      </w:r>
      <w:r>
        <w:rPr>
          <w:rFonts w:ascii="Arial" w:cs="Arial" w:eastAsia="Arial" w:hAnsi="Arial"/>
          <w:sz w:val="16"/>
          <w:szCs w:val="16"/>
          <w:color w:val="333333"/>
        </w:rPr>
        <w:t>.</w:t>
      </w:r>
    </w:p>
    <w:p>
      <w:pPr>
        <w:spacing w:after="0" w:line="167" w:lineRule="exact"/>
        <w:rPr>
          <w:sz w:val="20"/>
          <w:szCs w:val="20"/>
          <w:color w:val="auto"/>
        </w:rPr>
      </w:pPr>
    </w:p>
    <w:p>
      <w:pPr>
        <w:ind w:left="360" w:right="20" w:firstLine="360"/>
        <w:spacing w:after="0" w:line="266" w:lineRule="auto"/>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Grant of Stock Appreciation Rights</w:t>
      </w:r>
      <w:r>
        <w:rPr>
          <w:rFonts w:ascii="Arial" w:cs="Arial" w:eastAsia="Arial" w:hAnsi="Arial"/>
          <w:sz w:val="16"/>
          <w:szCs w:val="16"/>
          <w:color w:val="333333"/>
        </w:rPr>
        <w:t>. Subject to the terms and conditions of the Plan, a Stock Appreciation Right may be granted to Service Providers at any time and from time to time as will be determined by the Administrator, in its sole discretion.</w:t>
      </w:r>
    </w:p>
    <w:p>
      <w:pPr>
        <w:spacing w:after="0" w:line="117" w:lineRule="exact"/>
        <w:rPr>
          <w:sz w:val="20"/>
          <w:szCs w:val="20"/>
          <w:color w:val="auto"/>
        </w:rPr>
      </w:pPr>
    </w:p>
    <w:p>
      <w:pPr>
        <w:ind w:left="360" w:right="120" w:firstLine="360"/>
        <w:spacing w:after="0" w:line="286"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Number of Shares</w:t>
      </w:r>
      <w:r>
        <w:rPr>
          <w:rFonts w:ascii="Arial" w:cs="Arial" w:eastAsia="Arial" w:hAnsi="Arial"/>
          <w:sz w:val="16"/>
          <w:szCs w:val="16"/>
          <w:color w:val="333333"/>
        </w:rPr>
        <w:t>. The Administrator will have complete discretion to determine the number of Stock Appreciation Rights granted to any Service Provider.</w:t>
      </w:r>
    </w:p>
    <w:p>
      <w:pPr>
        <w:spacing w:after="0" w:line="102" w:lineRule="exact"/>
        <w:rPr>
          <w:sz w:val="20"/>
          <w:szCs w:val="20"/>
          <w:color w:val="auto"/>
        </w:rPr>
      </w:pPr>
    </w:p>
    <w:p>
      <w:pPr>
        <w:ind w:left="360" w:right="60" w:firstLine="360"/>
        <w:spacing w:after="0" w:line="254" w:lineRule="auto"/>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Exercise Price and Other Terms</w:t>
      </w:r>
      <w:r>
        <w:rPr>
          <w:rFonts w:ascii="Arial" w:cs="Arial" w:eastAsia="Arial" w:hAnsi="Arial"/>
          <w:sz w:val="16"/>
          <w:szCs w:val="16"/>
          <w:color w:val="333333"/>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128" w:lineRule="exact"/>
        <w:rPr>
          <w:sz w:val="20"/>
          <w:szCs w:val="20"/>
          <w:color w:val="auto"/>
        </w:rPr>
      </w:pPr>
    </w:p>
    <w:p>
      <w:pPr>
        <w:ind w:left="360" w:right="160" w:firstLine="360"/>
        <w:spacing w:after="0" w:line="266" w:lineRule="auto"/>
        <w:rPr>
          <w:sz w:val="20"/>
          <w:szCs w:val="20"/>
          <w:color w:val="auto"/>
        </w:rPr>
      </w:pPr>
      <w:r>
        <w:rPr>
          <w:rFonts w:ascii="Arial" w:cs="Arial" w:eastAsia="Arial" w:hAnsi="Arial"/>
          <w:sz w:val="16"/>
          <w:szCs w:val="16"/>
          <w:color w:val="333333"/>
        </w:rPr>
        <w:t xml:space="preserve">(d)  </w:t>
      </w:r>
      <w:r>
        <w:rPr>
          <w:rFonts w:ascii="Arial" w:cs="Arial" w:eastAsia="Arial" w:hAnsi="Arial"/>
          <w:sz w:val="16"/>
          <w:szCs w:val="16"/>
          <w:u w:val="single" w:color="auto"/>
          <w:color w:val="333333"/>
        </w:rPr>
        <w:t>Stock Appreciation Right Agreement</w:t>
      </w:r>
      <w:r>
        <w:rPr>
          <w:rFonts w:ascii="Arial" w:cs="Arial" w:eastAsia="Arial" w:hAnsi="Arial"/>
          <w:sz w:val="16"/>
          <w:szCs w:val="16"/>
          <w:color w:val="333333"/>
        </w:rPr>
        <w:t xml:space="preserve"> .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17" w:lineRule="exact"/>
        <w:rPr>
          <w:sz w:val="20"/>
          <w:szCs w:val="20"/>
          <w:color w:val="auto"/>
        </w:rPr>
      </w:pPr>
    </w:p>
    <w:p>
      <w:pPr>
        <w:ind w:left="360" w:firstLine="360"/>
        <w:spacing w:after="0" w:line="259" w:lineRule="auto"/>
        <w:rPr>
          <w:sz w:val="20"/>
          <w:szCs w:val="20"/>
          <w:color w:val="auto"/>
        </w:rPr>
      </w:pPr>
      <w:r>
        <w:rPr>
          <w:rFonts w:ascii="Arial" w:cs="Arial" w:eastAsia="Arial" w:hAnsi="Arial"/>
          <w:sz w:val="16"/>
          <w:szCs w:val="16"/>
          <w:color w:val="333333"/>
        </w:rPr>
        <w:t xml:space="preserve">(e)  </w:t>
      </w:r>
      <w:r>
        <w:rPr>
          <w:rFonts w:ascii="Arial" w:cs="Arial" w:eastAsia="Arial" w:hAnsi="Arial"/>
          <w:sz w:val="16"/>
          <w:szCs w:val="16"/>
          <w:u w:val="single" w:color="auto"/>
          <w:color w:val="333333"/>
        </w:rPr>
        <w:t>Expiration of Stock Appreciation Rights</w:t>
      </w:r>
      <w:r>
        <w:rPr>
          <w:rFonts w:ascii="Arial" w:cs="Arial" w:eastAsia="Arial" w:hAnsi="Arial"/>
          <w:sz w:val="16"/>
          <w:szCs w:val="16"/>
          <w:color w:val="333333"/>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24" w:lineRule="exact"/>
        <w:rPr>
          <w:sz w:val="20"/>
          <w:szCs w:val="20"/>
          <w:color w:val="auto"/>
        </w:rPr>
      </w:pPr>
    </w:p>
    <w:p>
      <w:pPr>
        <w:ind w:left="360" w:right="120" w:firstLine="360"/>
        <w:spacing w:after="0" w:line="256" w:lineRule="auto"/>
        <w:rPr>
          <w:sz w:val="20"/>
          <w:szCs w:val="20"/>
          <w:color w:val="auto"/>
        </w:rPr>
      </w:pPr>
      <w:r>
        <w:rPr>
          <w:rFonts w:ascii="Arial" w:cs="Arial" w:eastAsia="Arial" w:hAnsi="Arial"/>
          <w:sz w:val="16"/>
          <w:szCs w:val="16"/>
          <w:color w:val="333333"/>
        </w:rPr>
        <w:t xml:space="preserve">(f)  </w:t>
      </w:r>
      <w:r>
        <w:rPr>
          <w:rFonts w:ascii="Arial" w:cs="Arial" w:eastAsia="Arial" w:hAnsi="Arial"/>
          <w:sz w:val="16"/>
          <w:szCs w:val="16"/>
          <w:u w:val="single" w:color="auto"/>
          <w:color w:val="333333"/>
        </w:rPr>
        <w:t>Payment of Stock Appreciation Right Amount</w:t>
      </w:r>
      <w:r>
        <w:rPr>
          <w:rFonts w:ascii="Arial" w:cs="Arial" w:eastAsia="Arial" w:hAnsi="Arial"/>
          <w:sz w:val="16"/>
          <w:szCs w:val="16"/>
          <w:color w:val="333333"/>
        </w:rPr>
        <w: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10.   </w:t>
      </w:r>
      <w:r>
        <w:rPr>
          <w:rFonts w:ascii="Arial" w:cs="Arial" w:eastAsia="Arial" w:hAnsi="Arial"/>
          <w:sz w:val="16"/>
          <w:szCs w:val="16"/>
          <w:u w:val="single" w:color="auto"/>
          <w:color w:val="333333"/>
        </w:rPr>
        <w:t>Performance Units and Performance Shares</w:t>
      </w: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80"/>
        <w:spacing w:after="0"/>
        <w:tabs>
          <w:tab w:leader="none" w:pos="240" w:val="left"/>
          <w:tab w:leader="none" w:pos="22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40" w:firstLine="360"/>
        <w:spacing w:after="0" w:line="259" w:lineRule="auto"/>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Grant of Performance Units/Shares</w:t>
      </w:r>
      <w:r>
        <w:rPr>
          <w:rFonts w:ascii="Arial" w:cs="Arial" w:eastAsia="Arial" w:hAnsi="Arial"/>
          <w:sz w:val="16"/>
          <w:szCs w:val="16"/>
          <w:color w:val="333333"/>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24" w:lineRule="exact"/>
        <w:rPr>
          <w:sz w:val="20"/>
          <w:szCs w:val="20"/>
          <w:color w:val="auto"/>
        </w:rPr>
      </w:pPr>
    </w:p>
    <w:p>
      <w:pPr>
        <w:ind w:left="360" w:right="80" w:firstLine="360"/>
        <w:spacing w:after="0" w:line="266"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Value of Performance Units/Shares</w:t>
      </w:r>
      <w:r>
        <w:rPr>
          <w:rFonts w:ascii="Arial" w:cs="Arial" w:eastAsia="Arial" w:hAnsi="Arial"/>
          <w:sz w:val="16"/>
          <w:szCs w:val="16"/>
          <w:color w:val="333333"/>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17" w:lineRule="exact"/>
        <w:rPr>
          <w:sz w:val="20"/>
          <w:szCs w:val="20"/>
          <w:color w:val="auto"/>
        </w:rPr>
      </w:pPr>
    </w:p>
    <w:p>
      <w:pPr>
        <w:ind w:left="360" w:firstLine="360"/>
        <w:spacing w:after="0" w:line="252" w:lineRule="auto"/>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Performance Objectives and Other Terms</w:t>
      </w:r>
      <w:r>
        <w:rPr>
          <w:rFonts w:ascii="Arial" w:cs="Arial" w:eastAsia="Arial" w:hAnsi="Arial"/>
          <w:sz w:val="16"/>
          <w:szCs w:val="16"/>
          <w:color w:val="333333"/>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29" w:lineRule="exact"/>
        <w:rPr>
          <w:sz w:val="20"/>
          <w:szCs w:val="20"/>
          <w:color w:val="auto"/>
        </w:rPr>
      </w:pPr>
    </w:p>
    <w:p>
      <w:pPr>
        <w:ind w:left="360" w:right="20" w:firstLine="360"/>
        <w:spacing w:after="0" w:line="255" w:lineRule="auto"/>
        <w:rPr>
          <w:sz w:val="20"/>
          <w:szCs w:val="20"/>
          <w:color w:val="auto"/>
        </w:rPr>
      </w:pPr>
      <w:r>
        <w:rPr>
          <w:rFonts w:ascii="Arial" w:cs="Arial" w:eastAsia="Arial" w:hAnsi="Arial"/>
          <w:sz w:val="16"/>
          <w:szCs w:val="16"/>
          <w:color w:val="333333"/>
        </w:rPr>
        <w:t xml:space="preserve">(d)  </w:t>
      </w:r>
      <w:r>
        <w:rPr>
          <w:rFonts w:ascii="Arial" w:cs="Arial" w:eastAsia="Arial" w:hAnsi="Arial"/>
          <w:sz w:val="16"/>
          <w:szCs w:val="16"/>
          <w:u w:val="single" w:color="auto"/>
          <w:color w:val="333333"/>
        </w:rPr>
        <w:t>Earning of Performance Units/Shares</w:t>
      </w:r>
      <w:r>
        <w:rPr>
          <w:rFonts w:ascii="Arial" w:cs="Arial" w:eastAsia="Arial" w:hAnsi="Arial"/>
          <w:sz w:val="16"/>
          <w:szCs w:val="16"/>
          <w:color w:val="333333"/>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319" w:lineRule="exact"/>
        <w:rPr>
          <w:sz w:val="20"/>
          <w:szCs w:val="20"/>
          <w:color w:val="auto"/>
        </w:rPr>
      </w:pPr>
    </w:p>
    <w:p>
      <w:pPr>
        <w:ind w:left="360" w:right="200" w:firstLine="360"/>
        <w:spacing w:after="0" w:line="256" w:lineRule="auto"/>
        <w:rPr>
          <w:sz w:val="20"/>
          <w:szCs w:val="20"/>
          <w:color w:val="auto"/>
        </w:rPr>
      </w:pPr>
      <w:r>
        <w:rPr>
          <w:rFonts w:ascii="Arial" w:cs="Arial" w:eastAsia="Arial" w:hAnsi="Arial"/>
          <w:sz w:val="16"/>
          <w:szCs w:val="16"/>
          <w:color w:val="333333"/>
        </w:rPr>
        <w:t xml:space="preserve">(e)  </w:t>
      </w:r>
      <w:r>
        <w:rPr>
          <w:rFonts w:ascii="Arial" w:cs="Arial" w:eastAsia="Arial" w:hAnsi="Arial"/>
          <w:sz w:val="16"/>
          <w:szCs w:val="16"/>
          <w:u w:val="single" w:color="auto"/>
          <w:color w:val="333333"/>
        </w:rPr>
        <w:t>Form and Timing of Payment of Performance Units/Shares</w:t>
      </w:r>
      <w:r>
        <w:rPr>
          <w:rFonts w:ascii="Arial" w:cs="Arial" w:eastAsia="Arial" w:hAnsi="Arial"/>
          <w:sz w:val="16"/>
          <w:szCs w:val="16"/>
          <w:color w:val="333333"/>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26" w:lineRule="exact"/>
        <w:rPr>
          <w:sz w:val="20"/>
          <w:szCs w:val="20"/>
          <w:color w:val="auto"/>
        </w:rPr>
      </w:pPr>
    </w:p>
    <w:p>
      <w:pPr>
        <w:ind w:left="360" w:right="120" w:firstLine="360"/>
        <w:spacing w:after="0" w:line="286" w:lineRule="auto"/>
        <w:rPr>
          <w:sz w:val="20"/>
          <w:szCs w:val="20"/>
          <w:color w:val="auto"/>
        </w:rPr>
      </w:pPr>
      <w:r>
        <w:rPr>
          <w:rFonts w:ascii="Arial" w:cs="Arial" w:eastAsia="Arial" w:hAnsi="Arial"/>
          <w:sz w:val="16"/>
          <w:szCs w:val="16"/>
          <w:color w:val="333333"/>
        </w:rPr>
        <w:t xml:space="preserve">(f)  </w:t>
      </w:r>
      <w:r>
        <w:rPr>
          <w:rFonts w:ascii="Arial" w:cs="Arial" w:eastAsia="Arial" w:hAnsi="Arial"/>
          <w:sz w:val="16"/>
          <w:szCs w:val="16"/>
          <w:u w:val="single" w:color="auto"/>
          <w:color w:val="333333"/>
        </w:rPr>
        <w:t>Cancellation of Performance Units/Shares</w:t>
      </w:r>
      <w:r>
        <w:rPr>
          <w:rFonts w:ascii="Arial" w:cs="Arial" w:eastAsia="Arial" w:hAnsi="Arial"/>
          <w:sz w:val="16"/>
          <w:szCs w:val="16"/>
          <w:color w:val="333333"/>
        </w:rPr>
        <w:t>. On the date set forth in the Award Agreement, all unearned or unvested Performance Units/Shares will be forfeited to the Company, and again will be available for grant under the Plan.</w:t>
      </w:r>
    </w:p>
    <w:p>
      <w:pPr>
        <w:spacing w:after="0" w:line="102" w:lineRule="exact"/>
        <w:rPr>
          <w:sz w:val="20"/>
          <w:szCs w:val="20"/>
          <w:color w:val="auto"/>
        </w:rPr>
      </w:pPr>
    </w:p>
    <w:p>
      <w:pPr>
        <w:ind w:right="260" w:firstLine="360"/>
        <w:spacing w:after="0" w:line="252" w:lineRule="auto"/>
        <w:rPr>
          <w:sz w:val="20"/>
          <w:szCs w:val="20"/>
          <w:color w:val="auto"/>
        </w:rPr>
      </w:pPr>
      <w:r>
        <w:rPr>
          <w:rFonts w:ascii="Arial" w:cs="Arial" w:eastAsia="Arial" w:hAnsi="Arial"/>
          <w:sz w:val="16"/>
          <w:szCs w:val="16"/>
          <w:color w:val="333333"/>
        </w:rPr>
        <w:t xml:space="preserve">11.  </w:t>
      </w:r>
      <w:r>
        <w:rPr>
          <w:rFonts w:ascii="Arial" w:cs="Arial" w:eastAsia="Arial" w:hAnsi="Arial"/>
          <w:sz w:val="16"/>
          <w:szCs w:val="16"/>
          <w:u w:val="single" w:color="auto"/>
          <w:color w:val="333333"/>
        </w:rPr>
        <w:t>Leaves of Absence/Transfers Between Locations</w:t>
      </w:r>
      <w:r>
        <w:rPr>
          <w:rFonts w:ascii="Arial" w:cs="Arial" w:eastAsia="Arial" w:hAnsi="Arial"/>
          <w:sz w:val="16"/>
          <w:szCs w:val="16"/>
          <w:color w:val="333333"/>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129" w:lineRule="exact"/>
        <w:rPr>
          <w:sz w:val="20"/>
          <w:szCs w:val="20"/>
          <w:color w:val="auto"/>
        </w:rPr>
      </w:pPr>
    </w:p>
    <w:p>
      <w:pPr>
        <w:ind w:right="40" w:firstLine="360"/>
        <w:spacing w:after="0" w:line="256" w:lineRule="auto"/>
        <w:rPr>
          <w:sz w:val="20"/>
          <w:szCs w:val="20"/>
          <w:color w:val="auto"/>
        </w:rPr>
      </w:pPr>
      <w:r>
        <w:rPr>
          <w:rFonts w:ascii="Arial" w:cs="Arial" w:eastAsia="Arial" w:hAnsi="Arial"/>
          <w:sz w:val="16"/>
          <w:szCs w:val="16"/>
          <w:color w:val="333333"/>
        </w:rPr>
        <w:t xml:space="preserve">12.  </w:t>
      </w:r>
      <w:r>
        <w:rPr>
          <w:rFonts w:ascii="Arial" w:cs="Arial" w:eastAsia="Arial" w:hAnsi="Arial"/>
          <w:sz w:val="16"/>
          <w:szCs w:val="16"/>
          <w:u w:val="single" w:color="auto"/>
          <w:color w:val="333333"/>
        </w:rPr>
        <w:t>Transferability of Awards</w:t>
      </w:r>
      <w:r>
        <w:rPr>
          <w:rFonts w:ascii="Arial" w:cs="Arial" w:eastAsia="Arial" w:hAnsi="Arial"/>
          <w:sz w:val="16"/>
          <w:szCs w:val="16"/>
          <w:color w:val="333333"/>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13.   </w:t>
      </w:r>
      <w:r>
        <w:rPr>
          <w:rFonts w:ascii="Arial" w:cs="Arial" w:eastAsia="Arial" w:hAnsi="Arial"/>
          <w:sz w:val="16"/>
          <w:szCs w:val="16"/>
          <w:u w:val="single" w:color="auto"/>
          <w:color w:val="333333"/>
        </w:rPr>
        <w:t>Adjustments; Dissolution or Liquidation; Merger or Change in Control</w:t>
      </w:r>
      <w:r>
        <w:rPr>
          <w:rFonts w:ascii="Arial" w:cs="Arial" w:eastAsia="Arial" w:hAnsi="Arial"/>
          <w:sz w:val="16"/>
          <w:szCs w:val="16"/>
          <w:color w:val="333333"/>
        </w:rPr>
        <w:t>.</w:t>
      </w:r>
    </w:p>
    <w:p>
      <w:pPr>
        <w:spacing w:after="0" w:line="167" w:lineRule="exact"/>
        <w:rPr>
          <w:sz w:val="20"/>
          <w:szCs w:val="20"/>
          <w:color w:val="auto"/>
        </w:rPr>
      </w:pPr>
    </w:p>
    <w:p>
      <w:pPr>
        <w:ind w:left="360" w:right="20" w:firstLine="360"/>
        <w:spacing w:after="0" w:line="266" w:lineRule="auto"/>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Adjustments</w:t>
      </w:r>
      <w:r>
        <w:rPr>
          <w:rFonts w:ascii="Arial" w:cs="Arial" w:eastAsia="Arial" w:hAnsi="Arial"/>
          <w:sz w:val="16"/>
          <w:szCs w:val="16"/>
          <w:color w:val="333333"/>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jc w:val="center"/>
        <w:ind w:right="120"/>
        <w:spacing w:after="0"/>
        <w:tabs>
          <w:tab w:leader="none" w:pos="200" w:val="left"/>
          <w:tab w:leader="none" w:pos="2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I-10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140"/>
        <w:spacing w:after="0" w:line="259" w:lineRule="auto"/>
        <w:rPr>
          <w:sz w:val="20"/>
          <w:szCs w:val="20"/>
          <w:color w:val="auto"/>
        </w:rPr>
      </w:pPr>
      <w:r>
        <w:rPr>
          <w:rFonts w:ascii="Arial" w:cs="Arial" w:eastAsia="Arial" w:hAnsi="Arial"/>
          <w:sz w:val="16"/>
          <w:szCs w:val="16"/>
          <w:color w:val="333333"/>
        </w:rPr>
        <w:t>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24" w:lineRule="exact"/>
        <w:rPr>
          <w:sz w:val="20"/>
          <w:szCs w:val="20"/>
          <w:color w:val="auto"/>
        </w:rPr>
      </w:pPr>
    </w:p>
    <w:p>
      <w:pPr>
        <w:jc w:val="both"/>
        <w:ind w:left="360" w:right="120" w:firstLine="360"/>
        <w:spacing w:after="0" w:line="266"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Dissolution or Liquidation</w:t>
      </w:r>
      <w:r>
        <w:rPr>
          <w:rFonts w:ascii="Arial" w:cs="Arial" w:eastAsia="Arial" w:hAnsi="Arial"/>
          <w:sz w:val="16"/>
          <w:szCs w:val="16"/>
          <w:color w:val="333333"/>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17" w:lineRule="exact"/>
        <w:rPr>
          <w:sz w:val="20"/>
          <w:szCs w:val="20"/>
          <w:color w:val="auto"/>
        </w:rPr>
      </w:pPr>
    </w:p>
    <w:p>
      <w:pPr>
        <w:ind w:left="360" w:right="140" w:firstLine="360"/>
        <w:spacing w:after="0" w:line="259" w:lineRule="auto"/>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Change in Control</w:t>
      </w:r>
      <w:r>
        <w:rPr>
          <w:rFonts w:ascii="Arial" w:cs="Arial" w:eastAsia="Arial" w:hAnsi="Arial"/>
          <w:sz w:val="16"/>
          <w:szCs w:val="16"/>
          <w:color w:val="333333"/>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24" w:lineRule="exact"/>
        <w:rPr>
          <w:sz w:val="20"/>
          <w:szCs w:val="20"/>
          <w:color w:val="auto"/>
        </w:rPr>
      </w:pPr>
    </w:p>
    <w:p>
      <w:pPr>
        <w:ind w:right="100" w:firstLine="360"/>
        <w:spacing w:after="0" w:line="252" w:lineRule="auto"/>
        <w:rPr>
          <w:sz w:val="20"/>
          <w:szCs w:val="20"/>
          <w:color w:val="auto"/>
        </w:rPr>
      </w:pPr>
      <w:r>
        <w:rPr>
          <w:rFonts w:ascii="Arial" w:cs="Arial" w:eastAsia="Arial" w:hAnsi="Arial"/>
          <w:sz w:val="16"/>
          <w:szCs w:val="16"/>
          <w:color w:val="333333"/>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29" w:lineRule="exact"/>
        <w:rPr>
          <w:sz w:val="20"/>
          <w:szCs w:val="20"/>
          <w:color w:val="auto"/>
        </w:rPr>
      </w:pPr>
    </w:p>
    <w:p>
      <w:pPr>
        <w:ind w:right="60" w:firstLine="360"/>
        <w:spacing w:after="0" w:line="250" w:lineRule="auto"/>
        <w:rPr>
          <w:sz w:val="20"/>
          <w:szCs w:val="20"/>
          <w:color w:val="auto"/>
        </w:rPr>
      </w:pPr>
      <w:r>
        <w:rPr>
          <w:rFonts w:ascii="Arial" w:cs="Arial" w:eastAsia="Arial" w:hAnsi="Arial"/>
          <w:sz w:val="16"/>
          <w:szCs w:val="16"/>
          <w:color w:val="333333"/>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35" w:lineRule="exact"/>
        <w:rPr>
          <w:sz w:val="20"/>
          <w:szCs w:val="20"/>
          <w:color w:val="auto"/>
        </w:rPr>
      </w:pPr>
    </w:p>
    <w:p>
      <w:pPr>
        <w:ind w:right="80" w:firstLine="360"/>
        <w:spacing w:after="0" w:line="256" w:lineRule="auto"/>
        <w:rPr>
          <w:sz w:val="20"/>
          <w:szCs w:val="20"/>
          <w:color w:val="auto"/>
        </w:rPr>
      </w:pPr>
      <w:r>
        <w:rPr>
          <w:rFonts w:ascii="Arial" w:cs="Arial" w:eastAsia="Arial" w:hAnsi="Arial"/>
          <w:sz w:val="16"/>
          <w:szCs w:val="16"/>
          <w:color w:val="333333"/>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26" w:lineRule="exact"/>
        <w:rPr>
          <w:sz w:val="20"/>
          <w:szCs w:val="20"/>
          <w:color w:val="auto"/>
        </w:rPr>
      </w:pPr>
    </w:p>
    <w:p>
      <w:pPr>
        <w:ind w:left="360" w:firstLine="360"/>
        <w:spacing w:after="0" w:line="252" w:lineRule="auto"/>
        <w:rPr>
          <w:sz w:val="20"/>
          <w:szCs w:val="20"/>
          <w:color w:val="auto"/>
        </w:rPr>
      </w:pPr>
      <w:r>
        <w:rPr>
          <w:rFonts w:ascii="Arial" w:cs="Arial" w:eastAsia="Arial" w:hAnsi="Arial"/>
          <w:sz w:val="16"/>
          <w:szCs w:val="16"/>
          <w:color w:val="333333"/>
        </w:rPr>
        <w:t xml:space="preserve">(d)  </w:t>
      </w:r>
      <w:r>
        <w:rPr>
          <w:rFonts w:ascii="Arial" w:cs="Arial" w:eastAsia="Arial" w:hAnsi="Arial"/>
          <w:sz w:val="16"/>
          <w:szCs w:val="16"/>
          <w:u w:val="single" w:color="auto"/>
          <w:color w:val="333333"/>
        </w:rPr>
        <w:t>Outside Director Awards</w:t>
      </w:r>
      <w:r>
        <w:rPr>
          <w:rFonts w:ascii="Arial" w:cs="Arial" w:eastAsia="Arial" w:hAnsi="Arial"/>
          <w:sz w:val="16"/>
          <w:szCs w:val="16"/>
          <w:color w:val="333333"/>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14.   </w:t>
      </w:r>
      <w:r>
        <w:rPr>
          <w:rFonts w:ascii="Arial" w:cs="Arial" w:eastAsia="Arial" w:hAnsi="Arial"/>
          <w:sz w:val="16"/>
          <w:szCs w:val="16"/>
          <w:u w:val="single" w:color="auto"/>
          <w:color w:val="333333"/>
        </w:rPr>
        <w:t>Tax</w:t>
      </w:r>
      <w:r>
        <w:rPr>
          <w:rFonts w:ascii="Arial" w:cs="Arial" w:eastAsia="Arial" w:hAnsi="Arial"/>
          <w:sz w:val="16"/>
          <w:szCs w:val="16"/>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00"/>
        <w:spacing w:after="0"/>
        <w:tabs>
          <w:tab w:leader="none" w:pos="200" w:val="left"/>
          <w:tab w:leader="none" w:pos="2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I-11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140" w:firstLine="360"/>
        <w:spacing w:after="0" w:line="259" w:lineRule="auto"/>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Withholding Requirements</w:t>
      </w:r>
      <w:r>
        <w:rPr>
          <w:rFonts w:ascii="Arial" w:cs="Arial" w:eastAsia="Arial" w:hAnsi="Arial"/>
          <w:sz w:val="16"/>
          <w:szCs w:val="16"/>
          <w:color w:val="333333"/>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24" w:lineRule="exact"/>
        <w:rPr>
          <w:sz w:val="20"/>
          <w:szCs w:val="20"/>
          <w:color w:val="auto"/>
        </w:rPr>
      </w:pPr>
    </w:p>
    <w:p>
      <w:pPr>
        <w:ind w:left="360" w:right="100" w:firstLine="360"/>
        <w:spacing w:after="0" w:line="253"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Withholding Arrangements</w:t>
      </w:r>
      <w:r>
        <w:rPr>
          <w:rFonts w:ascii="Arial" w:cs="Arial" w:eastAsia="Arial" w:hAnsi="Arial"/>
          <w:sz w:val="16"/>
          <w:szCs w:val="16"/>
          <w:color w:val="333333"/>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27" w:lineRule="exact"/>
        <w:rPr>
          <w:sz w:val="20"/>
          <w:szCs w:val="20"/>
          <w:color w:val="auto"/>
        </w:rPr>
      </w:pPr>
    </w:p>
    <w:p>
      <w:pPr>
        <w:ind w:left="360" w:right="80" w:firstLine="360"/>
        <w:spacing w:after="0" w:line="251" w:lineRule="auto"/>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Compliance With Code Section 409A</w:t>
      </w:r>
      <w:r>
        <w:rPr>
          <w:rFonts w:ascii="Arial" w:cs="Arial" w:eastAsia="Arial" w:hAnsi="Arial"/>
          <w:sz w:val="16"/>
          <w:szCs w:val="16"/>
          <w:color w:val="333333"/>
        </w:rPr>
        <w:t xml:space="preserve"> .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31"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333333"/>
        </w:rPr>
        <w:t xml:space="preserve">15.  </w:t>
      </w:r>
      <w:r>
        <w:rPr>
          <w:rFonts w:ascii="Arial" w:cs="Arial" w:eastAsia="Arial" w:hAnsi="Arial"/>
          <w:sz w:val="16"/>
          <w:szCs w:val="16"/>
          <w:u w:val="single" w:color="auto"/>
          <w:color w:val="333333"/>
        </w:rPr>
        <w:t>No Effect on Employment or Service</w:t>
      </w:r>
      <w:r>
        <w:rPr>
          <w:rFonts w:ascii="Arial" w:cs="Arial" w:eastAsia="Arial" w:hAnsi="Arial"/>
          <w:sz w:val="16"/>
          <w:szCs w:val="16"/>
          <w:color w:val="333333"/>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24" w:lineRule="exact"/>
        <w:rPr>
          <w:sz w:val="20"/>
          <w:szCs w:val="20"/>
          <w:color w:val="auto"/>
        </w:rPr>
      </w:pPr>
    </w:p>
    <w:p>
      <w:pPr>
        <w:ind w:right="140" w:firstLine="360"/>
        <w:spacing w:after="0" w:line="266" w:lineRule="auto"/>
        <w:rPr>
          <w:sz w:val="20"/>
          <w:szCs w:val="20"/>
          <w:color w:val="auto"/>
        </w:rPr>
      </w:pPr>
      <w:r>
        <w:rPr>
          <w:rFonts w:ascii="Arial" w:cs="Arial" w:eastAsia="Arial" w:hAnsi="Arial"/>
          <w:sz w:val="16"/>
          <w:szCs w:val="16"/>
          <w:color w:val="333333"/>
        </w:rPr>
        <w:t xml:space="preserve">16.  </w:t>
      </w:r>
      <w:r>
        <w:rPr>
          <w:rFonts w:ascii="Arial" w:cs="Arial" w:eastAsia="Arial" w:hAnsi="Arial"/>
          <w:sz w:val="16"/>
          <w:szCs w:val="16"/>
          <w:u w:val="single" w:color="auto"/>
          <w:color w:val="333333"/>
        </w:rPr>
        <w:t>Date of Grant</w:t>
      </w:r>
      <w:r>
        <w:rPr>
          <w:rFonts w:ascii="Arial" w:cs="Arial" w:eastAsia="Arial" w:hAnsi="Arial"/>
          <w:sz w:val="16"/>
          <w:szCs w:val="16"/>
          <w:color w:val="333333"/>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17" w:lineRule="exact"/>
        <w:rPr>
          <w:sz w:val="20"/>
          <w:szCs w:val="20"/>
          <w:color w:val="auto"/>
        </w:rPr>
      </w:pPr>
    </w:p>
    <w:p>
      <w:pPr>
        <w:ind w:right="100" w:firstLine="360"/>
        <w:spacing w:after="0" w:line="266" w:lineRule="auto"/>
        <w:rPr>
          <w:sz w:val="20"/>
          <w:szCs w:val="20"/>
          <w:color w:val="auto"/>
        </w:rPr>
      </w:pPr>
      <w:r>
        <w:rPr>
          <w:rFonts w:ascii="Arial" w:cs="Arial" w:eastAsia="Arial" w:hAnsi="Arial"/>
          <w:sz w:val="16"/>
          <w:szCs w:val="16"/>
          <w:color w:val="333333"/>
        </w:rPr>
        <w:t xml:space="preserve">17.  </w:t>
      </w:r>
      <w:r>
        <w:rPr>
          <w:rFonts w:ascii="Arial" w:cs="Arial" w:eastAsia="Arial" w:hAnsi="Arial"/>
          <w:sz w:val="16"/>
          <w:szCs w:val="16"/>
          <w:u w:val="single" w:color="auto"/>
          <w:color w:val="333333"/>
        </w:rPr>
        <w:t>Term of Plan</w:t>
      </w:r>
      <w:r>
        <w:rPr>
          <w:rFonts w:ascii="Arial" w:cs="Arial" w:eastAsia="Arial" w:hAnsi="Arial"/>
          <w:sz w:val="16"/>
          <w:szCs w:val="16"/>
          <w:color w:val="333333"/>
        </w:rPr>
        <w:t>. Subject to Section 22 of the Plan, this amendment of the Plan will become effective upon the Amendment Effective Date. It will continue in effect for a term of ten (10) years from the date of the Amendment Effective Date, unless terminated earlier under Section 18 of the Plan.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18.   </w:t>
      </w:r>
      <w:r>
        <w:rPr>
          <w:rFonts w:ascii="Arial" w:cs="Arial" w:eastAsia="Arial" w:hAnsi="Arial"/>
          <w:sz w:val="16"/>
          <w:szCs w:val="16"/>
          <w:u w:val="single" w:color="auto"/>
          <w:color w:val="333333"/>
        </w:rPr>
        <w:t>Amendment and Termination of the Plan</w:t>
      </w:r>
      <w:r>
        <w:rPr>
          <w:rFonts w:ascii="Arial" w:cs="Arial" w:eastAsia="Arial" w:hAnsi="Arial"/>
          <w:sz w:val="16"/>
          <w:szCs w:val="16"/>
          <w:color w:val="333333"/>
        </w:rPr>
        <w:t>.</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Amendment and Termination</w:t>
      </w:r>
      <w:r>
        <w:rPr>
          <w:rFonts w:ascii="Arial" w:cs="Arial" w:eastAsia="Arial" w:hAnsi="Arial"/>
          <w:sz w:val="16"/>
          <w:szCs w:val="16"/>
          <w:color w:val="333333"/>
        </w:rPr>
        <w:t>. The Board may at any time amend, alter, suspend or terminate the Plan.</w:t>
      </w:r>
    </w:p>
    <w:p>
      <w:pPr>
        <w:spacing w:after="0" w:line="167" w:lineRule="exact"/>
        <w:rPr>
          <w:sz w:val="20"/>
          <w:szCs w:val="20"/>
          <w:color w:val="auto"/>
        </w:rPr>
      </w:pPr>
    </w:p>
    <w:p>
      <w:pPr>
        <w:ind w:left="360" w:right="680" w:firstLine="360"/>
        <w:spacing w:after="0" w:line="286"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Stockholder Approval</w:t>
      </w:r>
      <w:r>
        <w:rPr>
          <w:rFonts w:ascii="Arial" w:cs="Arial" w:eastAsia="Arial" w:hAnsi="Arial"/>
          <w:sz w:val="16"/>
          <w:szCs w:val="16"/>
          <w:color w:val="333333"/>
        </w:rPr>
        <w:t>. The Company will obtain stockholder approval of any Plan amendment to the extent necessary and desirable to comply with Applicable Laws.</w:t>
      </w:r>
    </w:p>
    <w:p>
      <w:pPr>
        <w:spacing w:after="0" w:line="102" w:lineRule="exact"/>
        <w:rPr>
          <w:sz w:val="20"/>
          <w:szCs w:val="20"/>
          <w:color w:val="auto"/>
        </w:rPr>
      </w:pPr>
    </w:p>
    <w:p>
      <w:pPr>
        <w:ind w:left="360" w:right="240" w:firstLine="360"/>
        <w:spacing w:after="0" w:line="256" w:lineRule="auto"/>
        <w:rPr>
          <w:sz w:val="20"/>
          <w:szCs w:val="20"/>
          <w:color w:val="auto"/>
        </w:rPr>
      </w:pPr>
      <w:r>
        <w:rPr>
          <w:rFonts w:ascii="Arial" w:cs="Arial" w:eastAsia="Arial" w:hAnsi="Arial"/>
          <w:sz w:val="16"/>
          <w:szCs w:val="16"/>
          <w:color w:val="333333"/>
        </w:rPr>
        <w:t xml:space="preserve">(c)  </w:t>
      </w:r>
      <w:r>
        <w:rPr>
          <w:rFonts w:ascii="Arial" w:cs="Arial" w:eastAsia="Arial" w:hAnsi="Arial"/>
          <w:sz w:val="16"/>
          <w:szCs w:val="16"/>
          <w:u w:val="single" w:color="auto"/>
          <w:color w:val="333333"/>
        </w:rPr>
        <w:t>Effect of Amendment or Termination</w:t>
      </w:r>
      <w:r>
        <w:rPr>
          <w:rFonts w:ascii="Arial" w:cs="Arial" w:eastAsia="Arial" w:hAnsi="Arial"/>
          <w:sz w:val="16"/>
          <w:szCs w:val="16"/>
          <w:color w:val="333333"/>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19.   </w:t>
      </w:r>
      <w:r>
        <w:rPr>
          <w:rFonts w:ascii="Arial" w:cs="Arial" w:eastAsia="Arial" w:hAnsi="Arial"/>
          <w:sz w:val="16"/>
          <w:szCs w:val="16"/>
          <w:u w:val="single" w:color="auto"/>
          <w:color w:val="333333"/>
        </w:rPr>
        <w:t>Conditions Upon Issuance of Shares</w:t>
      </w:r>
      <w:r>
        <w:rPr>
          <w:rFonts w:ascii="Arial" w:cs="Arial" w:eastAsia="Arial" w:hAnsi="Arial"/>
          <w:sz w:val="16"/>
          <w:szCs w:val="16"/>
          <w:color w:val="333333"/>
        </w:rPr>
        <w:t>.</w:t>
      </w:r>
    </w:p>
    <w:p>
      <w:pPr>
        <w:spacing w:after="0" w:line="167" w:lineRule="exact"/>
        <w:rPr>
          <w:sz w:val="20"/>
          <w:szCs w:val="20"/>
          <w:color w:val="auto"/>
        </w:rPr>
      </w:pPr>
    </w:p>
    <w:p>
      <w:pPr>
        <w:ind w:left="360" w:right="460" w:firstLine="360"/>
        <w:spacing w:after="0" w:line="266" w:lineRule="auto"/>
        <w:rPr>
          <w:sz w:val="20"/>
          <w:szCs w:val="20"/>
          <w:color w:val="auto"/>
        </w:rPr>
      </w:pPr>
      <w:r>
        <w:rPr>
          <w:rFonts w:ascii="Arial" w:cs="Arial" w:eastAsia="Arial" w:hAnsi="Arial"/>
          <w:sz w:val="16"/>
          <w:szCs w:val="16"/>
          <w:color w:val="333333"/>
        </w:rPr>
        <w:t xml:space="preserve">(a)  </w:t>
      </w:r>
      <w:r>
        <w:rPr>
          <w:rFonts w:ascii="Arial" w:cs="Arial" w:eastAsia="Arial" w:hAnsi="Arial"/>
          <w:sz w:val="16"/>
          <w:szCs w:val="16"/>
          <w:u w:val="single" w:color="auto"/>
          <w:color w:val="333333"/>
        </w:rPr>
        <w:t>Legal Compliance</w:t>
      </w:r>
      <w:r>
        <w:rPr>
          <w:rFonts w:ascii="Arial" w:cs="Arial" w:eastAsia="Arial" w:hAnsi="Arial"/>
          <w:sz w:val="16"/>
          <w:szCs w:val="16"/>
          <w:color w:val="333333"/>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jc w:val="center"/>
        <w:ind w:right="120"/>
        <w:spacing w:after="0"/>
        <w:tabs>
          <w:tab w:leader="none" w:pos="200" w:val="left"/>
          <w:tab w:leader="none" w:pos="2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I-12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360" w:right="40" w:firstLine="360"/>
        <w:spacing w:after="0" w:line="259" w:lineRule="auto"/>
        <w:rPr>
          <w:sz w:val="20"/>
          <w:szCs w:val="20"/>
          <w:color w:val="auto"/>
        </w:rPr>
      </w:pPr>
      <w:r>
        <w:rPr>
          <w:rFonts w:ascii="Arial" w:cs="Arial" w:eastAsia="Arial" w:hAnsi="Arial"/>
          <w:sz w:val="16"/>
          <w:szCs w:val="16"/>
          <w:color w:val="333333"/>
        </w:rPr>
        <w:t xml:space="preserve">(b)  </w:t>
      </w:r>
      <w:r>
        <w:rPr>
          <w:rFonts w:ascii="Arial" w:cs="Arial" w:eastAsia="Arial" w:hAnsi="Arial"/>
          <w:sz w:val="16"/>
          <w:szCs w:val="16"/>
          <w:u w:val="single" w:color="auto"/>
          <w:color w:val="333333"/>
        </w:rPr>
        <w:t>Investment Representations</w:t>
      </w:r>
      <w:r>
        <w:rPr>
          <w:rFonts w:ascii="Arial" w:cs="Arial" w:eastAsia="Arial" w:hAnsi="Arial"/>
          <w:sz w:val="16"/>
          <w:szCs w:val="16"/>
          <w:color w:val="333333"/>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2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6"/>
          <w:szCs w:val="16"/>
          <w:color w:val="333333"/>
        </w:rPr>
        <w:t xml:space="preserve">20.  </w:t>
      </w:r>
      <w:r>
        <w:rPr>
          <w:rFonts w:ascii="Arial" w:cs="Arial" w:eastAsia="Arial" w:hAnsi="Arial"/>
          <w:sz w:val="16"/>
          <w:szCs w:val="16"/>
          <w:u w:val="single" w:color="auto"/>
          <w:color w:val="333333"/>
        </w:rPr>
        <w:t>Inability to Obtain Authority</w:t>
      </w:r>
      <w:r>
        <w:rPr>
          <w:rFonts w:ascii="Arial" w:cs="Arial" w:eastAsia="Arial" w:hAnsi="Arial"/>
          <w:sz w:val="16"/>
          <w:szCs w:val="16"/>
          <w:color w:val="333333"/>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6"/>
          <w:szCs w:val="16"/>
          <w:color w:val="333333"/>
        </w:rPr>
        <w:t xml:space="preserve">21.   </w:t>
      </w:r>
      <w:r>
        <w:rPr>
          <w:rFonts w:ascii="Arial" w:cs="Arial" w:eastAsia="Arial" w:hAnsi="Arial"/>
          <w:sz w:val="16"/>
          <w:szCs w:val="16"/>
          <w:u w:val="single" w:color="auto"/>
          <w:color w:val="333333"/>
        </w:rPr>
        <w:t>Forfeiture Events</w:t>
      </w:r>
      <w:r>
        <w:rPr>
          <w:rFonts w:ascii="Arial" w:cs="Arial" w:eastAsia="Arial" w:hAnsi="Arial"/>
          <w:sz w:val="16"/>
          <w:szCs w:val="16"/>
          <w:color w:val="333333"/>
        </w:rPr>
        <w:t>.</w:t>
      </w:r>
    </w:p>
    <w:p>
      <w:pPr>
        <w:spacing w:after="0" w:line="167" w:lineRule="exact"/>
        <w:rPr>
          <w:sz w:val="20"/>
          <w:szCs w:val="20"/>
          <w:color w:val="auto"/>
        </w:rPr>
      </w:pPr>
    </w:p>
    <w:p>
      <w:pPr>
        <w:ind w:left="360" w:right="40" w:firstLine="360"/>
        <w:spacing w:after="0" w:line="250" w:lineRule="auto"/>
        <w:rPr>
          <w:sz w:val="20"/>
          <w:szCs w:val="20"/>
          <w:color w:val="auto"/>
        </w:rPr>
      </w:pPr>
      <w:r>
        <w:rPr>
          <w:rFonts w:ascii="Arial" w:cs="Arial" w:eastAsia="Arial" w:hAnsi="Arial"/>
          <w:sz w:val="16"/>
          <w:szCs w:val="16"/>
          <w:color w:val="333333"/>
        </w:rPr>
        <w:t>(a)  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135" w:lineRule="exact"/>
        <w:rPr>
          <w:sz w:val="20"/>
          <w:szCs w:val="20"/>
          <w:color w:val="auto"/>
        </w:rPr>
      </w:pPr>
    </w:p>
    <w:p>
      <w:pPr>
        <w:ind w:left="360" w:right="140" w:firstLine="360"/>
        <w:spacing w:after="0" w:line="254" w:lineRule="auto"/>
        <w:rPr>
          <w:sz w:val="20"/>
          <w:szCs w:val="20"/>
          <w:color w:val="auto"/>
        </w:rPr>
      </w:pPr>
      <w:r>
        <w:rPr>
          <w:rFonts w:ascii="Arial" w:cs="Arial" w:eastAsia="Arial" w:hAnsi="Arial"/>
          <w:sz w:val="16"/>
          <w:szCs w:val="16"/>
          <w:color w:val="333333"/>
        </w:rPr>
        <w:t>(b)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28" w:lineRule="exact"/>
        <w:rPr>
          <w:sz w:val="20"/>
          <w:szCs w:val="20"/>
          <w:color w:val="auto"/>
        </w:rPr>
      </w:pPr>
    </w:p>
    <w:p>
      <w:pPr>
        <w:jc w:val="both"/>
        <w:ind w:right="480" w:firstLine="360"/>
        <w:spacing w:after="0" w:line="266" w:lineRule="auto"/>
        <w:rPr>
          <w:sz w:val="20"/>
          <w:szCs w:val="20"/>
          <w:color w:val="auto"/>
        </w:rPr>
      </w:pPr>
      <w:r>
        <w:rPr>
          <w:rFonts w:ascii="Arial" w:cs="Arial" w:eastAsia="Arial" w:hAnsi="Arial"/>
          <w:sz w:val="16"/>
          <w:szCs w:val="16"/>
          <w:color w:val="333333"/>
        </w:rPr>
        <w:t xml:space="preserve">22.  </w:t>
      </w:r>
      <w:r>
        <w:rPr>
          <w:rFonts w:ascii="Arial" w:cs="Arial" w:eastAsia="Arial" w:hAnsi="Arial"/>
          <w:sz w:val="16"/>
          <w:szCs w:val="16"/>
          <w:u w:val="single" w:color="auto"/>
          <w:color w:val="333333"/>
        </w:rPr>
        <w:t>Stockholder Approval</w:t>
      </w:r>
      <w:r>
        <w:rPr>
          <w:rFonts w:ascii="Arial" w:cs="Arial" w:eastAsia="Arial" w:hAnsi="Arial"/>
          <w:sz w:val="16"/>
          <w:szCs w:val="16"/>
          <w:color w:val="333333"/>
        </w:rPr>
        <w:t>. This amendment of the Plan is subject to, and contingent upon, stockholder approval at the Special Meeting of Stockholders. Such stockholder approval will be obtained in the manner and to the degree required under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jc w:val="center"/>
        <w:ind w:right="120"/>
        <w:spacing w:after="0"/>
        <w:tabs>
          <w:tab w:leader="none" w:pos="200" w:val="left"/>
          <w:tab w:leader="none" w:pos="200" w:val="left"/>
        </w:tabs>
        <w:rPr>
          <w:sz w:val="20"/>
          <w:szCs w:val="20"/>
          <w:color w:val="auto"/>
        </w:rPr>
      </w:pPr>
      <w:r>
        <w:rPr>
          <w:rFonts w:ascii="Arial" w:cs="Arial" w:eastAsia="Arial" w:hAnsi="Arial"/>
          <w:sz w:val="13"/>
          <w:szCs w:val="13"/>
          <w:b w:val="1"/>
          <w:bCs w:val="1"/>
          <w:color w:val="auto"/>
        </w:rPr>
        <w:t>Standard BioTools Inc.</w:t>
      </w:r>
      <w:r>
        <w:rPr>
          <w:sz w:val="20"/>
          <w:szCs w:val="20"/>
          <w:color w:val="auto"/>
        </w:rPr>
        <w:tab/>
      </w:r>
      <w:r>
        <w:rPr>
          <w:rFonts w:ascii="Arial" w:cs="Arial" w:eastAsia="Arial" w:hAnsi="Arial"/>
          <w:sz w:val="13"/>
          <w:szCs w:val="13"/>
          <w:b w:val="1"/>
          <w:bCs w:val="1"/>
          <w:color w:val="auto"/>
        </w:rPr>
        <w:t>I-13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147955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33333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333333"/>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4"/>
    </w:lvl>
    <w:lvl w:ilvl="1">
      <w:lvlJc w:val="left"/>
      <w:lvlText w:val="•"/>
      <w:numFmt w:val="bullet"/>
      <w:start w:val="1"/>
    </w:lvl>
  </w:abstractNum>
  <w:abstractNum w:abstractNumId="3">
    <w:nsid w:val="419AC241"/>
    <w:multiLevelType w:val="hybridMultilevel"/>
    <w:lvl w:ilvl="0">
      <w:lvlJc w:val="left"/>
      <w:lvlText w:val="(%1)"/>
      <w:numFmt w:val="lowerRoman"/>
      <w:start w:val="2"/>
    </w:lvl>
  </w:abstractNum>
  <w:abstractNum w:abstractNumId="4">
    <w:nsid w:val="5577F8E1"/>
    <w:multiLevelType w:val="hybridMultilevel"/>
    <w:lvl w:ilvl="0">
      <w:lvlJc w:val="left"/>
      <w:lvlText w:val="%1."/>
      <w:numFmt w:val="decimal"/>
      <w:start w:val="8"/>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8"/>
    </w:lvl>
    <w:lvl w:ilvl="1">
      <w:lvlJc w:val="left"/>
      <w:lvlText w:val="•"/>
      <w:numFmt w:val="bullet"/>
      <w:start w:val="1"/>
    </w:lvl>
  </w:abstractNum>
  <w:abstractNum w:abstractNumId="7">
    <w:nsid w:val="3804823E"/>
    <w:multiLevelType w:val="hybridMultilevel"/>
    <w:lvl w:ilvl="0">
      <w:lvlJc w:val="left"/>
      <w:lvlText w:val="%1."/>
      <w:numFmt w:val="decimal"/>
      <w:start w:val="1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decimal"/>
      <w:start w:val="20"/>
    </w:lvl>
  </w:abstractNum>
  <w:abstractNum w:abstractNumId="10">
    <w:nsid w:val="5C482A97"/>
    <w:multiLevelType w:val="hybridMultilevel"/>
    <w:lvl w:ilvl="0">
      <w:lvlJc w:val="left"/>
      <w:lvlText w:val="%1."/>
      <w:numFmt w:val="decimal"/>
      <w:start w:val="28"/>
    </w:lvl>
  </w:abstractNum>
  <w:abstractNum w:abstractNumId="11">
    <w:nsid w:val="2463B9EA"/>
    <w:multiLevelType w:val="hybridMultilevel"/>
    <w:lvl w:ilvl="0">
      <w:lvlJc w:val="left"/>
      <w:lvlText w:val="%1."/>
      <w:numFmt w:val="decimal"/>
      <w:start w:val="29"/>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 "/>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3"/>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lowerRoman"/>
      <w:start w:val="2"/>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4"/>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4"/>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lowerLetter"/>
      <w:start w:val="2"/>
    </w:lvl>
  </w:abstractNum>
  <w:abstractNum w:abstractNumId="63">
    <w:nsid w:val="5FF87E05"/>
    <w:multiLevelType w:val="hybridMultilevel"/>
    <w:lvl w:ilvl="0">
      <w:lvlJc w:val="left"/>
      <w:lvlText w:val="(%1)"/>
      <w:numFmt w:val="decimal"/>
      <w:start w:val="3"/>
    </w:lvl>
  </w:abstractNum>
  <w:abstractNum w:abstractNumId="64">
    <w:nsid w:val="2F305DEF"/>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2025-04-30T06:28:12Z</dcterms:created>
  <dcterms:modified xsi:type="dcterms:W3CDTF">2025-04-30T06:28:12Z</dcterms:modified>
</cp:coreProperties>
</file>