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8-K</w:t>
      </w:r>
    </w:p>
    <w:p>
      <w:pPr>
        <w:spacing w:after="0" w:line="11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13,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Standard BioTools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91"/>
              </w:rPr>
              <w:t>Delaware</w:t>
            </w:r>
          </w:p>
        </w:tc>
        <w:tc>
          <w:tcPr>
            <w:tcW w:w="4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001-34180</w:t>
            </w:r>
          </w:p>
        </w:tc>
        <w:tc>
          <w:tcPr>
            <w:tcW w:w="306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77-0513190</w:t>
            </w:r>
          </w:p>
        </w:tc>
      </w:tr>
      <w:tr>
        <w:trPr>
          <w:trHeight w:val="195"/>
        </w:trPr>
        <w:tc>
          <w:tcPr>
            <w:tcW w:w="3200" w:type="dxa"/>
            <w:vAlign w:val="bottom"/>
          </w:tcPr>
          <w:p>
            <w:pPr>
              <w:ind w:left="900"/>
              <w:spacing w:after="0" w:line="195" w:lineRule="exact"/>
              <w:rPr>
                <w:sz w:val="20"/>
                <w:szCs w:val="20"/>
                <w:color w:val="auto"/>
              </w:rPr>
            </w:pPr>
            <w:r>
              <w:rPr>
                <w:rFonts w:ascii="Arial" w:cs="Arial" w:eastAsia="Arial" w:hAnsi="Arial"/>
                <w:sz w:val="18"/>
                <w:szCs w:val="18"/>
                <w:color w:val="auto"/>
              </w:rPr>
              <w:t>(State or other jurisdiction</w:t>
            </w:r>
          </w:p>
        </w:tc>
        <w:tc>
          <w:tcPr>
            <w:tcW w:w="49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3"/>
              </w:rPr>
              <w:t>(Commission</w:t>
            </w:r>
          </w:p>
        </w:tc>
        <w:tc>
          <w:tcPr>
            <w:tcW w:w="3060" w:type="dxa"/>
            <w:vAlign w:val="bottom"/>
          </w:tcPr>
          <w:p>
            <w:pPr>
              <w:ind w:left="580"/>
              <w:spacing w:after="0" w:line="195" w:lineRule="exact"/>
              <w:rPr>
                <w:sz w:val="20"/>
                <w:szCs w:val="20"/>
                <w:color w:val="auto"/>
              </w:rPr>
            </w:pPr>
            <w:r>
              <w:rPr>
                <w:rFonts w:ascii="Arial" w:cs="Arial" w:eastAsia="Arial" w:hAnsi="Arial"/>
                <w:sz w:val="18"/>
                <w:szCs w:val="18"/>
                <w:color w:val="auto"/>
              </w:rPr>
              <w:t>(I.R.S. Employer</w:t>
            </w:r>
          </w:p>
        </w:tc>
      </w:tr>
      <w:tr>
        <w:trPr>
          <w:trHeight w:val="230"/>
        </w:trPr>
        <w:tc>
          <w:tcPr>
            <w:tcW w:w="3200" w:type="dxa"/>
            <w:vAlign w:val="bottom"/>
          </w:tcPr>
          <w:p>
            <w:pPr>
              <w:jc w:val="center"/>
              <w:ind w:left="450"/>
              <w:spacing w:after="0"/>
              <w:rPr>
                <w:sz w:val="20"/>
                <w:szCs w:val="20"/>
                <w:color w:val="auto"/>
              </w:rPr>
            </w:pPr>
            <w:r>
              <w:rPr>
                <w:rFonts w:ascii="Arial" w:cs="Arial" w:eastAsia="Arial" w:hAnsi="Arial"/>
                <w:sz w:val="18"/>
                <w:szCs w:val="18"/>
                <w:color w:val="auto"/>
                <w:w w:val="93"/>
              </w:rPr>
              <w:t>of incorporation)</w:t>
            </w:r>
          </w:p>
        </w:tc>
        <w:tc>
          <w:tcPr>
            <w:tcW w:w="498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3060" w:type="dxa"/>
            <w:vAlign w:val="bottom"/>
          </w:tcPr>
          <w:p>
            <w:pPr>
              <w:jc w:val="center"/>
              <w:ind w:right="5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200" w:type="dxa"/>
            <w:vAlign w:val="bottom"/>
          </w:tcPr>
          <w:p>
            <w:pPr>
              <w:spacing w:after="0"/>
              <w:rPr>
                <w:sz w:val="24"/>
                <w:szCs w:val="24"/>
                <w:color w:val="auto"/>
              </w:rPr>
            </w:pPr>
          </w:p>
        </w:tc>
        <w:tc>
          <w:tcPr>
            <w:tcW w:w="49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 Tower Place, Suite 2000</w:t>
            </w:r>
          </w:p>
        </w:tc>
        <w:tc>
          <w:tcPr>
            <w:tcW w:w="3060" w:type="dxa"/>
            <w:vAlign w:val="bottom"/>
          </w:tcPr>
          <w:p>
            <w:pPr>
              <w:spacing w:after="0"/>
              <w:rPr>
                <w:sz w:val="24"/>
                <w:szCs w:val="24"/>
                <w:color w:val="auto"/>
              </w:rPr>
            </w:pPr>
          </w:p>
        </w:tc>
      </w:tr>
      <w:tr>
        <w:trPr>
          <w:trHeight w:val="234"/>
        </w:trPr>
        <w:tc>
          <w:tcPr>
            <w:tcW w:w="3200" w:type="dxa"/>
            <w:vAlign w:val="bottom"/>
            <w:tcBorders>
              <w:bottom w:val="single" w:sz="8" w:color="auto"/>
            </w:tcBorders>
          </w:tcPr>
          <w:p>
            <w:pPr>
              <w:spacing w:after="0"/>
              <w:rPr>
                <w:sz w:val="20"/>
                <w:szCs w:val="20"/>
                <w:color w:val="auto"/>
              </w:rPr>
            </w:pPr>
          </w:p>
        </w:tc>
        <w:tc>
          <w:tcPr>
            <w:tcW w:w="4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3060" w:type="dxa"/>
            <w:vAlign w:val="bottom"/>
            <w:tcBorders>
              <w:bottom w:val="single" w:sz="8" w:color="auto"/>
            </w:tcBorders>
          </w:tcPr>
          <w:p>
            <w:pPr>
              <w:spacing w:after="0"/>
              <w:rPr>
                <w:sz w:val="20"/>
                <w:szCs w:val="20"/>
                <w:color w:val="auto"/>
              </w:rPr>
            </w:pPr>
          </w:p>
        </w:tc>
      </w:tr>
      <w:tr>
        <w:trPr>
          <w:trHeight w:val="224"/>
        </w:trPr>
        <w:tc>
          <w:tcPr>
            <w:tcW w:w="3200" w:type="dxa"/>
            <w:vAlign w:val="bottom"/>
          </w:tcPr>
          <w:p>
            <w:pPr>
              <w:spacing w:after="0"/>
              <w:rPr>
                <w:sz w:val="19"/>
                <w:szCs w:val="19"/>
                <w:color w:val="auto"/>
              </w:rPr>
            </w:pPr>
          </w:p>
        </w:tc>
        <w:tc>
          <w:tcPr>
            <w:tcW w:w="498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 (Zip Code)</w:t>
            </w:r>
          </w:p>
        </w:tc>
        <w:tc>
          <w:tcPr>
            <w:tcW w:w="3060" w:type="dxa"/>
            <w:vAlign w:val="bottom"/>
          </w:tcPr>
          <w:p>
            <w:pPr>
              <w:spacing w:after="0"/>
              <w:rPr>
                <w:sz w:val="19"/>
                <w:szCs w:val="19"/>
                <w:color w:val="auto"/>
              </w:rPr>
            </w:pPr>
          </w:p>
        </w:tc>
      </w:tr>
      <w:tr>
        <w:trPr>
          <w:trHeight w:val="404"/>
        </w:trPr>
        <w:tc>
          <w:tcPr>
            <w:tcW w:w="32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(650) 266-6000</w:t>
            </w:r>
          </w:p>
        </w:tc>
        <w:tc>
          <w:tcPr>
            <w:tcW w:w="3060" w:type="dxa"/>
            <w:vAlign w:val="bottom"/>
            <w:tcBorders>
              <w:bottom w:val="single" w:sz="8" w:color="auto"/>
            </w:tcBorders>
          </w:tcPr>
          <w:p>
            <w:pPr>
              <w:spacing w:after="0"/>
              <w:rPr>
                <w:sz w:val="24"/>
                <w:szCs w:val="24"/>
                <w:color w:val="auto"/>
              </w:rPr>
            </w:pPr>
          </w:p>
        </w:tc>
      </w:tr>
      <w:tr>
        <w:trPr>
          <w:trHeight w:val="224"/>
        </w:trPr>
        <w:tc>
          <w:tcPr>
            <w:tcW w:w="3200" w:type="dxa"/>
            <w:vAlign w:val="bottom"/>
          </w:tcPr>
          <w:p>
            <w:pPr>
              <w:spacing w:after="0"/>
              <w:rPr>
                <w:sz w:val="19"/>
                <w:szCs w:val="19"/>
                <w:color w:val="auto"/>
              </w:rPr>
            </w:pPr>
          </w:p>
        </w:tc>
        <w:tc>
          <w:tcPr>
            <w:tcW w:w="498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3060" w:type="dxa"/>
            <w:vAlign w:val="bottom"/>
          </w:tcPr>
          <w:p>
            <w:pPr>
              <w:spacing w:after="0"/>
              <w:rPr>
                <w:sz w:val="19"/>
                <w:szCs w:val="19"/>
                <w:color w:val="auto"/>
              </w:rPr>
            </w:pPr>
          </w:p>
        </w:tc>
      </w:tr>
    </w:tbl>
    <w:p>
      <w:pPr>
        <w:spacing w:after="0" w:line="3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80" w:hanging="443"/>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680" w:hanging="443"/>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9" w:lineRule="exact"/>
        <w:rPr>
          <w:sz w:val="24"/>
          <w:szCs w:val="24"/>
          <w:color w:val="auto"/>
        </w:rPr>
      </w:pPr>
    </w:p>
    <w:p>
      <w:pPr>
        <w:ind w:left="240"/>
        <w:spacing w:after="0"/>
        <w:tabs>
          <w:tab w:leader="none" w:pos="6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Pre-commencement communications pursuant to Rule 14d-2(b) under the Exchange Act  (17 CFR 240.14d-2(b))</w:t>
      </w:r>
    </w:p>
    <w:p>
      <w:pPr>
        <w:spacing w:after="0" w:line="244" w:lineRule="exact"/>
        <w:rPr>
          <w:sz w:val="24"/>
          <w:szCs w:val="24"/>
          <w:color w:val="auto"/>
        </w:rPr>
      </w:pPr>
    </w:p>
    <w:p>
      <w:pPr>
        <w:ind w:right="2480" w:firstLine="237"/>
        <w:spacing w:after="0" w:line="498" w:lineRule="auto"/>
        <w:tabs>
          <w:tab w:leader="none" w:pos="675"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5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LAB</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Select Market</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8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Standard BioTools Inc. (the “Company”) currently holds approximately $334,000 in cash deposits at Silicon Valley Bank (“SVB”), all of which it expects to be available on March 13, 2023, given the joint statement by the Department of the Treasury, Federal Reserve, and FDIC issued on March 12, 2023. In addition, the Company holds $1 million in a restricted cash account at SVB to secure a letter of credit in favor of a landlord. The Company holds significantly larger cash deposits in accounts at Bank of America and other large financial institutions. The vast majority of the Company’s cash equivalents and investments (collectively, “Investments”) are currently held in custodial accounts at U.S. Bank for which SVB Asset Management is the advisor. The Company’s Investments do not contain any securities of SVB. The Company’s total cash, cash equivalents, and short term investments (excluding restricted cash) as of December 31, 2022 was approximately $166 million.</w:t>
      </w:r>
    </w:p>
    <w:p>
      <w:pPr>
        <w:spacing w:after="0" w:line="15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previously disclosed, the Company, as borrower, is party to a $25 million credit facility with SVB, as lender, including a revolving credit facility of up to $15 million and a term loan facility of up to $10 million. As of December 31, 2022, the Company’s $10 million term loan facility was fully drawn. The Company is evaluating its options with respect to the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6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Standard BioTools Inc.</w:t>
      </w:r>
    </w:p>
    <w:p>
      <w:pPr>
        <w:spacing w:after="0" w:line="216"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March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Vikram Jog</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20"/>
      </w:cols>
      <w:pgMar w:left="320" w:top="796"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2023-03-13T05:17:14Z</dcterms:created>
  <dcterms:modified xsi:type="dcterms:W3CDTF">2023-03-13T05:17:14Z</dcterms:modified>
</cp:coreProperties>
</file>