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08/09/2017</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40" w:type="dxa"/>
            <w:vAlign w:val="bottom"/>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1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vMerge w:val="restart"/>
          </w:tcPr>
          <w:p>
            <w:pPr>
              <w:jc w:val="right"/>
              <w:ind w:right="108"/>
              <w:spacing w:after="0"/>
              <w:rPr>
                <w:sz w:val="20"/>
                <w:szCs w:val="20"/>
                <w:color w:val="auto"/>
              </w:rPr>
            </w:pPr>
            <w:r>
              <w:rPr>
                <w:rFonts w:ascii="Arial" w:cs="Arial" w:eastAsia="Arial" w:hAnsi="Arial"/>
                <w:sz w:val="18"/>
                <w:szCs w:val="18"/>
                <w:color w:val="0000FF"/>
              </w:rPr>
              <w:t>07/24/2017</w:t>
            </w:r>
          </w:p>
        </w:tc>
        <w:tc>
          <w:tcPr>
            <w:tcW w:w="1120" w:type="dxa"/>
            <w:vAlign w:val="bottom"/>
          </w:tcPr>
          <w:p>
            <w:pPr>
              <w:spacing w:after="0"/>
              <w:rPr>
                <w:sz w:val="18"/>
                <w:szCs w:val="18"/>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(5)</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0000FF"/>
              </w:rPr>
              <w:t>8,720</w:t>
            </w:r>
          </w:p>
        </w:tc>
        <w:tc>
          <w:tcPr>
            <w:tcW w:w="540" w:type="dxa"/>
            <w:vAlign w:val="bottom"/>
            <w:vMerge w:val="restart"/>
          </w:tcPr>
          <w:p>
            <w:pPr>
              <w:jc w:val="center"/>
              <w:ind w:left="26"/>
              <w:spacing w:after="0"/>
              <w:rPr>
                <w:sz w:val="20"/>
                <w:szCs w:val="20"/>
                <w:color w:val="auto"/>
              </w:rPr>
            </w:pPr>
            <w:r>
              <w:rPr>
                <w:rFonts w:ascii="Arial" w:cs="Arial" w:eastAsia="Arial" w:hAnsi="Arial"/>
                <w:sz w:val="18"/>
                <w:szCs w:val="18"/>
                <w:color w:val="0000FF"/>
                <w:w w:val="91"/>
              </w:rPr>
              <w:t>D</w:t>
            </w:r>
          </w:p>
        </w:tc>
        <w:tc>
          <w:tcPr>
            <w:tcW w:w="740" w:type="dxa"/>
            <w:vAlign w:val="bottom"/>
            <w:vMerge w:val="restart"/>
          </w:tcPr>
          <w:p>
            <w:pPr>
              <w:jc w:val="right"/>
              <w:ind w:right="212"/>
              <w:spacing w:after="0"/>
              <w:rPr>
                <w:sz w:val="20"/>
                <w:szCs w:val="20"/>
                <w:color w:val="auto"/>
              </w:rPr>
            </w:pPr>
            <w:r>
              <w:rPr>
                <w:rFonts w:ascii="Arial" w:cs="Arial" w:eastAsia="Arial" w:hAnsi="Arial"/>
                <w:sz w:val="11"/>
                <w:szCs w:val="11"/>
                <w:color w:val="008000"/>
              </w:rPr>
              <w:t>(5)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6,332,660</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00" w:type="dxa"/>
            <w:vAlign w:val="bottom"/>
            <w:vMerge w:val="restart"/>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vMerge w:val="restart"/>
          </w:tcPr>
          <w:p>
            <w:pPr>
              <w:jc w:val="right"/>
              <w:ind w:right="108"/>
              <w:spacing w:after="0"/>
              <w:rPr>
                <w:sz w:val="20"/>
                <w:szCs w:val="20"/>
                <w:color w:val="auto"/>
              </w:rPr>
            </w:pPr>
            <w:r>
              <w:rPr>
                <w:rFonts w:ascii="Arial" w:cs="Arial" w:eastAsia="Arial" w:hAnsi="Arial"/>
                <w:sz w:val="18"/>
                <w:szCs w:val="18"/>
                <w:color w:val="0000FF"/>
              </w:rPr>
              <w:t>08/09/2017</w:t>
            </w:r>
          </w:p>
        </w:tc>
        <w:tc>
          <w:tcPr>
            <w:tcW w:w="112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0000FF"/>
              </w:rPr>
              <w:t>1,549</w:t>
            </w:r>
          </w:p>
        </w:tc>
        <w:tc>
          <w:tcPr>
            <w:tcW w:w="540" w:type="dxa"/>
            <w:vAlign w:val="bottom"/>
            <w:vMerge w:val="restart"/>
          </w:tcPr>
          <w:p>
            <w:pPr>
              <w:jc w:val="center"/>
              <w:ind w:left="26"/>
              <w:spacing w:after="0"/>
              <w:rPr>
                <w:sz w:val="20"/>
                <w:szCs w:val="20"/>
                <w:color w:val="auto"/>
              </w:rPr>
            </w:pPr>
            <w:r>
              <w:rPr>
                <w:rFonts w:ascii="Arial" w:cs="Arial" w:eastAsia="Arial" w:hAnsi="Arial"/>
                <w:sz w:val="18"/>
                <w:szCs w:val="18"/>
                <w:color w:val="0000FF"/>
                <w:w w:val="99"/>
              </w:rPr>
              <w:t>A</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3.1838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6,334,209</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00" w:type="dxa"/>
            <w:vAlign w:val="bottom"/>
            <w:vMerge w:val="restart"/>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1,098,376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w w:val="90"/>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00" w:type="dxa"/>
            <w:vAlign w:val="bottom"/>
            <w:vMerge w:val="restart"/>
          </w:tcPr>
          <w:p>
            <w:pPr>
              <w:ind w:left="8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Value Fund</w:t>
            </w:r>
            <w:r>
              <w:rPr>
                <w:rFonts w:ascii="Arial" w:cs="Arial" w:eastAsia="Arial" w:hAnsi="Arial"/>
                <w:sz w:val="22"/>
                <w:szCs w:val="22"/>
                <w:color w:val="008000"/>
                <w:w w:val="9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By: Levin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51,068</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Trilogy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w w:val="94"/>
              </w:rPr>
              <w:t>Master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rPr>
              <w:t>By: Levcap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22,453</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Alternative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8"/>
              </w:rPr>
              <w:t>Fund, L.P.</w:t>
            </w:r>
            <w:r>
              <w:rPr>
                <w:rFonts w:ascii="Arial" w:cs="Arial" w:eastAsia="Arial" w:hAnsi="Arial"/>
                <w:sz w:val="22"/>
                <w:szCs w:val="22"/>
                <w:color w:val="008000"/>
                <w:w w:val="98"/>
                <w:vertAlign w:val="superscript"/>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9,252</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00" w:type="dxa"/>
            <w:vAlign w:val="bottom"/>
          </w:tcPr>
          <w:p>
            <w:pPr>
              <w:ind w:left="8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0000FF"/>
                <w:w w:val="90"/>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ind w:left="80"/>
              <w:spacing w:after="0"/>
              <w:rPr>
                <w:sz w:val="20"/>
                <w:szCs w:val="20"/>
                <w:color w:val="auto"/>
              </w:rPr>
            </w:pPr>
            <w:r>
              <w:rPr>
                <w:rFonts w:ascii="Arial" w:cs="Arial" w:eastAsia="Arial" w:hAnsi="Arial"/>
                <w:sz w:val="11"/>
                <w:szCs w:val="11"/>
                <w:color w:val="008000"/>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8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Levin Capital Trilogy Master Fund, Ltd.</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Safinia Partners,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526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4175" cy="526097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filed jointly by Levin Capital Strategies, L.P. ("LCS"), Levin Capital Strategies GP, LLC ("LCS GP"), Levin Capital Trilogy Master Fund, Ltd. ("Trilogy"),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31" w:lineRule="exact"/>
        <w:rPr>
          <w:rFonts w:ascii="Arial" w:cs="Arial" w:eastAsia="Arial" w:hAnsi="Arial"/>
          <w:sz w:val="14"/>
          <w:szCs w:val="14"/>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50,711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Trilogy,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1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July 24, 2017, one of the Managed Accounts that held 8,720 shares closed. Accordingly, as of July 24, 2017, LCS ceased to serve as the investment manager for investment manager for such Managed Account and as such, relinquished all voting and dispositive power over the shares held in the Managed Account.</w:t>
      </w:r>
    </w:p>
    <w:p>
      <w:pPr>
        <w:spacing w:after="0" w:line="30" w:lineRule="exact"/>
        <w:rPr>
          <w:rFonts w:ascii="Arial" w:cs="Arial" w:eastAsia="Arial" w:hAnsi="Arial"/>
          <w:sz w:val="14"/>
          <w:szCs w:val="14"/>
          <w:color w:val="008000"/>
        </w:rPr>
      </w:pPr>
    </w:p>
    <w:p>
      <w:pPr>
        <w:ind w:left="20" w:right="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Trilogy,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Trilogy. LCSL, as the general partner of the domestic feeder fund which owns a controlling interest in Trilogy, may be deemed to share voting and dispositive power over the shares owned directly by Trilogy. LCS, as the investment advisor of Trilogy, may be deemed to share voting and dispositive power over the shares owned directly by Trilogy. Mr. Levin, as the Chief Executive Officer of LCS, may be deemed to share voting and dispositive power over the shares owned directly by Trilogy.</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ectPr>
          <w:pgSz w:w="11900" w:h="16838" w:orient="portrait"/>
          <w:cols w:equalWidth="0" w:num="1">
            <w:col w:w="11340"/>
          </w:cols>
          <w:pgMar w:left="260" w:top="118" w:right="299" w:bottom="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Trilogy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05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Fund, Ltd.; By: LCS,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988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0000FF"/>
        </w:rPr>
        <w:t>08/11/2017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08/11/2017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08/11/2017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9060" w:space="80"/>
            <w:col w:w="2200"/>
          </w:cols>
          <w:pgMar w:left="260" w:top="118" w:right="299" w:bottom="0" w:gutter="0" w:footer="0" w:header="0"/>
          <w:type w:val="continuous"/>
        </w:sectPr>
      </w:pPr>
    </w:p>
    <w:p>
      <w:pPr>
        <w:ind w:left="6840"/>
        <w:spacing w:after="0"/>
        <w:rPr>
          <w:sz w:val="20"/>
          <w:szCs w:val="20"/>
          <w:color w:val="auto"/>
        </w:rPr>
      </w:pPr>
      <w:r>
        <w:rPr>
          <w:rFonts w:ascii="Arial" w:cs="Arial" w:eastAsia="Arial" w:hAnsi="Arial"/>
          <w:sz w:val="16"/>
          <w:szCs w:val="16"/>
          <w:color w:val="0000FF"/>
        </w:rPr>
        <w:t>Levcap Alternative Fund, L.P.;  08/11/2017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9532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716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ectPr>
          <w:pgSz w:w="11900" w:h="16838" w:orient="portrait"/>
          <w:cols w:equalWidth="0" w:num="1">
            <w:col w:w="11340"/>
          </w:cols>
          <w:pgMar w:left="260" w:top="118"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84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08/11/2017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08/11/2017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08/11/2017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2"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3" Type="http://schemas.openxmlformats.org/officeDocument/2006/relationships/hyperlink" Target="http://www.sec.gov/cgi-bin/browse-edgar?action=getcompany&amp;CIK=0001688301" TargetMode="External"/><Relationship Id="rId24"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2019-12-23T16:25:43Z</dcterms:created>
  <dcterms:modified xsi:type="dcterms:W3CDTF">2019-12-23T16:25:43Z</dcterms:modified>
</cp:coreProperties>
</file>