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Cox Troy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TOWER PLACE, STE 2000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319,322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being filed solely to correct the number of securities beneficially owned by the Reporting Person as of June 20, 2025 that was reported in Column 5 in Table I of the Form 4 filed June 24, 2025 (the "Original Form 4"). All other information reported in the Original Form 4 remains the same.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Troy Cox by Tomone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Tanaka, Attorney-in-Fact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6923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2025-07-30T19:15:10Z</dcterms:created>
  <dcterms:modified xsi:type="dcterms:W3CDTF">2025-07-30T19:15:10Z</dcterms:modified>
</cp:coreProperties>
</file>