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314565" cy="672338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14565" cy="67233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9" w:orient="portrait"/>
          <w:cols w:equalWidth="0" w:num="2">
            <w:col w:w="2380" w:space="240"/>
            <w:col w:w="8860"/>
          </w:cols>
          <w:pgMar w:left="240" w:top="226" w:right="179" w:bottom="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JONES ROBERT C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FLUIDIGM CORPORATION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7000 SHORELINE COURT, SUITE 100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FLUIDIGM CORP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FLDM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05/20/2016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8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118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See Remarks</w:t>
      </w:r>
    </w:p>
    <w:p>
      <w:pPr>
        <w:spacing w:after="0" w:line="558" w:lineRule="exact"/>
        <w:rPr>
          <w:sz w:val="24"/>
          <w:szCs w:val="24"/>
          <w:color w:val="auto"/>
        </w:rPr>
      </w:pPr>
    </w:p>
    <w:p>
      <w:pPr>
        <w:sectPr>
          <w:pgSz w:w="11900" w:h="16839" w:orient="portrait"/>
          <w:cols w:equalWidth="0" w:num="3">
            <w:col w:w="3360" w:space="720"/>
            <w:col w:w="3257" w:space="720"/>
            <w:col w:w="3423"/>
          </w:cols>
          <w:pgMar w:left="240" w:top="226" w:right="179" w:bottom="0" w:gutter="0" w:footer="0" w:header="0"/>
          <w:type w:val="continuous"/>
        </w:sectPr>
      </w:pPr>
    </w:p>
    <w:p>
      <w:pPr>
        <w:spacing w:after="0" w:line="147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SOUTH SAN</w:t>
            </w:r>
          </w:p>
        </w:tc>
        <w:tc>
          <w:tcPr>
            <w:tcW w:w="9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CA</w:t>
            </w:r>
          </w:p>
        </w:tc>
        <w:tc>
          <w:tcPr>
            <w:tcW w:w="168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94080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FRANCISCO</w:t>
            </w: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9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496" w:lineRule="exact"/>
        <w:rPr>
          <w:sz w:val="24"/>
          <w:szCs w:val="24"/>
          <w:color w:val="auto"/>
        </w:rPr>
      </w:pPr>
    </w:p>
    <w:p>
      <w:pPr>
        <w:sectPr>
          <w:pgSz w:w="11900" w:h="16839" w:orient="portrait"/>
          <w:cols w:equalWidth="0" w:num="2">
            <w:col w:w="3920" w:space="160"/>
            <w:col w:w="7400"/>
          </w:cols>
          <w:pgMar w:left="240" w:top="226" w:right="179" w:bottom="0" w:gutter="0" w:footer="0" w:header="0"/>
          <w:type w:val="continuous"/>
        </w:sectPr>
      </w:pPr>
    </w:p>
    <w:p>
      <w:pPr>
        <w:jc w:val="center"/>
        <w:ind w:right="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2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8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0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jc w:val="center"/>
              <w:ind w:left="548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3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</w:tcPr>
          <w:p>
            <w:pPr>
              <w:ind w:left="3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jc w:val="center"/>
              <w:ind w:left="5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05/20/2016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jc w:val="center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350</w:t>
            </w:r>
          </w:p>
        </w:tc>
        <w:tc>
          <w:tcPr>
            <w:tcW w:w="66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560" w:type="dxa"/>
            <w:vAlign w:val="bottom"/>
          </w:tcPr>
          <w:p>
            <w:pPr>
              <w:jc w:val="center"/>
              <w:ind w:left="2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2,938</w:t>
            </w:r>
          </w:p>
        </w:tc>
        <w:tc>
          <w:tcPr>
            <w:tcW w:w="9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jc w:val="center"/>
              <w:ind w:left="5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05/20/2016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jc w:val="center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300</w:t>
            </w:r>
          </w:p>
        </w:tc>
        <w:tc>
          <w:tcPr>
            <w:tcW w:w="66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560" w:type="dxa"/>
            <w:vAlign w:val="bottom"/>
          </w:tcPr>
          <w:p>
            <w:pPr>
              <w:jc w:val="center"/>
              <w:ind w:left="2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3,238</w:t>
            </w:r>
          </w:p>
        </w:tc>
        <w:tc>
          <w:tcPr>
            <w:tcW w:w="9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jc w:val="center"/>
              <w:ind w:left="5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05/20/2016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jc w:val="center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449</w:t>
            </w:r>
          </w:p>
        </w:tc>
        <w:tc>
          <w:tcPr>
            <w:tcW w:w="66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560" w:type="dxa"/>
            <w:vAlign w:val="bottom"/>
          </w:tcPr>
          <w:p>
            <w:pPr>
              <w:jc w:val="center"/>
              <w:ind w:left="2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3,687</w:t>
            </w:r>
          </w:p>
        </w:tc>
        <w:tc>
          <w:tcPr>
            <w:tcW w:w="9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jc w:val="center"/>
              <w:ind w:left="5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05/20/2016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81"/>
              </w:rPr>
              <w:t>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405</w:t>
            </w:r>
          </w:p>
        </w:tc>
        <w:tc>
          <w:tcPr>
            <w:tcW w:w="66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jc w:val="center"/>
              <w:ind w:left="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8.65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3,282</w:t>
            </w:r>
          </w:p>
        </w:tc>
        <w:tc>
          <w:tcPr>
            <w:tcW w:w="9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80" w:type="dxa"/>
            <w:vAlign w:val="bottom"/>
            <w:tcBorders>
              <w:bottom w:val="single" w:sz="8" w:color="2C2C2C"/>
            </w:tcBorders>
            <w:gridSpan w:val="10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10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0" w:type="dxa"/>
            <w:vAlign w:val="bottom"/>
            <w:gridSpan w:val="10"/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right="4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4.</w:t>
            </w:r>
          </w:p>
        </w:tc>
        <w:tc>
          <w:tcPr>
            <w:tcW w:w="8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 of</w:t>
            </w:r>
          </w:p>
        </w:tc>
        <w:tc>
          <w:tcPr>
            <w:tcW w:w="108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jc w:val="center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86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right="437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8)</w:t>
            </w:r>
          </w:p>
        </w:tc>
        <w:tc>
          <w:tcPr>
            <w:tcW w:w="86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jc w:val="center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8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Exercisable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jc w:val="right"/>
              <w:ind w:right="39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Restricted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jc w:val="center"/>
              <w:ind w:right="23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350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jc w:val="center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8"/>
              </w:rPr>
              <w:t>05/20/2016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1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860" w:type="dxa"/>
            <w:vAlign w:val="bottom"/>
            <w:vMerge w:val="restart"/>
          </w:tcPr>
          <w:p>
            <w:pPr>
              <w:ind w:left="5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350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3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2,334</w:t>
            </w:r>
          </w:p>
        </w:tc>
        <w:tc>
          <w:tcPr>
            <w:tcW w:w="960" w:type="dxa"/>
            <w:vAlign w:val="bottom"/>
            <w:vMerge w:val="restart"/>
          </w:tcPr>
          <w:p>
            <w:pPr>
              <w:ind w:left="5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Units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Restricted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jc w:val="center"/>
              <w:ind w:right="23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jc w:val="center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8"/>
              </w:rPr>
              <w:t>05/20/2016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1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860" w:type="dxa"/>
            <w:vAlign w:val="bottom"/>
            <w:vMerge w:val="restart"/>
          </w:tcPr>
          <w:p>
            <w:pPr>
              <w:ind w:left="5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300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3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3,201</w:t>
            </w:r>
          </w:p>
        </w:tc>
        <w:tc>
          <w:tcPr>
            <w:tcW w:w="960" w:type="dxa"/>
            <w:vAlign w:val="bottom"/>
            <w:vMerge w:val="restart"/>
          </w:tcPr>
          <w:p>
            <w:pPr>
              <w:ind w:left="5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Units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Restricted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jc w:val="center"/>
              <w:ind w:right="23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449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jc w:val="center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8"/>
              </w:rPr>
              <w:t>05/20/2016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1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860" w:type="dxa"/>
            <w:vAlign w:val="bottom"/>
            <w:vMerge w:val="restart"/>
          </w:tcPr>
          <w:p>
            <w:pPr>
              <w:ind w:left="5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449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3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4,951</w:t>
            </w:r>
          </w:p>
        </w:tc>
        <w:tc>
          <w:tcPr>
            <w:tcW w:w="960" w:type="dxa"/>
            <w:vAlign w:val="bottom"/>
            <w:vMerge w:val="restart"/>
          </w:tcPr>
          <w:p>
            <w:pPr>
              <w:ind w:left="5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Units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Each Restricted Stock Unit represents the contingent right to receive one share of FLDM common stock upon vesting of the unit.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40" w:right="180" w:firstLine="9"/>
        <w:spacing w:after="0" w:line="233" w:lineRule="auto"/>
        <w:tabs>
          <w:tab w:leader="none" w:pos="175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On March 14, 2014, the Reporting Person was granted 5,600 Restricted Stock Units of which 4/48th of the total number of shares underlying the Restricted Stock Units granted vested on May 20, 2014, and 3/48th of the total number of shares underlying the Restricted Stock Units granted will vest every three months thereafter until fully vested, subject to recipient's continued status as a Service Provider as defined in the Company's 2011 Equity Incentive Plan through the applicable vest date.</w:t>
      </w:r>
    </w:p>
    <w:p>
      <w:pPr>
        <w:spacing w:after="0" w:line="30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40" w:right="180" w:firstLine="9"/>
        <w:spacing w:after="0" w:line="233" w:lineRule="auto"/>
        <w:tabs>
          <w:tab w:leader="none" w:pos="175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On March 12, 2015, the Reporting Person was granted 4,800 Restricted Stock Units of which 4/48th of the total number of shares underlying the Restricted Stock Units granted vested on May 20, 2015, and 3/48th of the total number of shares underlying the Restricted Stock Units granted will vest every three months thereafter until fully vested, subject to recipient's continued status as a Service Provider as defined in the Company's 2011 Equity Incentive Plan through the applicable vest date.</w:t>
      </w:r>
    </w:p>
    <w:p>
      <w:pPr>
        <w:spacing w:after="0" w:line="30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40" w:right="260" w:firstLine="9"/>
        <w:spacing w:after="0" w:line="233" w:lineRule="auto"/>
        <w:tabs>
          <w:tab w:leader="none" w:pos="175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On March 4, 2016, the Reporting Person was granted 5,400 Restricted Stock Units of which 4/48th of the total number of shares underlying the Restricted Stock Units granted vested on May 20, 2016, and 3/48th of the total number of shares underlying the Restricted Stock Units granted will vest every three months thereafter until fully vested, subject to recipient's continued status as a Service Provider as defined in the Company's 2011 Equity Incentive Plan through the applicable vest date.</w:t>
      </w:r>
    </w:p>
    <w:p>
      <w:pPr>
        <w:spacing w:after="0" w:line="2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Chief Technology Officer, Genomics</w:t>
      </w:r>
    </w:p>
    <w:p>
      <w:pPr>
        <w:ind w:left="6860"/>
        <w:spacing w:after="0" w:line="18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/s/ William M. Smith, attorney- </w:t>
      </w:r>
      <w:r>
        <w:rPr>
          <w:rFonts w:ascii="Arial" w:cs="Arial" w:eastAsia="Arial" w:hAnsi="Arial"/>
          <w:sz w:val="34"/>
          <w:szCs w:val="34"/>
          <w:color w:val="0000FF"/>
          <w:vertAlign w:val="subscript"/>
        </w:rPr>
        <w:t>05/23/2016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-27940</wp:posOffset>
            </wp:positionV>
            <wp:extent cx="1401445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144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in-fact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-22860</wp:posOffset>
            </wp:positionV>
            <wp:extent cx="29083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083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5810885</wp:posOffset>
            </wp:positionH>
            <wp:positionV relativeFrom="paragraph">
              <wp:posOffset>-91440</wp:posOffset>
            </wp:positionV>
            <wp:extent cx="50800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64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p>
      <w:pPr>
        <w:sectPr>
          <w:pgSz w:w="11900" w:h="16839" w:orient="portrait"/>
          <w:cols w:equalWidth="0" w:num="1">
            <w:col w:w="11480"/>
          </w:cols>
          <w:pgMar w:left="240" w:top="226" w:right="179" w:bottom="0" w:gutter="0" w:footer="0" w:header="0"/>
          <w:type w:val="continuous"/>
        </w:sectPr>
      </w:pPr>
    </w:p>
    <w:bookmarkStart w:id="1" w:name="page2"/>
    <w:bookmarkEnd w:id="1"/>
    <w:sectPr>
      <w:pgSz w:w="11900" w:h="16838" w:orient="portrait"/>
      <w:cols w:equalWidth="1" w:num="1" w:space="0"/>
      <w:pgMar w:left="1440" w:top="1440" w:right="1440" w:bottom="875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222642" TargetMode="External"/><Relationship Id="rId13" Type="http://schemas.openxmlformats.org/officeDocument/2006/relationships/hyperlink" Target="http://www.sec.gov/cgi-bin/browse-edgar?action=getcompany&amp;CIK=000116219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2019-12-07T15:24:28Z</dcterms:created>
  <dcterms:modified xsi:type="dcterms:W3CDTF">2019-12-07T15:24:28Z</dcterms:modified>
</cp:coreProperties>
</file>