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11/11/2011</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4.45</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11/11/2011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13.3312</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396"/>
              <w:spacing w:after="0"/>
              <w:rPr>
                <w:sz w:val="20"/>
                <w:szCs w:val="20"/>
                <w:color w:val="auto"/>
              </w:rPr>
            </w:pPr>
            <w:r>
              <w:rPr>
                <w:rFonts w:ascii="Arial" w:cs="Arial" w:eastAsia="Arial" w:hAnsi="Arial"/>
                <w:sz w:val="18"/>
                <w:szCs w:val="18"/>
                <w:color w:val="0000FF"/>
                <w:w w:val="85"/>
              </w:rPr>
              <w:t>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11/11/2011</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line="133" w:lineRule="exact"/>
              <w:rPr>
                <w:sz w:val="20"/>
                <w:szCs w:val="20"/>
                <w:color w:val="auto"/>
              </w:rPr>
            </w:pPr>
            <w:r>
              <w:rPr>
                <w:rFonts w:ascii="Arial" w:cs="Arial" w:eastAsia="Arial" w:hAnsi="Arial"/>
                <w:sz w:val="14"/>
                <w:szCs w:val="14"/>
                <w:color w:val="0000FF"/>
                <w:w w:val="88"/>
              </w:rPr>
              <w:t>76,430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acquired. These shares were purchased in multiple transactions at prices ranging from $13.01 to $13.5050,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4"/>
          <w:szCs w:val="34"/>
          <w:color w:val="0000FF"/>
          <w:vertAlign w:val="subscript"/>
        </w:rPr>
        <w:t>11/15/2011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499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2019-12-18T02:24:44Z</dcterms:created>
  <dcterms:modified xsi:type="dcterms:W3CDTF">2019-12-18T02:24:44Z</dcterms:modified>
</cp:coreProperties>
</file>