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508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087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715"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Smith William Maxwell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11/17/2014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EVP, LEGAL AFFAIRS &amp; GC</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715"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715"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Arial" w:cs="Arial" w:eastAsia="Arial" w:hAnsi="Arial"/>
                <w:sz w:val="18"/>
                <w:szCs w:val="18"/>
                <w:color w:val="0000FF"/>
              </w:rPr>
              <w:t>11/17/2014</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center"/>
              <w:spacing w:after="0"/>
              <w:rPr>
                <w:sz w:val="20"/>
                <w:szCs w:val="20"/>
                <w:color w:val="auto"/>
              </w:rPr>
            </w:pPr>
            <w:r>
              <w:rPr>
                <w:rFonts w:ascii="Arial" w:cs="Arial" w:eastAsia="Arial" w:hAnsi="Arial"/>
                <w:sz w:val="18"/>
                <w:szCs w:val="18"/>
                <w:color w:val="0000FF"/>
                <w:w w:val="88"/>
              </w:rPr>
              <w:t>2,767</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ind w:left="2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4.4461</w:t>
            </w:r>
          </w:p>
        </w:tc>
        <w:tc>
          <w:tcPr>
            <w:tcW w:w="1380" w:type="dxa"/>
            <w:vAlign w:val="bottom"/>
            <w:gridSpan w:val="3"/>
          </w:tcPr>
          <w:p>
            <w:pPr>
              <w:jc w:val="center"/>
              <w:ind w:left="72"/>
              <w:spacing w:after="0"/>
              <w:rPr>
                <w:sz w:val="20"/>
                <w:szCs w:val="20"/>
                <w:color w:val="auto"/>
              </w:rPr>
            </w:pPr>
            <w:r>
              <w:rPr>
                <w:rFonts w:ascii="Arial" w:cs="Arial" w:eastAsia="Arial" w:hAnsi="Arial"/>
                <w:sz w:val="18"/>
                <w:szCs w:val="18"/>
                <w:color w:val="0000FF"/>
                <w:w w:val="88"/>
              </w:rPr>
              <w:t>3,275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Arial" w:cs="Arial" w:eastAsia="Arial" w:hAnsi="Arial"/>
                <w:sz w:val="18"/>
                <w:szCs w:val="18"/>
                <w:color w:val="0000FF"/>
              </w:rPr>
              <w:t>11/17/2014</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center"/>
              <w:spacing w:after="0"/>
              <w:rPr>
                <w:sz w:val="20"/>
                <w:szCs w:val="20"/>
                <w:color w:val="auto"/>
              </w:rPr>
            </w:pPr>
            <w:r>
              <w:rPr>
                <w:rFonts w:ascii="Arial" w:cs="Arial" w:eastAsia="Arial" w:hAnsi="Arial"/>
                <w:sz w:val="18"/>
                <w:szCs w:val="18"/>
                <w:color w:val="0000FF"/>
                <w:w w:val="86"/>
              </w:rPr>
              <w:t>233</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ind w:left="2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4.0828</w:t>
            </w:r>
          </w:p>
        </w:tc>
        <w:tc>
          <w:tcPr>
            <w:tcW w:w="1380" w:type="dxa"/>
            <w:vAlign w:val="bottom"/>
            <w:gridSpan w:val="3"/>
          </w:tcPr>
          <w:p>
            <w:pPr>
              <w:jc w:val="center"/>
              <w:ind w:left="72"/>
              <w:spacing w:after="0"/>
              <w:rPr>
                <w:sz w:val="20"/>
                <w:szCs w:val="20"/>
                <w:color w:val="auto"/>
              </w:rPr>
            </w:pPr>
            <w:r>
              <w:rPr>
                <w:rFonts w:ascii="Arial" w:cs="Arial" w:eastAsia="Arial" w:hAnsi="Arial"/>
                <w:sz w:val="18"/>
                <w:szCs w:val="18"/>
                <w:color w:val="0000FF"/>
                <w:w w:val="88"/>
              </w:rPr>
              <w:t>3,508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11/17/2014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3,000</w:t>
            </w:r>
            <w:r>
              <w:rPr>
                <w:rFonts w:ascii="Arial" w:cs="Arial" w:eastAsia="Arial" w:hAnsi="Arial"/>
                <w:sz w:val="22"/>
                <w:szCs w:val="22"/>
                <w:color w:val="008000"/>
                <w:w w:val="82"/>
                <w:vertAlign w:val="superscript"/>
              </w:rPr>
              <w:t>(2)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29.5242</w:t>
            </w:r>
            <w:r>
              <w:rPr>
                <w:rFonts w:ascii="Arial" w:cs="Arial" w:eastAsia="Arial" w:hAnsi="Arial"/>
                <w:sz w:val="22"/>
                <w:szCs w:val="22"/>
                <w:color w:val="008000"/>
                <w:w w:val="85"/>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36"/>
              <w:spacing w:after="0"/>
              <w:rPr>
                <w:sz w:val="20"/>
                <w:szCs w:val="20"/>
                <w:color w:val="auto"/>
              </w:rPr>
            </w:pPr>
            <w:r>
              <w:rPr>
                <w:rFonts w:ascii="Arial" w:cs="Arial" w:eastAsia="Arial" w:hAnsi="Arial"/>
                <w:sz w:val="18"/>
                <w:szCs w:val="18"/>
                <w:color w:val="0000FF"/>
                <w:w w:val="86"/>
              </w:rPr>
              <w:t>508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jc w:val="right"/>
              <w:ind w:right="47"/>
              <w:spacing w:after="0"/>
              <w:rPr>
                <w:sz w:val="20"/>
                <w:szCs w:val="20"/>
                <w:color w:val="auto"/>
              </w:rPr>
            </w:pPr>
            <w:r>
              <w:rPr>
                <w:rFonts w:ascii="Arial" w:cs="Arial" w:eastAsia="Arial" w:hAnsi="Arial"/>
                <w:sz w:val="18"/>
                <w:szCs w:val="18"/>
                <w:color w:val="0000FF"/>
              </w:rPr>
              <w:t>2,767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4.4461</w:t>
            </w:r>
          </w:p>
        </w:tc>
        <w:tc>
          <w:tcPr>
            <w:tcW w:w="1140" w:type="dxa"/>
            <w:vAlign w:val="bottom"/>
          </w:tcPr>
          <w:p>
            <w:pPr>
              <w:jc w:val="right"/>
              <w:ind w:right="192"/>
              <w:spacing w:after="0" w:line="133" w:lineRule="exact"/>
              <w:rPr>
                <w:sz w:val="20"/>
                <w:szCs w:val="20"/>
                <w:color w:val="auto"/>
              </w:rPr>
            </w:pPr>
            <w:r>
              <w:rPr>
                <w:rFonts w:ascii="Arial" w:cs="Arial" w:eastAsia="Arial" w:hAnsi="Arial"/>
                <w:sz w:val="14"/>
                <w:szCs w:val="14"/>
                <w:color w:val="0000FF"/>
              </w:rPr>
              <w:t>11/17/2014</w:t>
            </w:r>
          </w:p>
        </w:tc>
        <w:tc>
          <w:tcPr>
            <w:tcW w:w="1140" w:type="dxa"/>
            <w:vAlign w:val="bottom"/>
          </w:tcPr>
          <w:p>
            <w:pPr>
              <w:spacing w:after="0"/>
              <w:rPr>
                <w:sz w:val="11"/>
                <w:szCs w:val="11"/>
                <w:color w:val="auto"/>
              </w:rPr>
            </w:pPr>
          </w:p>
        </w:tc>
        <w:tc>
          <w:tcPr>
            <w:tcW w:w="4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4"/>
                <w:szCs w:val="14"/>
                <w:color w:val="0000FF"/>
              </w:rPr>
              <w:t>2,767</w:t>
            </w:r>
          </w:p>
        </w:tc>
        <w:tc>
          <w:tcPr>
            <w:tcW w:w="820" w:type="dxa"/>
            <w:vAlign w:val="bottom"/>
            <w:vMerge w:val="continue"/>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4"/>
                <w:szCs w:val="14"/>
                <w:color w:val="0000FF"/>
                <w:w w:val="94"/>
              </w:rPr>
              <w:t>08/14/2016</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tcPr>
          <w:p>
            <w:pPr>
              <w:jc w:val="right"/>
              <w:ind w:right="116"/>
              <w:spacing w:after="0" w:line="133"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jc w:val="right"/>
              <w:ind w:right="107"/>
              <w:spacing w:after="0"/>
              <w:rPr>
                <w:sz w:val="20"/>
                <w:szCs w:val="20"/>
                <w:color w:val="auto"/>
              </w:rPr>
            </w:pPr>
            <w:r>
              <w:rPr>
                <w:rFonts w:ascii="Arial" w:cs="Arial" w:eastAsia="Arial" w:hAnsi="Arial"/>
                <w:sz w:val="18"/>
                <w:szCs w:val="18"/>
                <w:color w:val="0000FF"/>
              </w:rPr>
              <w:t>233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4.0828</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11/17/2014</w:t>
            </w:r>
          </w:p>
        </w:tc>
        <w:tc>
          <w:tcPr>
            <w:tcW w:w="1140" w:type="dxa"/>
            <w:vAlign w:val="bottom"/>
          </w:tcPr>
          <w:p>
            <w:pPr>
              <w:spacing w:after="0"/>
              <w:rPr>
                <w:sz w:val="5"/>
                <w:szCs w:val="5"/>
                <w:color w:val="auto"/>
              </w:rPr>
            </w:pPr>
          </w:p>
        </w:tc>
        <w:tc>
          <w:tcPr>
            <w:tcW w:w="4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5"/>
                <w:szCs w:val="5"/>
                <w:color w:val="auto"/>
              </w:rPr>
            </w:pPr>
          </w:p>
        </w:tc>
        <w:tc>
          <w:tcPr>
            <w:tcW w:w="700" w:type="dxa"/>
            <w:vAlign w:val="bottom"/>
            <w:vMerge w:val="restart"/>
          </w:tcPr>
          <w:p>
            <w:pPr>
              <w:jc w:val="right"/>
              <w:ind w:right="18"/>
              <w:spacing w:after="0" w:line="149" w:lineRule="exact"/>
              <w:rPr>
                <w:sz w:val="20"/>
                <w:szCs w:val="20"/>
                <w:color w:val="auto"/>
              </w:rPr>
            </w:pPr>
            <w:r>
              <w:rPr>
                <w:rFonts w:ascii="Arial" w:cs="Arial" w:eastAsia="Arial" w:hAnsi="Arial"/>
                <w:sz w:val="14"/>
                <w:szCs w:val="14"/>
                <w:color w:val="0000FF"/>
              </w:rPr>
              <w:t>233</w:t>
            </w:r>
          </w:p>
        </w:tc>
        <w:tc>
          <w:tcPr>
            <w:tcW w:w="820" w:type="dxa"/>
            <w:vAlign w:val="bottom"/>
            <w:vMerge w:val="continue"/>
          </w:tcPr>
          <w:p>
            <w:pPr>
              <w:spacing w:after="0"/>
              <w:rPr>
                <w:sz w:val="5"/>
                <w:szCs w:val="5"/>
                <w:color w:val="auto"/>
              </w:rPr>
            </w:pPr>
          </w:p>
        </w:tc>
        <w:tc>
          <w:tcPr>
            <w:tcW w:w="80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w w:val="94"/>
              </w:rPr>
              <w:t>11/17/2019</w:t>
            </w: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jc w:val="right"/>
              <w:spacing w:after="0" w:line="149" w:lineRule="exact"/>
              <w:rPr>
                <w:sz w:val="20"/>
                <w:szCs w:val="20"/>
                <w:color w:val="auto"/>
              </w:rPr>
            </w:pPr>
            <w:r>
              <w:rPr>
                <w:rFonts w:ascii="Arial" w:cs="Arial" w:eastAsia="Arial" w:hAnsi="Arial"/>
                <w:sz w:val="14"/>
                <w:szCs w:val="14"/>
                <w:color w:val="0000FF"/>
              </w:rPr>
              <w:t>5,547</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Smith were effected pursuant to a Rule 10b5-1 trading plan adopted on November 27, 2013.</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$29.52 to $29.556,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fully vested on October 1, 2008.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fully vested on December 31, 2012.</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Valerie Barnett, attorney-in- </w:t>
      </w:r>
      <w:r>
        <w:rPr>
          <w:rFonts w:ascii="Arial" w:cs="Arial" w:eastAsia="Arial" w:hAnsi="Arial"/>
          <w:sz w:val="35"/>
          <w:szCs w:val="35"/>
          <w:color w:val="0000FF"/>
          <w:vertAlign w:val="subscript"/>
        </w:rPr>
        <w:t>11/19/2014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71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93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2019-12-17T08:12:19Z</dcterms:created>
  <dcterms:modified xsi:type="dcterms:W3CDTF">2019-12-17T08:12:19Z</dcterms:modified>
</cp:coreProperties>
</file>