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COLELLA SAMUEL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06/20/2019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04"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376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5"/>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ind w:left="3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740" w:type="dxa"/>
            <w:vAlign w:val="bottom"/>
            <w:gridSpan w:val="5"/>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82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820" w:type="dxa"/>
            <w:vAlign w:val="bottom"/>
            <w:vMerge w:val="restart"/>
          </w:tcPr>
          <w:p>
            <w:pPr>
              <w:ind w:left="580"/>
              <w:spacing w:after="0"/>
              <w:rPr>
                <w:sz w:val="20"/>
                <w:szCs w:val="20"/>
                <w:color w:val="auto"/>
              </w:rPr>
            </w:pPr>
            <w:r>
              <w:rPr>
                <w:rFonts w:ascii="Arial" w:cs="Arial" w:eastAsia="Arial" w:hAnsi="Arial"/>
                <w:sz w:val="17"/>
                <w:szCs w:val="17"/>
                <w:color w:val="0000FF"/>
              </w:rPr>
              <w:t>94080</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82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20"/>
              <w:spacing w:after="0"/>
              <w:rPr>
                <w:sz w:val="20"/>
                <w:szCs w:val="20"/>
                <w:color w:val="auto"/>
              </w:rPr>
            </w:pPr>
            <w:r>
              <w:rPr>
                <w:rFonts w:ascii="Arial" w:cs="Arial" w:eastAsia="Arial" w:hAnsi="Arial"/>
                <w:sz w:val="13"/>
                <w:szCs w:val="13"/>
                <w:color w:val="auto"/>
              </w:rPr>
              <w:t>(State)</w:t>
            </w:r>
          </w:p>
        </w:tc>
        <w:tc>
          <w:tcPr>
            <w:tcW w:w="2320" w:type="dxa"/>
            <w:vAlign w:val="bottom"/>
            <w:gridSpan w:val="2"/>
          </w:tcPr>
          <w:p>
            <w:pPr>
              <w:ind w:left="5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20" w:type="dxa"/>
            <w:vAlign w:val="bottom"/>
            <w:gridSpan w:val="2"/>
          </w:tcPr>
          <w:p>
            <w:pPr>
              <w:ind w:left="12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gridSpan w:val="2"/>
          </w:tcPr>
          <w:p>
            <w:pPr>
              <w:ind w:left="12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gridSpan w:val="2"/>
          </w:tcPr>
          <w:p>
            <w:pPr>
              <w:jc w:val="center"/>
              <w:ind w:left="114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gridSpan w:val="2"/>
          </w:tcPr>
          <w:p>
            <w:pPr>
              <w:jc w:val="center"/>
              <w:ind w:left="1143"/>
              <w:spacing w:after="0"/>
              <w:rPr>
                <w:sz w:val="20"/>
                <w:szCs w:val="20"/>
                <w:color w:val="auto"/>
              </w:rPr>
            </w:pPr>
            <w:r>
              <w:rPr>
                <w:rFonts w:ascii="Arial" w:cs="Arial" w:eastAsia="Arial" w:hAnsi="Arial"/>
                <w:sz w:val="17"/>
                <w:szCs w:val="17"/>
                <w:color w:val="0000FF"/>
                <w:w w:val="91"/>
              </w:rPr>
              <w:t>06/20/2019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10.45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88,881</w:t>
            </w:r>
            <w:r>
              <w:rPr>
                <w:rFonts w:ascii="Arial" w:cs="Arial" w:eastAsia="Arial" w:hAnsi="Arial"/>
                <w:sz w:val="22"/>
                <w:szCs w:val="22"/>
                <w:color w:val="008000"/>
                <w:w w:val="88"/>
                <w:vertAlign w:val="superscript"/>
              </w:rPr>
              <w:t>(1)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20" w:type="dxa"/>
            <w:vAlign w:val="bottom"/>
            <w:gridSpan w:val="2"/>
          </w:tcPr>
          <w:p>
            <w:pPr>
              <w:jc w:val="center"/>
              <w:ind w:left="1143"/>
              <w:spacing w:after="0"/>
              <w:rPr>
                <w:sz w:val="20"/>
                <w:szCs w:val="20"/>
                <w:color w:val="auto"/>
              </w:rPr>
            </w:pPr>
            <w:r>
              <w:rPr>
                <w:rFonts w:ascii="Arial" w:cs="Arial" w:eastAsia="Arial" w:hAnsi="Arial"/>
                <w:sz w:val="17"/>
                <w:szCs w:val="17"/>
                <w:color w:val="0000FF"/>
                <w:w w:val="91"/>
              </w:rPr>
              <w:t>06/20/2019</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5.44</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91,881</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20" w:type="dxa"/>
            <w:vAlign w:val="bottom"/>
            <w:gridSpan w:val="2"/>
          </w:tcPr>
          <w:p>
            <w:pPr>
              <w:jc w:val="center"/>
              <w:ind w:left="1143"/>
              <w:spacing w:after="0"/>
              <w:rPr>
                <w:sz w:val="20"/>
                <w:szCs w:val="20"/>
                <w:color w:val="auto"/>
              </w:rPr>
            </w:pPr>
            <w:r>
              <w:rPr>
                <w:rFonts w:ascii="Arial" w:cs="Arial" w:eastAsia="Arial" w:hAnsi="Arial"/>
                <w:sz w:val="17"/>
                <w:szCs w:val="17"/>
                <w:color w:val="0000FF"/>
                <w:w w:val="91"/>
              </w:rPr>
              <w:t>06/20/2019</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3.43</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96,881</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20" w:type="dxa"/>
            <w:vAlign w:val="bottom"/>
            <w:gridSpan w:val="2"/>
          </w:tcPr>
          <w:p>
            <w:pPr>
              <w:jc w:val="center"/>
              <w:ind w:left="1143"/>
              <w:spacing w:after="0"/>
              <w:rPr>
                <w:sz w:val="20"/>
                <w:szCs w:val="20"/>
                <w:color w:val="auto"/>
              </w:rPr>
            </w:pPr>
            <w:r>
              <w:rPr>
                <w:rFonts w:ascii="Arial" w:cs="Arial" w:eastAsia="Arial" w:hAnsi="Arial"/>
                <w:sz w:val="17"/>
                <w:szCs w:val="17"/>
                <w:color w:val="0000FF"/>
                <w:w w:val="91"/>
              </w:rPr>
              <w:t>06/20/2019</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10,600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5.57</w:t>
            </w:r>
          </w:p>
        </w:tc>
        <w:tc>
          <w:tcPr>
            <w:tcW w:w="1160" w:type="dxa"/>
            <w:vAlign w:val="bottom"/>
          </w:tcPr>
          <w:p>
            <w:pPr>
              <w:jc w:val="center"/>
              <w:spacing w:after="0"/>
              <w:rPr>
                <w:sz w:val="20"/>
                <w:szCs w:val="20"/>
                <w:color w:val="auto"/>
              </w:rPr>
            </w:pPr>
            <w:r>
              <w:rPr>
                <w:rFonts w:ascii="Arial" w:cs="Arial" w:eastAsia="Arial" w:hAnsi="Arial"/>
                <w:sz w:val="17"/>
                <w:szCs w:val="17"/>
                <w:color w:val="0000FF"/>
                <w:w w:val="94"/>
              </w:rPr>
              <w:t>107,481</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Colella</w:t>
      </w:r>
    </w:p>
    <w:p>
      <w:pPr>
        <w:ind w:left="80"/>
        <w:spacing w:after="0" w:line="206" w:lineRule="auto"/>
        <w:tabs>
          <w:tab w:leader="none" w:pos="8760" w:val="left"/>
          <w:tab w:leader="none" w:pos="10000" w:val="left"/>
          <w:tab w:leader="none" w:pos="105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5,561</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25"/>
          <w:szCs w:val="25"/>
          <w:color w:val="0000FF"/>
          <w:vertAlign w:val="superscript"/>
        </w:rPr>
        <w:t>Family</w:t>
      </w:r>
    </w:p>
    <w:p>
      <w:pPr>
        <w:spacing w:after="0" w:line="1"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Partners,</w:t>
      </w:r>
    </w:p>
    <w:p>
      <w:pPr>
        <w:ind w:left="10600"/>
        <w:spacing w:after="0" w:line="181" w:lineRule="auto"/>
        <w:rPr>
          <w:sz w:val="20"/>
          <w:szCs w:val="20"/>
          <w:color w:val="auto"/>
        </w:rPr>
      </w:pPr>
      <w:r>
        <w:rPr>
          <w:rFonts w:ascii="Arial" w:cs="Arial" w:eastAsia="Arial" w:hAnsi="Arial"/>
          <w:sz w:val="26"/>
          <w:szCs w:val="26"/>
          <w:color w:val="0000FF"/>
          <w:vertAlign w:val="subscript"/>
        </w:rPr>
        <w:t>L.P</w:t>
      </w:r>
      <w:r>
        <w:rPr>
          <w:rFonts w:ascii="Arial" w:cs="Arial" w:eastAsia="Arial" w:hAnsi="Arial"/>
          <w:sz w:val="10"/>
          <w:szCs w:val="10"/>
          <w:color w:val="008000"/>
        </w:rPr>
        <w:t>(2)</w:t>
      </w:r>
    </w:p>
    <w:p>
      <w:pPr>
        <w:spacing w:after="0" w:line="128"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Colella</w:t>
      </w:r>
    </w:p>
    <w:p>
      <w:pPr>
        <w:spacing w:after="0" w:line="26"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Family</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Exempt</w:t>
      </w:r>
    </w:p>
    <w:p>
      <w:pPr>
        <w:spacing w:after="0" w:line="19" w:lineRule="exact"/>
        <w:rPr>
          <w:sz w:val="24"/>
          <w:szCs w:val="24"/>
          <w:color w:val="auto"/>
        </w:rPr>
      </w:pPr>
    </w:p>
    <w:p>
      <w:pPr>
        <w:ind w:left="8660" w:right="200" w:hanging="10514"/>
        <w:spacing w:after="0"/>
        <w:tabs>
          <w:tab w:leader="none" w:pos="8640" w:val="left"/>
        </w:tabs>
        <w:rPr>
          <w:sz w:val="20"/>
          <w:szCs w:val="20"/>
          <w:color w:val="auto"/>
        </w:rPr>
      </w:pPr>
      <w:r>
        <w:rPr>
          <w:rFonts w:ascii="Arial" w:cs="Arial" w:eastAsia="Arial" w:hAnsi="Arial"/>
          <w:sz w:val="34"/>
          <w:szCs w:val="34"/>
          <w:color w:val="0000FF"/>
          <w:vertAlign w:val="subscript"/>
        </w:rPr>
        <w:t>Common Stock</w:t>
      </w:r>
      <w:r>
        <w:rPr>
          <w:sz w:val="20"/>
          <w:szCs w:val="20"/>
          <w:color w:val="auto"/>
        </w:rPr>
        <w:tab/>
      </w:r>
      <w:r>
        <w:rPr>
          <w:rFonts w:ascii="Arial" w:cs="Arial" w:eastAsia="Arial" w:hAnsi="Arial"/>
          <w:sz w:val="34"/>
          <w:szCs w:val="34"/>
          <w:color w:val="0000FF"/>
          <w:vertAlign w:val="subscript"/>
        </w:rPr>
        <w:t>69,272</w:t>
      </w:r>
      <w:r>
        <w:rPr>
          <w:rFonts w:ascii="Arial" w:cs="Arial" w:eastAsia="Arial" w:hAnsi="Arial"/>
          <w:sz w:val="11"/>
          <w:szCs w:val="11"/>
          <w:color w:val="008000"/>
        </w:rPr>
        <w:t>(1)</w:t>
      </w:r>
      <w:r>
        <w:rPr>
          <w:rFonts w:ascii="Arial" w:cs="Arial" w:eastAsia="Arial" w:hAnsi="Arial"/>
          <w:sz w:val="34"/>
          <w:szCs w:val="34"/>
          <w:color w:val="0000FF"/>
        </w:rPr>
        <w:t xml:space="preserve"> </w:t>
      </w:r>
      <w:r>
        <w:rPr>
          <w:rFonts w:ascii="Arial" w:cs="Arial" w:eastAsia="Arial" w:hAnsi="Arial"/>
          <w:sz w:val="34"/>
          <w:szCs w:val="34"/>
          <w:color w:val="0000FF"/>
          <w:vertAlign w:val="subscript"/>
        </w:rPr>
        <w:t>I</w:t>
      </w:r>
      <w:r>
        <w:rPr>
          <w:rFonts w:ascii="Arial" w:cs="Arial" w:eastAsia="Arial" w:hAnsi="Arial"/>
          <w:sz w:val="34"/>
          <w:szCs w:val="34"/>
          <w:color w:val="0000FF"/>
        </w:rPr>
        <w:t xml:space="preserve"> </w:t>
      </w:r>
      <w:r>
        <w:rPr>
          <w:rFonts w:ascii="Arial" w:cs="Arial" w:eastAsia="Arial" w:hAnsi="Arial"/>
          <w:sz w:val="34"/>
          <w:szCs w:val="34"/>
          <w:color w:val="0000FF"/>
          <w:vertAlign w:val="superscript"/>
        </w:rPr>
        <w:t>Marital</w:t>
      </w:r>
      <w:r>
        <w:rPr>
          <w:rFonts w:ascii="Arial" w:cs="Arial" w:eastAsia="Arial" w:hAnsi="Arial"/>
          <w:sz w:val="34"/>
          <w:szCs w:val="34"/>
          <w:color w:val="0000FF"/>
        </w:rPr>
        <w:t xml:space="preserve"> </w:t>
      </w:r>
      <w:r>
        <w:rPr>
          <w:rFonts w:ascii="Arial" w:cs="Arial" w:eastAsia="Arial" w:hAnsi="Arial"/>
          <w:sz w:val="17"/>
          <w:szCs w:val="17"/>
          <w:color w:val="0000FF"/>
        </w:rPr>
        <w:t>Deduction</w:t>
      </w:r>
    </w:p>
    <w:p>
      <w:pPr>
        <w:spacing w:after="0" w:line="45"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Trust</w:t>
      </w:r>
    </w:p>
    <w:p>
      <w:pPr>
        <w:spacing w:after="0" w:line="12"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dated</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9/21/1992</w:t>
      </w:r>
    </w:p>
    <w:p>
      <w:pPr>
        <w:spacing w:after="0" w:line="146"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Colella</w:t>
      </w:r>
    </w:p>
    <w:p>
      <w:pPr>
        <w:spacing w:after="0" w:line="26"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Family</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Non-</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Exempt</w:t>
      </w:r>
    </w:p>
    <w:p>
      <w:pPr>
        <w:spacing w:after="0" w:line="19" w:lineRule="exact"/>
        <w:rPr>
          <w:sz w:val="24"/>
          <w:szCs w:val="24"/>
          <w:color w:val="auto"/>
        </w:rPr>
      </w:pPr>
    </w:p>
    <w:p>
      <w:pPr>
        <w:ind w:left="80"/>
        <w:spacing w:after="0"/>
        <w:tabs>
          <w:tab w:leader="none" w:pos="8760" w:val="left"/>
          <w:tab w:leader="none" w:pos="10000" w:val="left"/>
          <w:tab w:leader="none" w:pos="105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3,326</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7"/>
          <w:szCs w:val="17"/>
          <w:color w:val="0000FF"/>
        </w:rPr>
        <w:t>Marital</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Deduction</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Trust</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dated</w:t>
      </w:r>
    </w:p>
    <w:p>
      <w:pPr>
        <w:spacing w:after="0" w:line="19"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9/21/1992</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10.45</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06/20/2019</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420"/>
              <w:spacing w:after="0"/>
              <w:rPr>
                <w:sz w:val="20"/>
                <w:szCs w:val="20"/>
                <w:color w:val="auto"/>
              </w:rPr>
            </w:pPr>
            <w:r>
              <w:rPr>
                <w:rFonts w:ascii="Arial" w:cs="Arial" w:eastAsia="Arial" w:hAnsi="Arial"/>
                <w:sz w:val="13"/>
                <w:szCs w:val="13"/>
                <w:color w:val="0000FF"/>
              </w:rPr>
              <w:t>5,000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08/03/2026</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5,000</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10.45</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0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310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310388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06/20/2019</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3,000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08/01/2027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5.44</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06/20/2019</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5,000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08/01/2027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3.43</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5.57</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06/20/2019</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ind w:left="258"/>
              <w:spacing w:after="0"/>
              <w:rPr>
                <w:sz w:val="20"/>
                <w:szCs w:val="20"/>
                <w:color w:val="auto"/>
              </w:rPr>
            </w:pPr>
            <w:r>
              <w:rPr>
                <w:rFonts w:ascii="Arial" w:cs="Arial" w:eastAsia="Arial" w:hAnsi="Arial"/>
                <w:sz w:val="13"/>
                <w:szCs w:val="13"/>
                <w:color w:val="0000FF"/>
                <w:w w:val="95"/>
              </w:rPr>
              <w:t>10,600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05/31/2028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0"/>
              <w:spacing w:after="0"/>
              <w:rPr>
                <w:sz w:val="20"/>
                <w:szCs w:val="20"/>
                <w:color w:val="auto"/>
              </w:rPr>
            </w:pPr>
            <w:r>
              <w:rPr>
                <w:rFonts w:ascii="Arial" w:cs="Arial" w:eastAsia="Arial" w:hAnsi="Arial"/>
                <w:sz w:val="17"/>
                <w:szCs w:val="17"/>
                <w:color w:val="0000FF"/>
                <w:w w:val="92"/>
              </w:rPr>
              <w:t>10,600</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5.57</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8"/>
        <w:spacing w:after="0" w:line="254"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an aggregate of 15,877 shares that were reported in prior Forms 4 as being directly held and are now being reported as indirectly held. Of such 15,877 shares, (i) 10,877 shares were transferred to the Colella Family Exempt Marital Deduction Trust dated 9/21/1992 (the "Trust") for no consideration on July 25, 2016, and (ii) 5,000 shares were acquired by the Trust in an open market purchase on December 14, 2016, that was erroneously reported as a direct ownership transaction.</w:t>
      </w:r>
    </w:p>
    <w:p>
      <w:pPr>
        <w:spacing w:after="0" w:line="21" w:lineRule="exact"/>
        <w:rPr>
          <w:rFonts w:ascii="Arial" w:cs="Arial" w:eastAsia="Arial" w:hAnsi="Arial"/>
          <w:sz w:val="13"/>
          <w:szCs w:val="13"/>
          <w:color w:val="008000"/>
        </w:rPr>
      </w:pPr>
    </w:p>
    <w:p>
      <w:pPr>
        <w:ind w:left="20" w:right="26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in twelve equal monthly increments and was fully exercisable on August 3, 2017.</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in twelve equal monthly increments and was fully exercisable on August 1, 2018.</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in twelve equal monthly increments and was fully exercisable on May 31, 2019.</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Samuel D. Colella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-7620</wp:posOffset>
            </wp:positionV>
            <wp:extent cx="1085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Nicholas Khadder, Attorney-in- 06/24/2019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960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9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2019-12-23T22:06:42Z</dcterms:created>
  <dcterms:modified xsi:type="dcterms:W3CDTF">2019-12-23T22:06:42Z</dcterms:modified>
</cp:coreProperties>
</file>