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7083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08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Worthington Gajus Vincent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FLUIDIGM CORPORATION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05/20/2016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4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top w:val="single" w:sz="8" w:color="2C2C2C"/>
              <w:bottom w:val="single" w:sz="8" w:color="2C2C2C"/>
            </w:tcBorders>
            <w:gridSpan w:val="7"/>
            <w:vMerge w:val="restart"/>
          </w:tcPr>
          <w:p>
            <w:pPr>
              <w:jc w:val="center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60" w:type="dxa"/>
            <w:vAlign w:val="bottom"/>
            <w:gridSpan w:val="9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05/20/2016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1,625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10,938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05/20/2016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777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11,715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05/20/2016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1,124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12,839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05/20/2016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1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1,326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8.65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11,513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right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33,029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3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1,625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05/20/2016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27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1,625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10,834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777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05/20/2016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27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21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777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8,294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1,124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05/20/2016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27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1,124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12,376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the contingent right to receive one share of FLDM common stock upon vesting of the unit.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directly by the Worthington Family Trust dated March 6, 2007, a trust for the benefit of the Reporting Person and the Reporting Person's spouse, for which the Reporting Person and the Reporting Person's spouse serve as trustees.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6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March 14, 2014, the Reporting Person was granted 26,000 Restricted Stock Units of which 4/48th of the total number of shares underlying the Restricted Stock Units granted vested on May 20, 2014, and 3/48th of the total number of shares underlying the Restricted Stock Units granted will vest every three months thereafter until fully vested, subject to recipient's continued status as a Service Provider as defined in the Company's 2011 Equity Incentive Plan through the applicable vest date.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6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March 12, 2015, the Reporting Person was granted 12,440 Restricted Stock Units of which 4/48th of the total number of shares underlying the Restricted Stock Units granted vested on May 20, 2015, and 3/48th of the total number of shares underlying the Restricted Stock Units granted will vest every three months thereafter until fully vested, subject to recipient's continued status as a Service Provider as defined in the Company's 2011 Equity Incentive Plan through the applicable vest date.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2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March 4, 2016, the Reporting Person was granted 13,500 Restricted Stock Units of which 4/48th of the total number of shares underlying the Restricted Stock Units granted vested on May 20, 2016, and 3/48th of the total number of shares underlying the Restricted Stock Units granted will vest every three months thereafter until fully vested, subject to recipient's continued status as a Service Provider as defined in the Company's 2011 Equity Incentive Plan through the applicable vest date.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William M. Smith, attorney-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05/23/2016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0144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14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25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35768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2019-12-07T14:53:11Z</dcterms:created>
  <dcterms:modified xsi:type="dcterms:W3CDTF">2019-12-07T14:53:11Z</dcterms:modified>
</cp:coreProperties>
</file>