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jc w:val="both"/>
        <w:ind w:right="10240" w:firstLine="8"/>
        <w:spacing w:after="0" w:line="291" w:lineRule="auto"/>
        <w:tabs>
          <w:tab w:leader="none" w:pos="13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6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2 of 9</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860" w:hanging="556"/>
        <w:spacing w:after="0" w:line="198" w:lineRule="auto"/>
        <w:tabs>
          <w:tab w:leader="none" w:pos="960" w:val="left"/>
        </w:tabs>
        <w:numPr>
          <w:ilvl w:val="0"/>
          <w:numId w:val="2"/>
        </w:numPr>
        <w:rPr>
          <w:rFonts w:ascii="Arial" w:cs="Arial" w:eastAsia="Arial" w:hAnsi="Arial"/>
          <w:sz w:val="50"/>
          <w:szCs w:val="50"/>
          <w:color w:val="auto"/>
          <w:vertAlign w:val="subscript"/>
        </w:rPr>
      </w:pPr>
      <w:r>
        <w:rPr>
          <w:rFonts w:ascii="Arial" w:cs="Arial" w:eastAsia="Arial" w:hAnsi="Arial"/>
          <w:sz w:val="18"/>
          <w:szCs w:val="18"/>
          <w:color w:val="auto"/>
        </w:rPr>
        <w:t>I.R.S. IDENTIFICATION NOS. OF ABOVE PERSONS (ENTITIES ONLY) Mubadala Development Company PJSC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jc w:val="center"/>
              <w:ind w:right="5810"/>
              <w:spacing w:after="0"/>
              <w:rPr>
                <w:sz w:val="20"/>
                <w:szCs w:val="20"/>
                <w:color w:val="auto"/>
              </w:rPr>
            </w:pPr>
            <w:r>
              <w:rPr>
                <w:rFonts w:ascii="Arial" w:cs="Arial" w:eastAsia="Arial" w:hAnsi="Arial"/>
                <w:sz w:val="18"/>
                <w:szCs w:val="18"/>
                <w:color w:val="auto"/>
                <w:w w:val="92"/>
              </w:rPr>
              <w:t>The Emirate of Abu Dhabi, United Arab Emirates</w:t>
            </w: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1,469,122</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1,469,122</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1,469,122</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5.1%(1)</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CO</w:t>
      </w:r>
    </w:p>
    <w:p>
      <w:pPr>
        <w:spacing w:after="0" w:line="304" w:lineRule="exact"/>
        <w:rPr>
          <w:sz w:val="20"/>
          <w:szCs w:val="20"/>
          <w:color w:val="auto"/>
        </w:rPr>
      </w:pPr>
    </w:p>
    <w:p>
      <w:pPr>
        <w:ind w:right="240" w:firstLine="8"/>
        <w:spacing w:after="0" w:line="27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percentages used herein are calculated based upon 28,713,113 shares outstanding as of July 31, 2015 as reported in the Company’s Quarterly Report on Form 10-Q for the quarterly period ended June 30, 2015 and filed with the SEC on 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8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3 of 9</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860" w:hanging="556"/>
        <w:spacing w:after="0" w:line="198" w:lineRule="auto"/>
        <w:tabs>
          <w:tab w:leader="none" w:pos="960" w:val="left"/>
        </w:tabs>
        <w:numPr>
          <w:ilvl w:val="0"/>
          <w:numId w:val="5"/>
        </w:numPr>
        <w:rPr>
          <w:rFonts w:ascii="Arial" w:cs="Arial" w:eastAsia="Arial" w:hAnsi="Arial"/>
          <w:sz w:val="50"/>
          <w:szCs w:val="50"/>
          <w:color w:val="auto"/>
          <w:vertAlign w:val="subscript"/>
        </w:rPr>
      </w:pPr>
      <w:r>
        <w:rPr>
          <w:rFonts w:ascii="Arial" w:cs="Arial" w:eastAsia="Arial" w:hAnsi="Arial"/>
          <w:sz w:val="18"/>
          <w:szCs w:val="18"/>
          <w:color w:val="auto"/>
        </w:rPr>
        <w:t>I.R.S. IDENTIFICATION NOS. OF ABOVE PERSONS (ENTITIES ONLY) MDC Capital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6"/>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jc w:val="center"/>
              <w:ind w:right="5810"/>
              <w:spacing w:after="0"/>
              <w:rPr>
                <w:sz w:val="20"/>
                <w:szCs w:val="20"/>
                <w:color w:val="auto"/>
              </w:rPr>
            </w:pPr>
            <w:r>
              <w:rPr>
                <w:rFonts w:ascii="Arial" w:cs="Arial" w:eastAsia="Arial" w:hAnsi="Arial"/>
                <w:sz w:val="18"/>
                <w:szCs w:val="18"/>
                <w:color w:val="auto"/>
                <w:w w:val="92"/>
              </w:rPr>
              <w:t>The Emirate of Abu Dhabi, United Arab Emirates</w:t>
            </w: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1,469,122</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1,469,122</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1,469,122</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5.1%(1)</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Schedule 13G</w:t>
            </w:r>
          </w:p>
        </w:tc>
        <w:tc>
          <w:tcPr>
            <w:tcW w:w="188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w w:val="98"/>
              </w:rPr>
              <w:t>Page 4 of 9</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1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0"/>
                <w:szCs w:val="20"/>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I.R.S. IDENTIFICATION NOS. OF ABOVE PERSONS (ENTITIES ONLY)</w:t>
            </w: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shd w:val="clear" w:color="auto" w:fill="000000"/>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MDC Capital (Cayman) Limited, as trustee for Fifty First Investment Company LLC</w:t>
            </w: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680" w:type="dxa"/>
            <w:vAlign w:val="bottom"/>
            <w:gridSpan w:val="3"/>
            <w:vMerge w:val="restart"/>
          </w:tcPr>
          <w:p>
            <w:pPr>
              <w:ind w:left="40"/>
              <w:spacing w:after="0"/>
              <w:rPr>
                <w:sz w:val="20"/>
                <w:szCs w:val="20"/>
                <w:color w:val="auto"/>
              </w:rPr>
            </w:pPr>
            <w:r>
              <w:rPr>
                <w:rFonts w:ascii="Arial" w:cs="Arial" w:eastAsia="Arial" w:hAnsi="Arial"/>
                <w:sz w:val="18"/>
                <w:szCs w:val="18"/>
                <w:color w:val="auto"/>
              </w:rPr>
              <w:t>Not applicable</w:t>
            </w: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680" w:type="dxa"/>
            <w:vAlign w:val="bottom"/>
            <w:gridSpan w:val="3"/>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68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6680" w:type="dxa"/>
            <w:vAlign w:val="bottom"/>
            <w:gridSpan w:val="3"/>
            <w:vMerge w:val="continue"/>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1,469,122</w:t>
            </w:r>
          </w:p>
        </w:tc>
        <w:tc>
          <w:tcPr>
            <w:tcW w:w="18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66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Not applicable</w:t>
            </w: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668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680" w:type="dxa"/>
            <w:vAlign w:val="bottom"/>
            <w:gridSpan w:val="3"/>
            <w:vMerge w:val="continue"/>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1,469,122</w:t>
            </w: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gridSpan w:val="3"/>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1,469,122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5"/>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shd w:val="clear" w:color="auto" w:fill="000000"/>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980" w:type="dxa"/>
            <w:vAlign w:val="bottom"/>
            <w:tcBorders>
              <w:bottom w:val="single" w:sz="8" w:color="auto"/>
            </w:tcBorders>
            <w:gridSpan w:val="5"/>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5.1%(1)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gridSpan w:val="5"/>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6"/>
        </w:trPr>
        <w:tc>
          <w:tcPr>
            <w:tcW w:w="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51"/>
        </w:trPr>
        <w:tc>
          <w:tcPr>
            <w:tcW w:w="3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6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5 of 9</w:t>
            </w:r>
          </w:p>
        </w:tc>
      </w:tr>
      <w:tr>
        <w:trPr>
          <w:trHeight w:val="115"/>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7000 Shoreline Court, Suite 100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Mubadala Development Company PJSC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MDC Capital LLC</w:t>
      </w:r>
    </w:p>
    <w:p>
      <w:pPr>
        <w:spacing w:after="0" w:line="225" w:lineRule="exact"/>
        <w:rPr>
          <w:sz w:val="20"/>
          <w:szCs w:val="20"/>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MDC Capital (Cayman) Limited, as trustee for Fifty First Investment Company LLC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 Box 45005, Abu Dhabi, United Arab Emirates</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 Box 45005, Abu Dhabi, United Arab Emirates</w:t>
      </w:r>
    </w:p>
    <w:p>
      <w:pPr>
        <w:spacing w:after="0" w:line="225" w:lineRule="exact"/>
        <w:rPr>
          <w:sz w:val="20"/>
          <w:szCs w:val="20"/>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Intertrust Corporate Services (Cayman) Limited, 190 Elgin Avenue, George Town, Grand Cayman KY1-9005, Cayman Islands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Emirate of Abu Dhabi, United Arab Emirates</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Emirate of Abu Dhabi, United Arab Emirates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853440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51"/>
        </w:trPr>
        <w:tc>
          <w:tcPr>
            <w:tcW w:w="3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6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6 of 9</w:t>
            </w:r>
          </w:p>
        </w:tc>
      </w:tr>
      <w:tr>
        <w:trPr>
          <w:trHeight w:val="115"/>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bl>
    <w:p>
      <w:pPr>
        <w:spacing w:after="0" w:line="256" w:lineRule="exact"/>
        <w:rPr>
          <w:sz w:val="20"/>
          <w:szCs w:val="20"/>
          <w:color w:val="auto"/>
        </w:rPr>
      </w:pPr>
    </w:p>
    <w:p>
      <w:pPr>
        <w:ind w:left="1300" w:right="8800" w:hanging="1292"/>
        <w:spacing w:after="0" w:line="634"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300" w:right="9300" w:hanging="1292"/>
        <w:spacing w:after="0" w:line="631"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1,469,122 shares are held of record by MDC Capital (Cayman) Limited (“MDC Capital (Cayman)”), as trustee for Fifty First Investment Company LLC. MDC Capital (Cayman) is a direct wholly-owned subsidiary of MDC Capital LLC. MDC Capital LLC, MDC Capital (Cayman) and Fifty First Investment Company LLC are controlled subsidiaries of Mubadala Development Company PJSC.</w:t>
      </w:r>
    </w:p>
    <w:p>
      <w:pPr>
        <w:spacing w:after="0" w:line="235" w:lineRule="exact"/>
        <w:rPr>
          <w:rFonts w:ascii="Arial" w:cs="Arial" w:eastAsia="Arial" w:hAnsi="Arial"/>
          <w:sz w:val="18"/>
          <w:szCs w:val="18"/>
          <w:color w:val="auto"/>
        </w:rPr>
      </w:pPr>
    </w:p>
    <w:p>
      <w:pPr>
        <w:ind w:left="660" w:hanging="607"/>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responses of the Reporting Persons to Row (11) of the cover pages of this Statement are incorporated herein by reference.</w:t>
      </w:r>
    </w:p>
    <w:p>
      <w:pPr>
        <w:spacing w:after="0" w:line="27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responses of the Reporting Persons to Rows (5) through (8) of the cover pages of this Statement are incorporated herein by reference.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956310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51"/>
        </w:trPr>
        <w:tc>
          <w:tcPr>
            <w:tcW w:w="3460" w:type="dxa"/>
            <w:vAlign w:val="bottom"/>
            <w:tcBorders>
              <w:top w:val="single" w:sz="8" w:color="auto"/>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6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7 of 9</w:t>
            </w:r>
          </w:p>
        </w:tc>
      </w:tr>
      <w:tr>
        <w:trPr>
          <w:trHeight w:val="115"/>
        </w:trPr>
        <w:tc>
          <w:tcPr>
            <w:tcW w:w="600" w:type="dxa"/>
            <w:vAlign w:val="bottom"/>
            <w:tcBorders>
              <w:left w:val="single" w:sz="8" w:color="auto"/>
              <w:bottom w:val="single" w:sz="8" w:color="auto"/>
            </w:tcBorders>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486"/>
        </w:trPr>
        <w:tc>
          <w:tcPr>
            <w:tcW w:w="6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Identification and Classification of Member of the Group.</w:t>
            </w:r>
          </w:p>
        </w:tc>
        <w:tc>
          <w:tcPr>
            <w:tcW w:w="3400" w:type="dxa"/>
            <w:vAlign w:val="bottom"/>
          </w:tcPr>
          <w:p>
            <w:pPr>
              <w:spacing w:after="0"/>
              <w:rPr>
                <w:sz w:val="24"/>
                <w:szCs w:val="24"/>
                <w:color w:val="auto"/>
              </w:rPr>
            </w:pPr>
          </w:p>
        </w:tc>
      </w:tr>
      <w:tr>
        <w:trPr>
          <w:trHeight w:val="486"/>
        </w:trPr>
        <w:tc>
          <w:tcPr>
            <w:tcW w:w="600" w:type="dxa"/>
            <w:vAlign w:val="bottom"/>
          </w:tcPr>
          <w:p>
            <w:pPr>
              <w:spacing w:after="0"/>
              <w:rPr>
                <w:sz w:val="24"/>
                <w:szCs w:val="24"/>
                <w:color w:val="auto"/>
              </w:rPr>
            </w:pPr>
          </w:p>
        </w:tc>
        <w:tc>
          <w:tcPr>
            <w:tcW w:w="7420" w:type="dxa"/>
            <w:vAlign w:val="bottom"/>
            <w:gridSpan w:val="2"/>
          </w:tcPr>
          <w:p>
            <w:pPr>
              <w:ind w:left="700"/>
              <w:spacing w:after="0"/>
              <w:rPr>
                <w:sz w:val="20"/>
                <w:szCs w:val="20"/>
                <w:color w:val="auto"/>
              </w:rPr>
            </w:pPr>
            <w:r>
              <w:rPr>
                <w:rFonts w:ascii="Arial" w:cs="Arial" w:eastAsia="Arial" w:hAnsi="Arial"/>
                <w:sz w:val="18"/>
                <w:szCs w:val="18"/>
                <w:color w:val="auto"/>
              </w:rPr>
              <w:t>Not applicable.</w:t>
            </w:r>
          </w:p>
        </w:tc>
        <w:tc>
          <w:tcPr>
            <w:tcW w:w="3400" w:type="dxa"/>
            <w:vAlign w:val="bottom"/>
          </w:tcPr>
          <w:p>
            <w:pPr>
              <w:spacing w:after="0"/>
              <w:rPr>
                <w:sz w:val="24"/>
                <w:szCs w:val="24"/>
                <w:color w:val="auto"/>
              </w:rPr>
            </w:pPr>
          </w:p>
        </w:tc>
      </w:tr>
      <w:tr>
        <w:trPr>
          <w:trHeight w:val="486"/>
        </w:trPr>
        <w:tc>
          <w:tcPr>
            <w:tcW w:w="6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Notice of Dissolution of Group.</w:t>
            </w:r>
          </w:p>
        </w:tc>
        <w:tc>
          <w:tcPr>
            <w:tcW w:w="3400" w:type="dxa"/>
            <w:vAlign w:val="bottom"/>
          </w:tcPr>
          <w:p>
            <w:pPr>
              <w:spacing w:after="0"/>
              <w:rPr>
                <w:sz w:val="24"/>
                <w:szCs w:val="24"/>
                <w:color w:val="auto"/>
              </w:rPr>
            </w:pPr>
          </w:p>
        </w:tc>
      </w:tr>
      <w:tr>
        <w:trPr>
          <w:trHeight w:val="486"/>
        </w:trPr>
        <w:tc>
          <w:tcPr>
            <w:tcW w:w="600" w:type="dxa"/>
            <w:vAlign w:val="bottom"/>
          </w:tcPr>
          <w:p>
            <w:pPr>
              <w:spacing w:after="0"/>
              <w:rPr>
                <w:sz w:val="24"/>
                <w:szCs w:val="24"/>
                <w:color w:val="auto"/>
              </w:rPr>
            </w:pPr>
          </w:p>
        </w:tc>
        <w:tc>
          <w:tcPr>
            <w:tcW w:w="7420" w:type="dxa"/>
            <w:vAlign w:val="bottom"/>
            <w:gridSpan w:val="2"/>
          </w:tcPr>
          <w:p>
            <w:pPr>
              <w:ind w:left="700"/>
              <w:spacing w:after="0"/>
              <w:rPr>
                <w:sz w:val="20"/>
                <w:szCs w:val="20"/>
                <w:color w:val="auto"/>
              </w:rPr>
            </w:pPr>
            <w:r>
              <w:rPr>
                <w:rFonts w:ascii="Arial" w:cs="Arial" w:eastAsia="Arial" w:hAnsi="Arial"/>
                <w:sz w:val="18"/>
                <w:szCs w:val="18"/>
                <w:color w:val="auto"/>
              </w:rPr>
              <w:t>Not applicable.</w:t>
            </w:r>
          </w:p>
        </w:tc>
        <w:tc>
          <w:tcPr>
            <w:tcW w:w="3400" w:type="dxa"/>
            <w:vAlign w:val="bottom"/>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8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to be Filed as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Exhibit B: Power of Attorney (incorporated herein by reference from Exhibit 99.1 to the Schedule 13G filed by Mubadala Development Company PJSC, West Coast Hitech L.P. and West Coast Hitech G.P., Ltd. on November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51"/>
        </w:trPr>
        <w:tc>
          <w:tcPr>
            <w:tcW w:w="3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6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8 of 9</w:t>
            </w:r>
          </w:p>
        </w:tc>
      </w:tr>
      <w:tr>
        <w:trPr>
          <w:trHeight w:val="115"/>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11, 2015</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MUBADALA DEVELOPMENT COMPANY PJSC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Samer Halawa</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Samer Halawa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Samer Halawa /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MDC CAPITAL LLC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Rodney Cannon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Rodney Cannon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Hani Barhoush</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Hani Barhoush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00" w:lineRule="exact"/>
        <w:rPr>
          <w:sz w:val="20"/>
          <w:szCs w:val="20"/>
          <w:color w:val="auto"/>
        </w:r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MDC CAPITAL (CAYMAN) LIMITED, AS TRUSTEE FOR FIFTY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FIRST INVESTMENT COMPANY LLC</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Rodney Cannon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Rodney Cannon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Hani Barhoush</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Hani Barhoush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51"/>
        </w:trPr>
        <w:tc>
          <w:tcPr>
            <w:tcW w:w="34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34385P108</w:t>
            </w:r>
          </w:p>
        </w:tc>
        <w:tc>
          <w:tcPr>
            <w:tcW w:w="456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w w:val="96"/>
              </w:rPr>
              <w:t>Page 9 of 9</w:t>
            </w:r>
          </w:p>
        </w:tc>
      </w:tr>
      <w:tr>
        <w:trPr>
          <w:trHeight w:val="115"/>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83"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Pursuant to Rule 13d-1(k)(1) of the Securities and Exchange Commission under the Securities Exchange Act of 1934, as amended, each of the undersigned agrees that the statement on Schedule 13G filed herewith shall be filed on behalf of each of the undersigned and further agrees that this joint filing agreement be included as an exhibit to this Schedule 13G. In evidence thereof, the undersigned hereby execute this Agreement as of September 11, 2015.</w:t>
      </w: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MUBADALA DEVELOPMENT COMPANY PJSC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Samer Halawa</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Samer Halawa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Samer Halawa /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MDC CAPITAL LLC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Rodney Cannon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Rodney Cannon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Hani Barhoush</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Hani Barhoush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MDC CAPITAL (CAYMAN) LIMITED, AS TRUSTEE FOR FIFTY FIRST</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INVESTMENT COMPANY LLC</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Rodney Cannon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Rodney Cannon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Hani Barhoush</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Hani Barhoush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left="458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lowerLetter"/>
      <w:start w:val="1"/>
    </w:lvl>
    <w:lvl w:ilvl="1">
      <w:lvlJc w:val="left"/>
      <w:lvlText w:val="(%2)"/>
      <w:numFmt w:val="lowerRoman"/>
      <w:start w:val="1"/>
    </w:lvl>
  </w:abstractNum>
  <w:abstractNum w:abstractNumId="9">
    <w:nsid w:val="DED7263"/>
    <w:multiLevelType w:val="hybridMultilevel"/>
    <w:lvl w:ilvl="0">
      <w:lvlJc w:val="left"/>
      <w:lvlText w:val="%1"/>
      <w:numFmt w:val="lowerLetter"/>
      <w:start w:val="1"/>
    </w:lvl>
    <w:lvl w:ilvl="1">
      <w:lvlJc w:val="left"/>
      <w:lvlText w:val="(%2)"/>
      <w:numFmt w:val="lowerLetter"/>
      <w:start w:val="35"/>
    </w:lvl>
  </w:abstractNum>
  <w:abstractNum w:abstractNumId="10">
    <w:nsid w:val="7FDCC233"/>
    <w:multiLevelType w:val="hybridMultilevel"/>
    <w:lvl w:ilvl="0">
      <w:lvlJc w:val="left"/>
      <w:lvlText w:val="(%1)"/>
      <w:numFmt w:val="lowerLetter"/>
      <w:start w:val="2"/>
    </w:lvl>
    <w:lvl w:ilvl="1">
      <w:lvlJc w:val="left"/>
      <w:lvlText w:val="(%2)"/>
      <w:numFmt w:val="lowerLetter"/>
      <w:start w:val="9"/>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lowerLetter"/>
      <w:start w:val="1"/>
    </w:lvl>
    <w:lvl w:ilvl="1">
      <w:lvlJc w:val="left"/>
      <w:lvlText w:val="(%2)"/>
      <w:numFmt w:val="lowerLetter"/>
      <w:start w:val="35"/>
    </w:lvl>
  </w:abstractNum>
  <w:abstractNum w:abstractNumId="13">
    <w:nsid w:val="6B68079A"/>
    <w:multiLevelType w:val="hybridMultilevel"/>
    <w:lvl w:ilvl="0">
      <w:lvlJc w:val="left"/>
      <w:lvlText w:val="(%1)"/>
      <w:numFmt w:val="lowerLetter"/>
      <w:start w:val="3"/>
    </w:lvl>
    <w:lvl w:ilvl="1">
      <w:lvlJc w:val="left"/>
      <w:lvlText w:val="(%2)"/>
      <w:numFmt w:val="lowerLetter"/>
      <w:start w:val="9"/>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1"/>
    </w:lvl>
    <w:lvl w:ilvl="1">
      <w:lvlJc w:val="left"/>
      <w:lvlText w:val="(%2)"/>
      <w:numFmt w:val="lowerLetter"/>
      <w:start w:val="2"/>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2019-12-07T23:28:06Z</dcterms:created>
  <dcterms:modified xsi:type="dcterms:W3CDTF">2019-12-07T23:28:06Z</dcterms:modified>
</cp:coreProperties>
</file>